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CD62" w14:textId="77777777" w:rsidR="00107E34" w:rsidRDefault="00107E34" w:rsidP="00107E34">
      <w:pPr>
        <w:pStyle w:val="Title"/>
      </w:pPr>
    </w:p>
    <w:p w14:paraId="15FF6500" w14:textId="01D2623B" w:rsidR="00107E34" w:rsidRDefault="00107E34" w:rsidP="00107E34">
      <w:r w:rsidRPr="00CC4E47">
        <w:rPr>
          <w:noProof/>
        </w:rPr>
        <w:drawing>
          <wp:inline distT="0" distB="0" distL="0" distR="0" wp14:anchorId="7F0F31DE" wp14:editId="04F919F3">
            <wp:extent cx="3122930" cy="2078990"/>
            <wp:effectExtent l="0" t="0" r="1270" b="0"/>
            <wp:docPr id="1" name="Picture 1" descr="Lancashire Fire and Rescue Service bad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930" cy="2078990"/>
                    </a:xfrm>
                    <a:prstGeom prst="rect">
                      <a:avLst/>
                    </a:prstGeom>
                    <a:noFill/>
                    <a:ln>
                      <a:noFill/>
                    </a:ln>
                  </pic:spPr>
                </pic:pic>
              </a:graphicData>
            </a:graphic>
          </wp:inline>
        </w:drawing>
      </w:r>
    </w:p>
    <w:p w14:paraId="3C5EA787" w14:textId="77777777" w:rsidR="00107E34" w:rsidRPr="00107E34" w:rsidRDefault="00107E34" w:rsidP="00107E34">
      <w:pPr>
        <w:rPr>
          <w:b/>
          <w:bCs/>
          <w:sz w:val="56"/>
          <w:szCs w:val="52"/>
        </w:rPr>
      </w:pPr>
    </w:p>
    <w:p w14:paraId="71B6DD76" w14:textId="035C3521" w:rsidR="008C5335" w:rsidRPr="00107E34" w:rsidRDefault="00701EEC" w:rsidP="00107E34">
      <w:pPr>
        <w:rPr>
          <w:rFonts w:eastAsiaTheme="majorEastAsia" w:cstheme="majorBidi"/>
          <w:b/>
          <w:bCs/>
          <w:kern w:val="28"/>
          <w:sz w:val="56"/>
          <w:szCs w:val="52"/>
        </w:rPr>
      </w:pPr>
      <w:r w:rsidRPr="00107E34">
        <w:rPr>
          <w:b/>
          <w:bCs/>
          <w:sz w:val="56"/>
          <w:szCs w:val="52"/>
        </w:rPr>
        <w:t>Annual Statement of Assurance 20</w:t>
      </w:r>
      <w:r w:rsidR="005A4C18" w:rsidRPr="00107E34">
        <w:rPr>
          <w:b/>
          <w:bCs/>
          <w:sz w:val="56"/>
          <w:szCs w:val="52"/>
        </w:rPr>
        <w:t>2</w:t>
      </w:r>
      <w:r w:rsidR="00CD379E">
        <w:rPr>
          <w:b/>
          <w:bCs/>
          <w:sz w:val="56"/>
          <w:szCs w:val="52"/>
        </w:rPr>
        <w:t>3</w:t>
      </w:r>
      <w:r w:rsidR="00806B0A" w:rsidRPr="00107E34">
        <w:rPr>
          <w:b/>
          <w:bCs/>
          <w:sz w:val="56"/>
          <w:szCs w:val="52"/>
        </w:rPr>
        <w:t>-2</w:t>
      </w:r>
      <w:r w:rsidR="00CD379E">
        <w:rPr>
          <w:b/>
          <w:bCs/>
          <w:sz w:val="56"/>
          <w:szCs w:val="52"/>
        </w:rPr>
        <w:t>4</w:t>
      </w:r>
    </w:p>
    <w:p w14:paraId="0F5AFEF7" w14:textId="77777777" w:rsidR="0007389E" w:rsidRPr="00CC4E47" w:rsidRDefault="0007389E" w:rsidP="00CC4E47">
      <w:pPr>
        <w:ind w:right="-57"/>
        <w:rPr>
          <w:rFonts w:cs="Arial"/>
        </w:rPr>
      </w:pPr>
      <w:r w:rsidRPr="00CC4E47">
        <w:rPr>
          <w:rFonts w:cs="Arial"/>
        </w:rPr>
        <w:br w:type="page"/>
      </w:r>
    </w:p>
    <w:sdt>
      <w:sdtPr>
        <w:rPr>
          <w:rFonts w:asciiTheme="minorHAnsi" w:eastAsiaTheme="minorEastAsia" w:hAnsiTheme="minorHAnsi"/>
          <w:b w:val="0"/>
          <w:bCs w:val="0"/>
          <w:color w:val="auto"/>
          <w:sz w:val="22"/>
          <w:szCs w:val="22"/>
          <w:lang w:val="en-GB" w:eastAsia="en-GB"/>
        </w:rPr>
        <w:id w:val="-1816252673"/>
        <w:docPartObj>
          <w:docPartGallery w:val="Table of Contents"/>
          <w:docPartUnique/>
        </w:docPartObj>
      </w:sdtPr>
      <w:sdtEndPr>
        <w:rPr>
          <w:rFonts w:ascii="Arial" w:hAnsi="Arial"/>
          <w:noProof/>
          <w:sz w:val="24"/>
        </w:rPr>
      </w:sdtEndPr>
      <w:sdtContent>
        <w:p w14:paraId="2E269734" w14:textId="4C44E98A" w:rsidR="00654456" w:rsidRDefault="00654456" w:rsidP="00443F18">
          <w:pPr>
            <w:pStyle w:val="TOCHeading"/>
            <w:spacing w:before="120" w:after="120" w:line="240" w:lineRule="auto"/>
          </w:pPr>
          <w:r>
            <w:t>Contents</w:t>
          </w:r>
        </w:p>
        <w:p w14:paraId="326EE6CE" w14:textId="19ACAB45" w:rsidR="00443F18" w:rsidRDefault="00654456" w:rsidP="00443F18">
          <w:pPr>
            <w:pStyle w:val="TOC1"/>
            <w:tabs>
              <w:tab w:val="right" w:leader="dot" w:pos="8864"/>
            </w:tabs>
            <w:spacing w:before="120" w:after="120"/>
            <w:rPr>
              <w:rFonts w:asciiTheme="minorHAnsi" w:hAnsiTheme="minorHAnsi" w:cstheme="minorBidi"/>
              <w:noProof/>
              <w:kern w:val="2"/>
              <w:szCs w:val="24"/>
              <w14:ligatures w14:val="standardContextual"/>
            </w:rPr>
          </w:pPr>
          <w:r w:rsidRPr="00654456">
            <w:rPr>
              <w:rFonts w:cs="Arial"/>
            </w:rPr>
            <w:fldChar w:fldCharType="begin"/>
          </w:r>
          <w:r w:rsidRPr="00654456">
            <w:rPr>
              <w:rFonts w:cs="Arial"/>
            </w:rPr>
            <w:instrText xml:space="preserve"> TOC \o "1-3" \h \z \u </w:instrText>
          </w:r>
          <w:r w:rsidRPr="00654456">
            <w:rPr>
              <w:rFonts w:cs="Arial"/>
            </w:rPr>
            <w:fldChar w:fldCharType="separate"/>
          </w:r>
          <w:hyperlink w:anchor="_Toc187398653" w:history="1">
            <w:r w:rsidR="00443F18" w:rsidRPr="00B71620">
              <w:rPr>
                <w:rStyle w:val="Hyperlink"/>
                <w:noProof/>
              </w:rPr>
              <w:t>Introduction</w:t>
            </w:r>
            <w:r w:rsidR="00443F18">
              <w:rPr>
                <w:noProof/>
                <w:webHidden/>
              </w:rPr>
              <w:tab/>
            </w:r>
            <w:r w:rsidR="00443F18">
              <w:rPr>
                <w:noProof/>
                <w:webHidden/>
              </w:rPr>
              <w:fldChar w:fldCharType="begin"/>
            </w:r>
            <w:r w:rsidR="00443F18">
              <w:rPr>
                <w:noProof/>
                <w:webHidden/>
              </w:rPr>
              <w:instrText xml:space="preserve"> PAGEREF _Toc187398653 \h </w:instrText>
            </w:r>
            <w:r w:rsidR="00443F18">
              <w:rPr>
                <w:noProof/>
                <w:webHidden/>
              </w:rPr>
            </w:r>
            <w:r w:rsidR="00443F18">
              <w:rPr>
                <w:noProof/>
                <w:webHidden/>
              </w:rPr>
              <w:fldChar w:fldCharType="separate"/>
            </w:r>
            <w:r w:rsidR="00443F18">
              <w:rPr>
                <w:noProof/>
                <w:webHidden/>
              </w:rPr>
              <w:t>3</w:t>
            </w:r>
            <w:r w:rsidR="00443F18">
              <w:rPr>
                <w:noProof/>
                <w:webHidden/>
              </w:rPr>
              <w:fldChar w:fldCharType="end"/>
            </w:r>
          </w:hyperlink>
        </w:p>
        <w:p w14:paraId="639931FE" w14:textId="16CA7FCA"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54" w:history="1">
            <w:r w:rsidRPr="00B71620">
              <w:rPr>
                <w:rStyle w:val="Hyperlink"/>
                <w:noProof/>
              </w:rPr>
              <w:t>The County of Lancashire</w:t>
            </w:r>
            <w:r>
              <w:rPr>
                <w:noProof/>
                <w:webHidden/>
              </w:rPr>
              <w:tab/>
            </w:r>
            <w:r>
              <w:rPr>
                <w:noProof/>
                <w:webHidden/>
              </w:rPr>
              <w:fldChar w:fldCharType="begin"/>
            </w:r>
            <w:r>
              <w:rPr>
                <w:noProof/>
                <w:webHidden/>
              </w:rPr>
              <w:instrText xml:space="preserve"> PAGEREF _Toc187398654 \h </w:instrText>
            </w:r>
            <w:r>
              <w:rPr>
                <w:noProof/>
                <w:webHidden/>
              </w:rPr>
            </w:r>
            <w:r>
              <w:rPr>
                <w:noProof/>
                <w:webHidden/>
              </w:rPr>
              <w:fldChar w:fldCharType="separate"/>
            </w:r>
            <w:r>
              <w:rPr>
                <w:noProof/>
                <w:webHidden/>
              </w:rPr>
              <w:t>3</w:t>
            </w:r>
            <w:r>
              <w:rPr>
                <w:noProof/>
                <w:webHidden/>
              </w:rPr>
              <w:fldChar w:fldCharType="end"/>
            </w:r>
          </w:hyperlink>
        </w:p>
        <w:p w14:paraId="071FD038" w14:textId="036E352A" w:rsidR="00443F18" w:rsidRDefault="00443F18" w:rsidP="00443F18">
          <w:pPr>
            <w:pStyle w:val="TOC1"/>
            <w:tabs>
              <w:tab w:val="right" w:leader="dot" w:pos="8864"/>
            </w:tabs>
            <w:spacing w:before="120" w:after="120"/>
            <w:rPr>
              <w:rFonts w:asciiTheme="minorHAnsi" w:hAnsiTheme="minorHAnsi" w:cstheme="minorBidi"/>
              <w:noProof/>
              <w:kern w:val="2"/>
              <w:szCs w:val="24"/>
              <w14:ligatures w14:val="standardContextual"/>
            </w:rPr>
          </w:pPr>
          <w:hyperlink w:anchor="_Toc187398655" w:history="1">
            <w:r w:rsidRPr="00B71620">
              <w:rPr>
                <w:rStyle w:val="Hyperlink"/>
                <w:noProof/>
              </w:rPr>
              <w:t>Governance</w:t>
            </w:r>
            <w:r>
              <w:rPr>
                <w:noProof/>
                <w:webHidden/>
              </w:rPr>
              <w:tab/>
            </w:r>
            <w:r>
              <w:rPr>
                <w:noProof/>
                <w:webHidden/>
              </w:rPr>
              <w:fldChar w:fldCharType="begin"/>
            </w:r>
            <w:r>
              <w:rPr>
                <w:noProof/>
                <w:webHidden/>
              </w:rPr>
              <w:instrText xml:space="preserve"> PAGEREF _Toc187398655 \h </w:instrText>
            </w:r>
            <w:r>
              <w:rPr>
                <w:noProof/>
                <w:webHidden/>
              </w:rPr>
            </w:r>
            <w:r>
              <w:rPr>
                <w:noProof/>
                <w:webHidden/>
              </w:rPr>
              <w:fldChar w:fldCharType="separate"/>
            </w:r>
            <w:r>
              <w:rPr>
                <w:noProof/>
                <w:webHidden/>
              </w:rPr>
              <w:t>4</w:t>
            </w:r>
            <w:r>
              <w:rPr>
                <w:noProof/>
                <w:webHidden/>
              </w:rPr>
              <w:fldChar w:fldCharType="end"/>
            </w:r>
          </w:hyperlink>
        </w:p>
        <w:p w14:paraId="6A8399E1" w14:textId="59DC7E74"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56" w:history="1">
            <w:r w:rsidRPr="00B71620">
              <w:rPr>
                <w:rStyle w:val="Hyperlink"/>
                <w:noProof/>
              </w:rPr>
              <w:t>Lancashire Combined Fire Authority</w:t>
            </w:r>
            <w:r>
              <w:rPr>
                <w:noProof/>
                <w:webHidden/>
              </w:rPr>
              <w:tab/>
            </w:r>
            <w:r>
              <w:rPr>
                <w:noProof/>
                <w:webHidden/>
              </w:rPr>
              <w:fldChar w:fldCharType="begin"/>
            </w:r>
            <w:r>
              <w:rPr>
                <w:noProof/>
                <w:webHidden/>
              </w:rPr>
              <w:instrText xml:space="preserve"> PAGEREF _Toc187398656 \h </w:instrText>
            </w:r>
            <w:r>
              <w:rPr>
                <w:noProof/>
                <w:webHidden/>
              </w:rPr>
            </w:r>
            <w:r>
              <w:rPr>
                <w:noProof/>
                <w:webHidden/>
              </w:rPr>
              <w:fldChar w:fldCharType="separate"/>
            </w:r>
            <w:r>
              <w:rPr>
                <w:noProof/>
                <w:webHidden/>
              </w:rPr>
              <w:t>4</w:t>
            </w:r>
            <w:r>
              <w:rPr>
                <w:noProof/>
                <w:webHidden/>
              </w:rPr>
              <w:fldChar w:fldCharType="end"/>
            </w:r>
          </w:hyperlink>
        </w:p>
        <w:p w14:paraId="55B34D04" w14:textId="4DD7EC0A"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57" w:history="1">
            <w:r w:rsidRPr="00B71620">
              <w:rPr>
                <w:rStyle w:val="Hyperlink"/>
                <w:rFonts w:cs="Arial"/>
                <w:noProof/>
              </w:rPr>
              <w:t>Lancashire Fire and Rescue Service (LFRS)</w:t>
            </w:r>
            <w:r>
              <w:rPr>
                <w:noProof/>
                <w:webHidden/>
              </w:rPr>
              <w:tab/>
            </w:r>
            <w:r>
              <w:rPr>
                <w:noProof/>
                <w:webHidden/>
              </w:rPr>
              <w:fldChar w:fldCharType="begin"/>
            </w:r>
            <w:r>
              <w:rPr>
                <w:noProof/>
                <w:webHidden/>
              </w:rPr>
              <w:instrText xml:space="preserve"> PAGEREF _Toc187398657 \h </w:instrText>
            </w:r>
            <w:r>
              <w:rPr>
                <w:noProof/>
                <w:webHidden/>
              </w:rPr>
            </w:r>
            <w:r>
              <w:rPr>
                <w:noProof/>
                <w:webHidden/>
              </w:rPr>
              <w:fldChar w:fldCharType="separate"/>
            </w:r>
            <w:r>
              <w:rPr>
                <w:noProof/>
                <w:webHidden/>
              </w:rPr>
              <w:t>4</w:t>
            </w:r>
            <w:r>
              <w:rPr>
                <w:noProof/>
                <w:webHidden/>
              </w:rPr>
              <w:fldChar w:fldCharType="end"/>
            </w:r>
          </w:hyperlink>
        </w:p>
        <w:p w14:paraId="5A9E6B18" w14:textId="2F8B6F62" w:rsidR="00443F18" w:rsidRDefault="00443F18" w:rsidP="00443F18">
          <w:pPr>
            <w:pStyle w:val="TOC1"/>
            <w:tabs>
              <w:tab w:val="right" w:leader="dot" w:pos="8864"/>
            </w:tabs>
            <w:spacing w:before="120" w:after="120"/>
            <w:rPr>
              <w:rFonts w:asciiTheme="minorHAnsi" w:hAnsiTheme="minorHAnsi" w:cstheme="minorBidi"/>
              <w:noProof/>
              <w:kern w:val="2"/>
              <w:szCs w:val="24"/>
              <w14:ligatures w14:val="standardContextual"/>
            </w:rPr>
          </w:pPr>
          <w:hyperlink w:anchor="_Toc187398658" w:history="1">
            <w:r w:rsidRPr="00B71620">
              <w:rPr>
                <w:rStyle w:val="Hyperlink"/>
                <w:noProof/>
              </w:rPr>
              <w:t>Community Risk Management Plan (CRMP)</w:t>
            </w:r>
            <w:r>
              <w:rPr>
                <w:noProof/>
                <w:webHidden/>
              </w:rPr>
              <w:tab/>
            </w:r>
            <w:r>
              <w:rPr>
                <w:noProof/>
                <w:webHidden/>
              </w:rPr>
              <w:fldChar w:fldCharType="begin"/>
            </w:r>
            <w:r>
              <w:rPr>
                <w:noProof/>
                <w:webHidden/>
              </w:rPr>
              <w:instrText xml:space="preserve"> PAGEREF _Toc187398658 \h </w:instrText>
            </w:r>
            <w:r>
              <w:rPr>
                <w:noProof/>
                <w:webHidden/>
              </w:rPr>
            </w:r>
            <w:r>
              <w:rPr>
                <w:noProof/>
                <w:webHidden/>
              </w:rPr>
              <w:fldChar w:fldCharType="separate"/>
            </w:r>
            <w:r>
              <w:rPr>
                <w:noProof/>
                <w:webHidden/>
              </w:rPr>
              <w:t>5</w:t>
            </w:r>
            <w:r>
              <w:rPr>
                <w:noProof/>
                <w:webHidden/>
              </w:rPr>
              <w:fldChar w:fldCharType="end"/>
            </w:r>
          </w:hyperlink>
        </w:p>
        <w:p w14:paraId="0A7F4CFE" w14:textId="2132291B"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59" w:history="1">
            <w:r w:rsidRPr="00B71620">
              <w:rPr>
                <w:rStyle w:val="Hyperlink"/>
                <w:noProof/>
              </w:rPr>
              <w:t>Planning and Performance</w:t>
            </w:r>
            <w:r>
              <w:rPr>
                <w:noProof/>
                <w:webHidden/>
              </w:rPr>
              <w:tab/>
            </w:r>
            <w:r>
              <w:rPr>
                <w:noProof/>
                <w:webHidden/>
              </w:rPr>
              <w:fldChar w:fldCharType="begin"/>
            </w:r>
            <w:r>
              <w:rPr>
                <w:noProof/>
                <w:webHidden/>
              </w:rPr>
              <w:instrText xml:space="preserve"> PAGEREF _Toc187398659 \h </w:instrText>
            </w:r>
            <w:r>
              <w:rPr>
                <w:noProof/>
                <w:webHidden/>
              </w:rPr>
            </w:r>
            <w:r>
              <w:rPr>
                <w:noProof/>
                <w:webHidden/>
              </w:rPr>
              <w:fldChar w:fldCharType="separate"/>
            </w:r>
            <w:r>
              <w:rPr>
                <w:noProof/>
                <w:webHidden/>
              </w:rPr>
              <w:t>6</w:t>
            </w:r>
            <w:r>
              <w:rPr>
                <w:noProof/>
                <w:webHidden/>
              </w:rPr>
              <w:fldChar w:fldCharType="end"/>
            </w:r>
          </w:hyperlink>
        </w:p>
        <w:p w14:paraId="50B95482" w14:textId="1C11977D"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60" w:history="1">
            <w:r w:rsidRPr="00B71620">
              <w:rPr>
                <w:rStyle w:val="Hyperlink"/>
                <w:noProof/>
              </w:rPr>
              <w:t>Consultation</w:t>
            </w:r>
            <w:r>
              <w:rPr>
                <w:noProof/>
                <w:webHidden/>
              </w:rPr>
              <w:tab/>
            </w:r>
            <w:r>
              <w:rPr>
                <w:noProof/>
                <w:webHidden/>
              </w:rPr>
              <w:fldChar w:fldCharType="begin"/>
            </w:r>
            <w:r>
              <w:rPr>
                <w:noProof/>
                <w:webHidden/>
              </w:rPr>
              <w:instrText xml:space="preserve"> PAGEREF _Toc187398660 \h </w:instrText>
            </w:r>
            <w:r>
              <w:rPr>
                <w:noProof/>
                <w:webHidden/>
              </w:rPr>
            </w:r>
            <w:r>
              <w:rPr>
                <w:noProof/>
                <w:webHidden/>
              </w:rPr>
              <w:fldChar w:fldCharType="separate"/>
            </w:r>
            <w:r>
              <w:rPr>
                <w:noProof/>
                <w:webHidden/>
              </w:rPr>
              <w:t>7</w:t>
            </w:r>
            <w:r>
              <w:rPr>
                <w:noProof/>
                <w:webHidden/>
              </w:rPr>
              <w:fldChar w:fldCharType="end"/>
            </w:r>
          </w:hyperlink>
        </w:p>
        <w:p w14:paraId="70EBEDD1" w14:textId="4F9456FF"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61" w:history="1">
            <w:r w:rsidRPr="00B71620">
              <w:rPr>
                <w:rStyle w:val="Hyperlink"/>
                <w:noProof/>
              </w:rPr>
              <w:t>Community Risk Management</w:t>
            </w:r>
            <w:r>
              <w:rPr>
                <w:noProof/>
                <w:webHidden/>
              </w:rPr>
              <w:tab/>
            </w:r>
            <w:r>
              <w:rPr>
                <w:noProof/>
                <w:webHidden/>
              </w:rPr>
              <w:fldChar w:fldCharType="begin"/>
            </w:r>
            <w:r>
              <w:rPr>
                <w:noProof/>
                <w:webHidden/>
              </w:rPr>
              <w:instrText xml:space="preserve"> PAGEREF _Toc187398661 \h </w:instrText>
            </w:r>
            <w:r>
              <w:rPr>
                <w:noProof/>
                <w:webHidden/>
              </w:rPr>
            </w:r>
            <w:r>
              <w:rPr>
                <w:noProof/>
                <w:webHidden/>
              </w:rPr>
              <w:fldChar w:fldCharType="separate"/>
            </w:r>
            <w:r>
              <w:rPr>
                <w:noProof/>
                <w:webHidden/>
              </w:rPr>
              <w:t>7</w:t>
            </w:r>
            <w:r>
              <w:rPr>
                <w:noProof/>
                <w:webHidden/>
              </w:rPr>
              <w:fldChar w:fldCharType="end"/>
            </w:r>
          </w:hyperlink>
        </w:p>
        <w:p w14:paraId="260F6F07" w14:textId="3D2C0B86" w:rsidR="00443F18" w:rsidRDefault="00443F18" w:rsidP="00443F18">
          <w:pPr>
            <w:pStyle w:val="TOC1"/>
            <w:tabs>
              <w:tab w:val="right" w:leader="dot" w:pos="8864"/>
            </w:tabs>
            <w:spacing w:before="120" w:after="120"/>
            <w:rPr>
              <w:rFonts w:asciiTheme="minorHAnsi" w:hAnsiTheme="minorHAnsi" w:cstheme="minorBidi"/>
              <w:noProof/>
              <w:kern w:val="2"/>
              <w:szCs w:val="24"/>
              <w14:ligatures w14:val="standardContextual"/>
            </w:rPr>
          </w:pPr>
          <w:hyperlink w:anchor="_Toc187398662" w:history="1">
            <w:r w:rsidRPr="00B71620">
              <w:rPr>
                <w:rStyle w:val="Hyperlink"/>
                <w:rFonts w:eastAsia="Times New Roman"/>
                <w:noProof/>
              </w:rPr>
              <w:t>Assurance on Governance</w:t>
            </w:r>
            <w:r>
              <w:rPr>
                <w:noProof/>
                <w:webHidden/>
              </w:rPr>
              <w:tab/>
            </w:r>
            <w:r>
              <w:rPr>
                <w:noProof/>
                <w:webHidden/>
              </w:rPr>
              <w:fldChar w:fldCharType="begin"/>
            </w:r>
            <w:r>
              <w:rPr>
                <w:noProof/>
                <w:webHidden/>
              </w:rPr>
              <w:instrText xml:space="preserve"> PAGEREF _Toc187398662 \h </w:instrText>
            </w:r>
            <w:r>
              <w:rPr>
                <w:noProof/>
                <w:webHidden/>
              </w:rPr>
            </w:r>
            <w:r>
              <w:rPr>
                <w:noProof/>
                <w:webHidden/>
              </w:rPr>
              <w:fldChar w:fldCharType="separate"/>
            </w:r>
            <w:r>
              <w:rPr>
                <w:noProof/>
                <w:webHidden/>
              </w:rPr>
              <w:t>8</w:t>
            </w:r>
            <w:r>
              <w:rPr>
                <w:noProof/>
                <w:webHidden/>
              </w:rPr>
              <w:fldChar w:fldCharType="end"/>
            </w:r>
          </w:hyperlink>
        </w:p>
        <w:p w14:paraId="39231C03" w14:textId="185E6D2A" w:rsidR="00443F18" w:rsidRDefault="00443F18" w:rsidP="00443F18">
          <w:pPr>
            <w:pStyle w:val="TOC1"/>
            <w:tabs>
              <w:tab w:val="right" w:leader="dot" w:pos="8864"/>
            </w:tabs>
            <w:spacing w:before="120" w:after="120"/>
            <w:rPr>
              <w:rFonts w:asciiTheme="minorHAnsi" w:hAnsiTheme="minorHAnsi" w:cstheme="minorBidi"/>
              <w:noProof/>
              <w:kern w:val="2"/>
              <w:szCs w:val="24"/>
              <w14:ligatures w14:val="standardContextual"/>
            </w:rPr>
          </w:pPr>
          <w:hyperlink w:anchor="_Toc187398663" w:history="1">
            <w:r w:rsidRPr="00B71620">
              <w:rPr>
                <w:rStyle w:val="Hyperlink"/>
                <w:rFonts w:eastAsia="Times New Roman"/>
                <w:noProof/>
              </w:rPr>
              <w:t>Financial Assurance</w:t>
            </w:r>
            <w:r>
              <w:rPr>
                <w:noProof/>
                <w:webHidden/>
              </w:rPr>
              <w:tab/>
            </w:r>
            <w:r>
              <w:rPr>
                <w:noProof/>
                <w:webHidden/>
              </w:rPr>
              <w:fldChar w:fldCharType="begin"/>
            </w:r>
            <w:r>
              <w:rPr>
                <w:noProof/>
                <w:webHidden/>
              </w:rPr>
              <w:instrText xml:space="preserve"> PAGEREF _Toc187398663 \h </w:instrText>
            </w:r>
            <w:r>
              <w:rPr>
                <w:noProof/>
                <w:webHidden/>
              </w:rPr>
            </w:r>
            <w:r>
              <w:rPr>
                <w:noProof/>
                <w:webHidden/>
              </w:rPr>
              <w:fldChar w:fldCharType="separate"/>
            </w:r>
            <w:r>
              <w:rPr>
                <w:noProof/>
                <w:webHidden/>
              </w:rPr>
              <w:t>10</w:t>
            </w:r>
            <w:r>
              <w:rPr>
                <w:noProof/>
                <w:webHidden/>
              </w:rPr>
              <w:fldChar w:fldCharType="end"/>
            </w:r>
          </w:hyperlink>
        </w:p>
        <w:p w14:paraId="12F668F9" w14:textId="72A9E790" w:rsidR="00443F18" w:rsidRDefault="00443F18" w:rsidP="00443F18">
          <w:pPr>
            <w:pStyle w:val="TOC1"/>
            <w:tabs>
              <w:tab w:val="right" w:leader="dot" w:pos="8864"/>
            </w:tabs>
            <w:spacing w:before="120" w:after="120"/>
            <w:rPr>
              <w:rFonts w:asciiTheme="minorHAnsi" w:hAnsiTheme="minorHAnsi" w:cstheme="minorBidi"/>
              <w:noProof/>
              <w:kern w:val="2"/>
              <w:szCs w:val="24"/>
              <w14:ligatures w14:val="standardContextual"/>
            </w:rPr>
          </w:pPr>
          <w:hyperlink w:anchor="_Toc187398664" w:history="1">
            <w:r w:rsidRPr="00B71620">
              <w:rPr>
                <w:rStyle w:val="Hyperlink"/>
                <w:noProof/>
              </w:rPr>
              <w:t>Organisational Assurance</w:t>
            </w:r>
            <w:r>
              <w:rPr>
                <w:noProof/>
                <w:webHidden/>
              </w:rPr>
              <w:tab/>
            </w:r>
            <w:r>
              <w:rPr>
                <w:noProof/>
                <w:webHidden/>
              </w:rPr>
              <w:fldChar w:fldCharType="begin"/>
            </w:r>
            <w:r>
              <w:rPr>
                <w:noProof/>
                <w:webHidden/>
              </w:rPr>
              <w:instrText xml:space="preserve"> PAGEREF _Toc187398664 \h </w:instrText>
            </w:r>
            <w:r>
              <w:rPr>
                <w:noProof/>
                <w:webHidden/>
              </w:rPr>
            </w:r>
            <w:r>
              <w:rPr>
                <w:noProof/>
                <w:webHidden/>
              </w:rPr>
              <w:fldChar w:fldCharType="separate"/>
            </w:r>
            <w:r>
              <w:rPr>
                <w:noProof/>
                <w:webHidden/>
              </w:rPr>
              <w:t>11</w:t>
            </w:r>
            <w:r>
              <w:rPr>
                <w:noProof/>
                <w:webHidden/>
              </w:rPr>
              <w:fldChar w:fldCharType="end"/>
            </w:r>
          </w:hyperlink>
        </w:p>
        <w:p w14:paraId="1225CFAF" w14:textId="6854BFCD"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65" w:history="1">
            <w:r w:rsidRPr="00B71620">
              <w:rPr>
                <w:rStyle w:val="Hyperlink"/>
                <w:noProof/>
              </w:rPr>
              <w:t>HMICFRS Inspection</w:t>
            </w:r>
            <w:r>
              <w:rPr>
                <w:noProof/>
                <w:webHidden/>
              </w:rPr>
              <w:tab/>
            </w:r>
            <w:r>
              <w:rPr>
                <w:noProof/>
                <w:webHidden/>
              </w:rPr>
              <w:fldChar w:fldCharType="begin"/>
            </w:r>
            <w:r>
              <w:rPr>
                <w:noProof/>
                <w:webHidden/>
              </w:rPr>
              <w:instrText xml:space="preserve"> PAGEREF _Toc187398665 \h </w:instrText>
            </w:r>
            <w:r>
              <w:rPr>
                <w:noProof/>
                <w:webHidden/>
              </w:rPr>
            </w:r>
            <w:r>
              <w:rPr>
                <w:noProof/>
                <w:webHidden/>
              </w:rPr>
              <w:fldChar w:fldCharType="separate"/>
            </w:r>
            <w:r>
              <w:rPr>
                <w:noProof/>
                <w:webHidden/>
              </w:rPr>
              <w:t>11</w:t>
            </w:r>
            <w:r>
              <w:rPr>
                <w:noProof/>
                <w:webHidden/>
              </w:rPr>
              <w:fldChar w:fldCharType="end"/>
            </w:r>
          </w:hyperlink>
        </w:p>
        <w:p w14:paraId="4F9D1B07" w14:textId="72759E12" w:rsidR="00443F18" w:rsidRDefault="00443F18" w:rsidP="00443F18">
          <w:pPr>
            <w:pStyle w:val="TOC1"/>
            <w:tabs>
              <w:tab w:val="right" w:leader="dot" w:pos="8864"/>
            </w:tabs>
            <w:spacing w:before="120" w:after="120"/>
            <w:rPr>
              <w:rFonts w:asciiTheme="minorHAnsi" w:hAnsiTheme="minorHAnsi" w:cstheme="minorBidi"/>
              <w:noProof/>
              <w:kern w:val="2"/>
              <w:szCs w:val="24"/>
              <w14:ligatures w14:val="standardContextual"/>
            </w:rPr>
          </w:pPr>
          <w:hyperlink w:anchor="_Toc187398666" w:history="1">
            <w:r w:rsidRPr="00B71620">
              <w:rPr>
                <w:rStyle w:val="Hyperlink"/>
                <w:noProof/>
              </w:rPr>
              <w:t>Operational Assurance</w:t>
            </w:r>
            <w:r>
              <w:rPr>
                <w:noProof/>
                <w:webHidden/>
              </w:rPr>
              <w:tab/>
            </w:r>
            <w:r>
              <w:rPr>
                <w:noProof/>
                <w:webHidden/>
              </w:rPr>
              <w:fldChar w:fldCharType="begin"/>
            </w:r>
            <w:r>
              <w:rPr>
                <w:noProof/>
                <w:webHidden/>
              </w:rPr>
              <w:instrText xml:space="preserve"> PAGEREF _Toc187398666 \h </w:instrText>
            </w:r>
            <w:r>
              <w:rPr>
                <w:noProof/>
                <w:webHidden/>
              </w:rPr>
            </w:r>
            <w:r>
              <w:rPr>
                <w:noProof/>
                <w:webHidden/>
              </w:rPr>
              <w:fldChar w:fldCharType="separate"/>
            </w:r>
            <w:r>
              <w:rPr>
                <w:noProof/>
                <w:webHidden/>
              </w:rPr>
              <w:t>12</w:t>
            </w:r>
            <w:r>
              <w:rPr>
                <w:noProof/>
                <w:webHidden/>
              </w:rPr>
              <w:fldChar w:fldCharType="end"/>
            </w:r>
          </w:hyperlink>
        </w:p>
        <w:p w14:paraId="5922CD0F" w14:textId="58C6D419"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67" w:history="1">
            <w:r w:rsidRPr="00B71620">
              <w:rPr>
                <w:rStyle w:val="Hyperlink"/>
                <w:noProof/>
              </w:rPr>
              <w:t>Prevention and Protection</w:t>
            </w:r>
            <w:r>
              <w:rPr>
                <w:noProof/>
                <w:webHidden/>
              </w:rPr>
              <w:tab/>
            </w:r>
            <w:r>
              <w:rPr>
                <w:noProof/>
                <w:webHidden/>
              </w:rPr>
              <w:fldChar w:fldCharType="begin"/>
            </w:r>
            <w:r>
              <w:rPr>
                <w:noProof/>
                <w:webHidden/>
              </w:rPr>
              <w:instrText xml:space="preserve"> PAGEREF _Toc187398667 \h </w:instrText>
            </w:r>
            <w:r>
              <w:rPr>
                <w:noProof/>
                <w:webHidden/>
              </w:rPr>
            </w:r>
            <w:r>
              <w:rPr>
                <w:noProof/>
                <w:webHidden/>
              </w:rPr>
              <w:fldChar w:fldCharType="separate"/>
            </w:r>
            <w:r>
              <w:rPr>
                <w:noProof/>
                <w:webHidden/>
              </w:rPr>
              <w:t>13</w:t>
            </w:r>
            <w:r>
              <w:rPr>
                <w:noProof/>
                <w:webHidden/>
              </w:rPr>
              <w:fldChar w:fldCharType="end"/>
            </w:r>
          </w:hyperlink>
        </w:p>
        <w:p w14:paraId="27219969" w14:textId="14A69609"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68" w:history="1">
            <w:r w:rsidRPr="00B71620">
              <w:rPr>
                <w:rStyle w:val="Hyperlink"/>
                <w:noProof/>
              </w:rPr>
              <w:t>Mutual Aid Agreements</w:t>
            </w:r>
            <w:r>
              <w:rPr>
                <w:noProof/>
                <w:webHidden/>
              </w:rPr>
              <w:tab/>
            </w:r>
            <w:r>
              <w:rPr>
                <w:noProof/>
                <w:webHidden/>
              </w:rPr>
              <w:fldChar w:fldCharType="begin"/>
            </w:r>
            <w:r>
              <w:rPr>
                <w:noProof/>
                <w:webHidden/>
              </w:rPr>
              <w:instrText xml:space="preserve"> PAGEREF _Toc187398668 \h </w:instrText>
            </w:r>
            <w:r>
              <w:rPr>
                <w:noProof/>
                <w:webHidden/>
              </w:rPr>
            </w:r>
            <w:r>
              <w:rPr>
                <w:noProof/>
                <w:webHidden/>
              </w:rPr>
              <w:fldChar w:fldCharType="separate"/>
            </w:r>
            <w:r>
              <w:rPr>
                <w:noProof/>
                <w:webHidden/>
              </w:rPr>
              <w:t>14</w:t>
            </w:r>
            <w:r>
              <w:rPr>
                <w:noProof/>
                <w:webHidden/>
              </w:rPr>
              <w:fldChar w:fldCharType="end"/>
            </w:r>
          </w:hyperlink>
        </w:p>
        <w:p w14:paraId="4F070645" w14:textId="224236D0"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69" w:history="1">
            <w:r w:rsidRPr="00B71620">
              <w:rPr>
                <w:rStyle w:val="Hyperlink"/>
                <w:noProof/>
              </w:rPr>
              <w:t>National Resilience</w:t>
            </w:r>
            <w:r>
              <w:rPr>
                <w:noProof/>
                <w:webHidden/>
              </w:rPr>
              <w:tab/>
            </w:r>
            <w:r>
              <w:rPr>
                <w:noProof/>
                <w:webHidden/>
              </w:rPr>
              <w:fldChar w:fldCharType="begin"/>
            </w:r>
            <w:r>
              <w:rPr>
                <w:noProof/>
                <w:webHidden/>
              </w:rPr>
              <w:instrText xml:space="preserve"> PAGEREF _Toc187398669 \h </w:instrText>
            </w:r>
            <w:r>
              <w:rPr>
                <w:noProof/>
                <w:webHidden/>
              </w:rPr>
            </w:r>
            <w:r>
              <w:rPr>
                <w:noProof/>
                <w:webHidden/>
              </w:rPr>
              <w:fldChar w:fldCharType="separate"/>
            </w:r>
            <w:r>
              <w:rPr>
                <w:noProof/>
                <w:webHidden/>
              </w:rPr>
              <w:t>15</w:t>
            </w:r>
            <w:r>
              <w:rPr>
                <w:noProof/>
                <w:webHidden/>
              </w:rPr>
              <w:fldChar w:fldCharType="end"/>
            </w:r>
          </w:hyperlink>
        </w:p>
        <w:p w14:paraId="5B885696" w14:textId="0F8B1374"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70" w:history="1">
            <w:r w:rsidRPr="00B71620">
              <w:rPr>
                <w:rStyle w:val="Hyperlink"/>
                <w:noProof/>
              </w:rPr>
              <w:t>Business Continuity</w:t>
            </w:r>
            <w:r>
              <w:rPr>
                <w:noProof/>
                <w:webHidden/>
              </w:rPr>
              <w:tab/>
            </w:r>
            <w:r>
              <w:rPr>
                <w:noProof/>
                <w:webHidden/>
              </w:rPr>
              <w:fldChar w:fldCharType="begin"/>
            </w:r>
            <w:r>
              <w:rPr>
                <w:noProof/>
                <w:webHidden/>
              </w:rPr>
              <w:instrText xml:space="preserve"> PAGEREF _Toc187398670 \h </w:instrText>
            </w:r>
            <w:r>
              <w:rPr>
                <w:noProof/>
                <w:webHidden/>
              </w:rPr>
            </w:r>
            <w:r>
              <w:rPr>
                <w:noProof/>
                <w:webHidden/>
              </w:rPr>
              <w:fldChar w:fldCharType="separate"/>
            </w:r>
            <w:r>
              <w:rPr>
                <w:noProof/>
                <w:webHidden/>
              </w:rPr>
              <w:t>15</w:t>
            </w:r>
            <w:r>
              <w:rPr>
                <w:noProof/>
                <w:webHidden/>
              </w:rPr>
              <w:fldChar w:fldCharType="end"/>
            </w:r>
          </w:hyperlink>
        </w:p>
        <w:p w14:paraId="186EAA50" w14:textId="7C1B178A"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71" w:history="1">
            <w:r w:rsidRPr="00B71620">
              <w:rPr>
                <w:rStyle w:val="Hyperlink"/>
                <w:rFonts w:eastAsia="Times New Roman"/>
                <w:noProof/>
              </w:rPr>
              <w:t xml:space="preserve">Safety, </w:t>
            </w:r>
            <w:r w:rsidRPr="00B71620">
              <w:rPr>
                <w:rStyle w:val="Hyperlink"/>
                <w:noProof/>
              </w:rPr>
              <w:t>Health,</w:t>
            </w:r>
            <w:r w:rsidRPr="00B71620">
              <w:rPr>
                <w:rStyle w:val="Hyperlink"/>
                <w:rFonts w:eastAsia="Times New Roman"/>
                <w:noProof/>
              </w:rPr>
              <w:t xml:space="preserve"> and Environment</w:t>
            </w:r>
            <w:r>
              <w:rPr>
                <w:noProof/>
                <w:webHidden/>
              </w:rPr>
              <w:tab/>
            </w:r>
            <w:r>
              <w:rPr>
                <w:noProof/>
                <w:webHidden/>
              </w:rPr>
              <w:fldChar w:fldCharType="begin"/>
            </w:r>
            <w:r>
              <w:rPr>
                <w:noProof/>
                <w:webHidden/>
              </w:rPr>
              <w:instrText xml:space="preserve"> PAGEREF _Toc187398671 \h </w:instrText>
            </w:r>
            <w:r>
              <w:rPr>
                <w:noProof/>
                <w:webHidden/>
              </w:rPr>
            </w:r>
            <w:r>
              <w:rPr>
                <w:noProof/>
                <w:webHidden/>
              </w:rPr>
              <w:fldChar w:fldCharType="separate"/>
            </w:r>
            <w:r>
              <w:rPr>
                <w:noProof/>
                <w:webHidden/>
              </w:rPr>
              <w:t>16</w:t>
            </w:r>
            <w:r>
              <w:rPr>
                <w:noProof/>
                <w:webHidden/>
              </w:rPr>
              <w:fldChar w:fldCharType="end"/>
            </w:r>
          </w:hyperlink>
        </w:p>
        <w:p w14:paraId="68886F2A" w14:textId="0F13E94F" w:rsidR="00443F18" w:rsidRDefault="00443F18" w:rsidP="00443F18">
          <w:pPr>
            <w:pStyle w:val="TOC2"/>
            <w:tabs>
              <w:tab w:val="right" w:leader="dot" w:pos="8864"/>
            </w:tabs>
            <w:spacing w:before="120" w:after="120"/>
            <w:rPr>
              <w:rFonts w:asciiTheme="minorHAnsi" w:hAnsiTheme="minorHAnsi" w:cstheme="minorBidi"/>
              <w:noProof/>
              <w:kern w:val="2"/>
              <w:szCs w:val="24"/>
              <w14:ligatures w14:val="standardContextual"/>
            </w:rPr>
          </w:pPr>
          <w:hyperlink w:anchor="_Toc187398672" w:history="1">
            <w:r w:rsidRPr="00B71620">
              <w:rPr>
                <w:rStyle w:val="Hyperlink"/>
                <w:noProof/>
              </w:rPr>
              <w:t>Leadership and Development</w:t>
            </w:r>
            <w:r>
              <w:rPr>
                <w:noProof/>
                <w:webHidden/>
              </w:rPr>
              <w:tab/>
            </w:r>
            <w:r>
              <w:rPr>
                <w:noProof/>
                <w:webHidden/>
              </w:rPr>
              <w:fldChar w:fldCharType="begin"/>
            </w:r>
            <w:r>
              <w:rPr>
                <w:noProof/>
                <w:webHidden/>
              </w:rPr>
              <w:instrText xml:space="preserve"> PAGEREF _Toc187398672 \h </w:instrText>
            </w:r>
            <w:r>
              <w:rPr>
                <w:noProof/>
                <w:webHidden/>
              </w:rPr>
            </w:r>
            <w:r>
              <w:rPr>
                <w:noProof/>
                <w:webHidden/>
              </w:rPr>
              <w:fldChar w:fldCharType="separate"/>
            </w:r>
            <w:r>
              <w:rPr>
                <w:noProof/>
                <w:webHidden/>
              </w:rPr>
              <w:t>18</w:t>
            </w:r>
            <w:r>
              <w:rPr>
                <w:noProof/>
                <w:webHidden/>
              </w:rPr>
              <w:fldChar w:fldCharType="end"/>
            </w:r>
          </w:hyperlink>
        </w:p>
        <w:p w14:paraId="551D8FA0" w14:textId="76D05226" w:rsidR="00443F18" w:rsidRDefault="00443F18" w:rsidP="00443F18">
          <w:pPr>
            <w:pStyle w:val="TOC1"/>
            <w:tabs>
              <w:tab w:val="right" w:leader="dot" w:pos="8864"/>
            </w:tabs>
            <w:spacing w:before="120" w:after="120"/>
            <w:rPr>
              <w:rFonts w:asciiTheme="minorHAnsi" w:hAnsiTheme="minorHAnsi" w:cstheme="minorBidi"/>
              <w:noProof/>
              <w:kern w:val="2"/>
              <w:szCs w:val="24"/>
              <w14:ligatures w14:val="standardContextual"/>
            </w:rPr>
          </w:pPr>
          <w:hyperlink w:anchor="_Toc187398673" w:history="1">
            <w:r w:rsidRPr="00B71620">
              <w:rPr>
                <w:rStyle w:val="Hyperlink"/>
                <w:noProof/>
              </w:rPr>
              <w:t>Assurance Declaration</w:t>
            </w:r>
            <w:r>
              <w:rPr>
                <w:noProof/>
                <w:webHidden/>
              </w:rPr>
              <w:tab/>
            </w:r>
            <w:r>
              <w:rPr>
                <w:noProof/>
                <w:webHidden/>
              </w:rPr>
              <w:fldChar w:fldCharType="begin"/>
            </w:r>
            <w:r>
              <w:rPr>
                <w:noProof/>
                <w:webHidden/>
              </w:rPr>
              <w:instrText xml:space="preserve"> PAGEREF _Toc187398673 \h </w:instrText>
            </w:r>
            <w:r>
              <w:rPr>
                <w:noProof/>
                <w:webHidden/>
              </w:rPr>
            </w:r>
            <w:r>
              <w:rPr>
                <w:noProof/>
                <w:webHidden/>
              </w:rPr>
              <w:fldChar w:fldCharType="separate"/>
            </w:r>
            <w:r>
              <w:rPr>
                <w:noProof/>
                <w:webHidden/>
              </w:rPr>
              <w:t>19</w:t>
            </w:r>
            <w:r>
              <w:rPr>
                <w:noProof/>
                <w:webHidden/>
              </w:rPr>
              <w:fldChar w:fldCharType="end"/>
            </w:r>
          </w:hyperlink>
        </w:p>
        <w:p w14:paraId="198381D5" w14:textId="6A1BC025" w:rsidR="00654456" w:rsidRDefault="00654456" w:rsidP="00443F18">
          <w:pPr>
            <w:spacing w:before="120" w:after="120" w:line="240" w:lineRule="auto"/>
          </w:pPr>
          <w:r w:rsidRPr="00654456">
            <w:rPr>
              <w:rFonts w:cs="Arial"/>
              <w:b/>
              <w:bCs/>
              <w:noProof/>
            </w:rPr>
            <w:fldChar w:fldCharType="end"/>
          </w:r>
        </w:p>
      </w:sdtContent>
    </w:sdt>
    <w:p w14:paraId="53D39807" w14:textId="54A3C894" w:rsidR="005F30E7" w:rsidRPr="00CC4E47" w:rsidRDefault="00701EEC" w:rsidP="004A34B0">
      <w:pPr>
        <w:pStyle w:val="Heading1"/>
        <w:spacing w:before="120" w:after="120" w:line="240" w:lineRule="auto"/>
      </w:pPr>
      <w:r w:rsidRPr="00CC4E47">
        <w:rPr>
          <w:u w:val="single"/>
        </w:rPr>
        <w:br w:type="page"/>
      </w:r>
      <w:bookmarkStart w:id="0" w:name="_Toc56678082"/>
      <w:bookmarkStart w:id="1" w:name="_Toc187398653"/>
      <w:r w:rsidR="005F30E7" w:rsidRPr="00CC4E47">
        <w:lastRenderedPageBreak/>
        <w:t>Introduction</w:t>
      </w:r>
      <w:bookmarkEnd w:id="0"/>
      <w:bookmarkEnd w:id="1"/>
    </w:p>
    <w:p w14:paraId="777C348F" w14:textId="23F84003" w:rsidR="001A60D7" w:rsidRPr="00CC4E47" w:rsidRDefault="005F30E7" w:rsidP="0045688C">
      <w:r w:rsidRPr="00CC4E47">
        <w:t>The Fire and Rescue Nati</w:t>
      </w:r>
      <w:r w:rsidR="00DE2446" w:rsidRPr="00CC4E47">
        <w:t>onal Framework for England (2018</w:t>
      </w:r>
      <w:r w:rsidRPr="00CC4E47">
        <w:t>) provides overall strategic direction to English Fire and Rescue Authorities (FRA). It sets out the Government’s priorities and objectives and places a requirement on all FRA’s to provide assurance to their communities and to Government on financial, governance and operational matters.</w:t>
      </w:r>
    </w:p>
    <w:p w14:paraId="72F940FD" w14:textId="34993ADC" w:rsidR="005F30E7" w:rsidRPr="00CC4E47" w:rsidRDefault="005F30E7" w:rsidP="0045688C">
      <w:r w:rsidRPr="00CC4E47">
        <w:t xml:space="preserve">This Statement of Assurance aims to provide the necessary accountability and transparency to the people of Lancashire and evidence that their Fire and Rescue Service continues to deliver under the expectations detailed within both the National Framework and our own </w:t>
      </w:r>
      <w:r w:rsidR="0045688C">
        <w:t>Community</w:t>
      </w:r>
      <w:r w:rsidRPr="00CC4E47">
        <w:t xml:space="preserve"> Risk Management Plan (</w:t>
      </w:r>
      <w:r w:rsidR="0045688C">
        <w:t>C</w:t>
      </w:r>
      <w:r w:rsidRPr="00CC4E47">
        <w:t>RMP).</w:t>
      </w:r>
    </w:p>
    <w:p w14:paraId="5F3F319B" w14:textId="19C3D6A6" w:rsidR="000C5E4C" w:rsidRDefault="005F30E7" w:rsidP="0045688C">
      <w:r w:rsidRPr="00CC4E47">
        <w:t xml:space="preserve">This statement sits alongside our </w:t>
      </w:r>
      <w:r w:rsidR="0045688C">
        <w:t>C</w:t>
      </w:r>
      <w:r w:rsidRPr="00CC4E47">
        <w:t>RMP, Statement of Accounts</w:t>
      </w:r>
      <w:r w:rsidR="00630598" w:rsidRPr="00CC4E47">
        <w:t>, the Annual Governance Statement</w:t>
      </w:r>
      <w:r w:rsidRPr="00CC4E47">
        <w:t xml:space="preserve"> and </w:t>
      </w:r>
      <w:r w:rsidR="0045688C">
        <w:t>the</w:t>
      </w:r>
      <w:r w:rsidR="00E85165" w:rsidRPr="00CC4E47">
        <w:t xml:space="preserve"> Annual </w:t>
      </w:r>
      <w:r w:rsidR="00DE2446" w:rsidRPr="00CC4E47">
        <w:t>Service Plan and Annual Service</w:t>
      </w:r>
      <w:r w:rsidR="00E85165" w:rsidRPr="00CC4E47">
        <w:t xml:space="preserve"> Report</w:t>
      </w:r>
      <w:r w:rsidRPr="00CC4E47">
        <w:t xml:space="preserve">.  It details what measures are in place to assure that the Combined Fire Authority’s performance is efficient, </w:t>
      </w:r>
      <w:r w:rsidR="00882EA8" w:rsidRPr="00CC4E47">
        <w:t>economic,</w:t>
      </w:r>
      <w:r w:rsidRPr="00CC4E47">
        <w:t xml:space="preserve"> and effective.</w:t>
      </w:r>
    </w:p>
    <w:p w14:paraId="690671AE" w14:textId="77777777" w:rsidR="00472FCA" w:rsidRPr="00CC4E47" w:rsidRDefault="00472FCA" w:rsidP="00472FCA">
      <w:pPr>
        <w:pStyle w:val="Heading2"/>
        <w:rPr>
          <w:i/>
        </w:rPr>
      </w:pPr>
      <w:bookmarkStart w:id="2" w:name="_Toc56678084"/>
      <w:bookmarkStart w:id="3" w:name="_Toc187398654"/>
      <w:r w:rsidRPr="00CC4E47">
        <w:t xml:space="preserve">The </w:t>
      </w:r>
      <w:r w:rsidRPr="003F70E6">
        <w:t>County</w:t>
      </w:r>
      <w:r w:rsidRPr="00CC4E47">
        <w:t xml:space="preserve"> of Lancashire</w:t>
      </w:r>
      <w:bookmarkEnd w:id="2"/>
      <w:bookmarkEnd w:id="3"/>
    </w:p>
    <w:p w14:paraId="37441F71" w14:textId="05BC7BC6" w:rsidR="00472FCA" w:rsidRPr="0045688C" w:rsidRDefault="00472FCA" w:rsidP="00472FCA">
      <w:pPr>
        <w:rPr>
          <w:highlight w:val="yellow"/>
        </w:rPr>
      </w:pPr>
      <w:r w:rsidRPr="00CC4E47">
        <w:t>Lancashire comprises of 14 districts, 12 of which are within the Lancashire County Council area (Burnley, Chorley, Fylde, Hyndburn, Lancaster, Pendle, Preston</w:t>
      </w:r>
      <w:r>
        <w:t>,</w:t>
      </w:r>
      <w:r w:rsidRPr="00CC4E47">
        <w:t xml:space="preserve"> Ribble Valley, Rossendale, South Ribble, West Lancashire,</w:t>
      </w:r>
      <w:r>
        <w:t xml:space="preserve"> and</w:t>
      </w:r>
      <w:r w:rsidRPr="00CC4E47">
        <w:t xml:space="preserve"> Wyre) and 2 unitary authorities of Blackpool and Blackburn-with-Darwen. The area is home to a resident po</w:t>
      </w:r>
      <w:r w:rsidRPr="00605088">
        <w:t>pulation of circa 1.53 million people (Census 2021) and is one of the most populated and urbanised shire counties within Great Britain, with a legacy of historical, industrial heritage.</w:t>
      </w:r>
    </w:p>
    <w:p w14:paraId="4B76F5DC" w14:textId="2AE515C0" w:rsidR="00472FCA" w:rsidRPr="00605088" w:rsidRDefault="00472FCA" w:rsidP="00472FCA">
      <w:r w:rsidRPr="00605088">
        <w:t xml:space="preserve">Lancashire covers just over 3,000 square kilometres including 123 kilometres of coastline stretching from Morecambe Bay in the north of the county, down to the sands of West Lancashire in the south. The County has an extensive motorway network, port facilities, nuclear installations and airports and is home to a diverse demographic, with just over 20% of our population being over retirement age and 10% representing Black Minority Ethnic (BME) communities. </w:t>
      </w:r>
    </w:p>
    <w:p w14:paraId="736F58CE" w14:textId="318030C8" w:rsidR="00472FCA" w:rsidRDefault="00472FCA" w:rsidP="0045688C">
      <w:r w:rsidRPr="00605088">
        <w:lastRenderedPageBreak/>
        <w:t>The County is bordered by Cumbria to the north and North Yorkshire, West Yorkshire, Greater Manchester, and Merseyside moving from east to south. The major conurbations are Lancaster, Preston, Burnley, Blackburn, Accrington, Chorley, and the seasonal town of Blackpool which receives around 18 million visitors per year.</w:t>
      </w:r>
    </w:p>
    <w:p w14:paraId="40D2C434" w14:textId="5FE036AE" w:rsidR="00472FCA" w:rsidRDefault="00472FCA" w:rsidP="00472FCA">
      <w:pPr>
        <w:pStyle w:val="Heading1"/>
      </w:pPr>
      <w:bookmarkStart w:id="4" w:name="_Toc187398655"/>
      <w:bookmarkStart w:id="5" w:name="_Toc56678083"/>
      <w:bookmarkStart w:id="6" w:name="_Hlk146185787"/>
      <w:r>
        <w:t>Governance</w:t>
      </w:r>
      <w:bookmarkEnd w:id="4"/>
    </w:p>
    <w:p w14:paraId="165EDF5A" w14:textId="4066BFA4" w:rsidR="005F30E7" w:rsidRPr="00654456" w:rsidRDefault="005F30E7" w:rsidP="003F70E6">
      <w:pPr>
        <w:pStyle w:val="Heading2"/>
      </w:pPr>
      <w:bookmarkStart w:id="7" w:name="_Toc187398656"/>
      <w:r w:rsidRPr="00654456">
        <w:t>Lancashire Combined Fire Authorit</w:t>
      </w:r>
      <w:r w:rsidR="000C5E4C" w:rsidRPr="00654456">
        <w:t>y</w:t>
      </w:r>
      <w:bookmarkEnd w:id="5"/>
      <w:bookmarkEnd w:id="7"/>
    </w:p>
    <w:p w14:paraId="50AB4394" w14:textId="2537D1E1" w:rsidR="005F30E7" w:rsidRPr="00CC4E47" w:rsidRDefault="005F30E7" w:rsidP="0045688C">
      <w:r w:rsidRPr="00CC4E47">
        <w:t xml:space="preserve">Lancashire Combined Fire Authority (CFA) is made up of 25 elected councillors drawn from Lancashire County Council (19) and the unitary authorities of Blackburn-with-Darwen (3) and Blackpool (3). </w:t>
      </w:r>
      <w:bookmarkEnd w:id="6"/>
      <w:r w:rsidRPr="00CC4E47">
        <w:t xml:space="preserve">The CFA is responsible under the Fire </w:t>
      </w:r>
      <w:r w:rsidR="0045688C">
        <w:t>and</w:t>
      </w:r>
      <w:r w:rsidRPr="00CC4E47">
        <w:t xml:space="preserve"> Rescue Services Act 2004 for providing a Fire and Rescue Service in Lancashire. This involves the provi</w:t>
      </w:r>
      <w:r w:rsidR="00910788" w:rsidRPr="00CC4E47">
        <w:t xml:space="preserve">sion, training and equipping </w:t>
      </w:r>
      <w:r w:rsidR="007637DF">
        <w:t xml:space="preserve">of </w:t>
      </w:r>
      <w:r w:rsidRPr="00CC4E47">
        <w:t>our staff to undertake firefighting operations, fire safety work, rescue of persons from road traffic collisions and preparing for our response to other emergency situations.  The CFA is the body legally responsible for enforcing the Regulatory Reform (Fire Safety) Order 2005 and is a designated Category 1 responder under th</w:t>
      </w:r>
      <w:r w:rsidR="000C5E4C" w:rsidRPr="00CC4E47">
        <w:t>e Civil Contingencies Act 2004.</w:t>
      </w:r>
    </w:p>
    <w:p w14:paraId="554C7455" w14:textId="697B61F4" w:rsidR="000C5E4C" w:rsidRPr="00CC4E47" w:rsidRDefault="005F30E7" w:rsidP="0090028D">
      <w:r w:rsidRPr="00CC4E47">
        <w:t>The CFA ensures that the work of the Fire and Rescue Service is efficient, effective and provides value</w:t>
      </w:r>
      <w:r w:rsidR="001D04A6" w:rsidRPr="00CC4E47">
        <w:t xml:space="preserve"> for money</w:t>
      </w:r>
      <w:r w:rsidRPr="00CC4E47">
        <w:t>. To achieve this, they operate under a framework of five full meetings each year</w:t>
      </w:r>
      <w:r w:rsidR="000C5E4C" w:rsidRPr="00CC4E47">
        <w:t xml:space="preserve"> </w:t>
      </w:r>
      <w:r w:rsidRPr="00CC4E47">
        <w:t xml:space="preserve">which are supplemented by </w:t>
      </w:r>
      <w:proofErr w:type="gramStart"/>
      <w:r w:rsidRPr="00CC4E47">
        <w:t>a number of</w:t>
      </w:r>
      <w:proofErr w:type="gramEnd"/>
      <w:r w:rsidRPr="00CC4E47">
        <w:t xml:space="preserve"> smaller committees focusing upon Planning, Performance, Resources, Audit and Appeals.</w:t>
      </w:r>
    </w:p>
    <w:p w14:paraId="7117CC79" w14:textId="0692D293" w:rsidR="005F30E7" w:rsidRPr="000C5CCE" w:rsidRDefault="000C5E4C" w:rsidP="0090028D">
      <w:r w:rsidRPr="000C5CCE">
        <w:t>F</w:t>
      </w:r>
      <w:r w:rsidR="005F30E7" w:rsidRPr="000C5CCE">
        <w:t xml:space="preserve">urther information on the afore-mentioned committees </w:t>
      </w:r>
      <w:r w:rsidRPr="000C5CCE">
        <w:t xml:space="preserve">is </w:t>
      </w:r>
      <w:r w:rsidR="005F30E7" w:rsidRPr="000C5CCE">
        <w:t xml:space="preserve">accessible via our website at </w:t>
      </w:r>
      <w:hyperlink r:id="rId9" w:history="1">
        <w:r w:rsidR="00516E04" w:rsidRPr="00CA557F">
          <w:rPr>
            <w:rStyle w:val="Hyperlink"/>
            <w:rFonts w:cs="Arial"/>
            <w:u w:val="none"/>
          </w:rPr>
          <w:t>https://cfa.lancsfirerescue.org.uk/</w:t>
        </w:r>
      </w:hyperlink>
    </w:p>
    <w:p w14:paraId="0D6AA02F" w14:textId="3F1818DA" w:rsidR="005F30E7" w:rsidRPr="00CC4E47" w:rsidRDefault="005F30E7" w:rsidP="00CC4E47">
      <w:pPr>
        <w:pStyle w:val="Heading2"/>
        <w:ind w:right="-57"/>
        <w:rPr>
          <w:rFonts w:cs="Arial"/>
          <w:i/>
        </w:rPr>
      </w:pPr>
      <w:bookmarkStart w:id="8" w:name="_Toc56678085"/>
      <w:bookmarkStart w:id="9" w:name="_Toc187398657"/>
      <w:r w:rsidRPr="00CC4E47">
        <w:rPr>
          <w:rFonts w:cs="Arial"/>
        </w:rPr>
        <w:t>Lancashire Fire and Rescue Service (LFRS</w:t>
      </w:r>
      <w:bookmarkEnd w:id="8"/>
      <w:r w:rsidR="0043225C">
        <w:rPr>
          <w:rFonts w:cs="Arial"/>
        </w:rPr>
        <w:t>)</w:t>
      </w:r>
      <w:bookmarkEnd w:id="9"/>
    </w:p>
    <w:p w14:paraId="4E8FF062" w14:textId="59A7E9B2" w:rsidR="005F30E7" w:rsidRPr="008838E4" w:rsidRDefault="005F30E7" w:rsidP="0045688C">
      <w:r w:rsidRPr="00CC4E47">
        <w:t xml:space="preserve">LFRS is the service provider on behalf of the CFA. We currently operate from </w:t>
      </w:r>
      <w:r w:rsidR="00220580" w:rsidRPr="008838E4">
        <w:t>39</w:t>
      </w:r>
      <w:r w:rsidRPr="008838E4">
        <w:t xml:space="preserve"> locations (with 58 front-line fire engines and a fleet of specialist vehicles), a specialist Urban Search and Rescue unit, Service Headquarters </w:t>
      </w:r>
      <w:r w:rsidR="008A10FD" w:rsidRPr="008838E4">
        <w:t>in</w:t>
      </w:r>
      <w:r w:rsidRPr="008838E4">
        <w:t xml:space="preserve"> Fulwood and our </w:t>
      </w:r>
      <w:r w:rsidR="003B73A2">
        <w:t>Lea</w:t>
      </w:r>
      <w:r w:rsidR="003D19EE">
        <w:t>dership</w:t>
      </w:r>
      <w:r w:rsidR="003B73A2">
        <w:t xml:space="preserve"> and Development Centre</w:t>
      </w:r>
      <w:r w:rsidRPr="008838E4">
        <w:t xml:space="preserve"> in Euxton, Chorley. </w:t>
      </w:r>
      <w:r w:rsidR="00785FF9" w:rsidRPr="008838E4">
        <w:t>LFRS s</w:t>
      </w:r>
      <w:r w:rsidRPr="008838E4">
        <w:t xml:space="preserve">taff deliver an </w:t>
      </w:r>
      <w:r w:rsidRPr="008838E4">
        <w:lastRenderedPageBreak/>
        <w:t xml:space="preserve">extensive range of prevention, </w:t>
      </w:r>
      <w:r w:rsidR="00882EA8" w:rsidRPr="008838E4">
        <w:t>protection,</w:t>
      </w:r>
      <w:r w:rsidRPr="008838E4">
        <w:t xml:space="preserve"> and emergency response </w:t>
      </w:r>
      <w:r w:rsidR="00785FF9" w:rsidRPr="008838E4">
        <w:t>services throughout Lancashire.</w:t>
      </w:r>
    </w:p>
    <w:p w14:paraId="0305BA1E" w14:textId="12935E25" w:rsidR="005F30E7" w:rsidRPr="00CC4E47" w:rsidRDefault="005F30E7" w:rsidP="0090028D">
      <w:bookmarkStart w:id="10" w:name="_Hlk81992617"/>
      <w:r w:rsidRPr="008838E4">
        <w:t xml:space="preserve">To deliver these services, we employ circa </w:t>
      </w:r>
      <w:r w:rsidR="00D75639" w:rsidRPr="00FA2CC5">
        <w:t>9</w:t>
      </w:r>
      <w:r w:rsidR="00611C5B">
        <w:t>0</w:t>
      </w:r>
      <w:r w:rsidR="00FA2CC5" w:rsidRPr="00FA2CC5">
        <w:t>0</w:t>
      </w:r>
      <w:r w:rsidR="00D37FF5" w:rsidRPr="008838E4">
        <w:t xml:space="preserve"> </w:t>
      </w:r>
      <w:r w:rsidRPr="008838E4">
        <w:t>operational staff in a wid</w:t>
      </w:r>
      <w:r w:rsidRPr="00CC4E47">
        <w:t>e variety of roles using a variety of shift systems</w:t>
      </w:r>
      <w:r w:rsidR="00FD15F9" w:rsidRPr="00CC4E47">
        <w:t>;</w:t>
      </w:r>
      <w:r w:rsidRPr="00CC4E47">
        <w:t xml:space="preserve"> </w:t>
      </w:r>
      <w:r w:rsidR="002F2F95" w:rsidRPr="00CC4E47">
        <w:t>Whole-time</w:t>
      </w:r>
      <w:r w:rsidR="006E77AE" w:rsidRPr="00CC4E47">
        <w:t>, On-Call</w:t>
      </w:r>
      <w:r w:rsidRPr="00CC4E47">
        <w:t xml:space="preserve">, </w:t>
      </w:r>
      <w:r w:rsidR="00882EA8">
        <w:t xml:space="preserve">Flexible </w:t>
      </w:r>
      <w:r w:rsidRPr="00CC4E47">
        <w:t>Day Crew</w:t>
      </w:r>
      <w:r w:rsidR="00FD15F9" w:rsidRPr="00CC4E47">
        <w:t>ed</w:t>
      </w:r>
      <w:r w:rsidRPr="00CC4E47">
        <w:t>,</w:t>
      </w:r>
      <w:r w:rsidR="00FD15F9" w:rsidRPr="00CC4E47">
        <w:t xml:space="preserve"> Day Crewing Plus and Day Duty</w:t>
      </w:r>
      <w:r w:rsidR="00C41061">
        <w:t>.</w:t>
      </w:r>
      <w:r w:rsidR="00FD15F9" w:rsidRPr="00CC4E47">
        <w:t xml:space="preserve"> </w:t>
      </w:r>
    </w:p>
    <w:bookmarkEnd w:id="10"/>
    <w:p w14:paraId="214D28CA" w14:textId="19BD32EC" w:rsidR="009F1DCE" w:rsidRDefault="00C64B09" w:rsidP="009F1DCE">
      <w:r w:rsidRPr="00CC4E47">
        <w:t>O</w:t>
      </w:r>
      <w:r w:rsidR="005F30E7" w:rsidRPr="00CC4E47">
        <w:t xml:space="preserve">ur Mobilising and Control Centre moved to </w:t>
      </w:r>
      <w:proofErr w:type="gramStart"/>
      <w:r w:rsidR="005F30E7" w:rsidRPr="00CC4E47">
        <w:t>North West</w:t>
      </w:r>
      <w:proofErr w:type="gramEnd"/>
      <w:r w:rsidR="005F30E7" w:rsidRPr="00CC4E47">
        <w:t xml:space="preserve"> Fire Control</w:t>
      </w:r>
      <w:r w:rsidR="00FD15F9" w:rsidRPr="00CC4E47">
        <w:t xml:space="preserve"> </w:t>
      </w:r>
      <w:r w:rsidR="005F30E7" w:rsidRPr="00CC4E47">
        <w:t>(NWFC)</w:t>
      </w:r>
      <w:r w:rsidRPr="00CC4E47">
        <w:t xml:space="preserve">, </w:t>
      </w:r>
      <w:r w:rsidR="005F30E7" w:rsidRPr="00CC4E47">
        <w:t>Warrington</w:t>
      </w:r>
      <w:r w:rsidR="00910788" w:rsidRPr="00CC4E47">
        <w:t xml:space="preserve"> in 2014. We work</w:t>
      </w:r>
      <w:r w:rsidR="005F30E7" w:rsidRPr="00CC4E47">
        <w:t xml:space="preserve"> collaboratively with Cumbria, Greater Manchester and Cheshire Fire and Rescue Services. </w:t>
      </w:r>
    </w:p>
    <w:p w14:paraId="4680A2ED" w14:textId="73732CAA" w:rsidR="009F1DCE" w:rsidRDefault="009F1DCE" w:rsidP="008E6441">
      <w:pPr>
        <w:jc w:val="center"/>
      </w:pPr>
      <w:r>
        <w:rPr>
          <w:noProof/>
        </w:rPr>
        <w:drawing>
          <wp:inline distT="0" distB="0" distL="0" distR="0" wp14:anchorId="24855A04" wp14:editId="020A14ED">
            <wp:extent cx="3415375" cy="4523509"/>
            <wp:effectExtent l="0" t="0" r="0" b="0"/>
            <wp:docPr id="884694758" name="Picture 1" descr="Map of Service Delivery Areas and Fire Station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94758" name="Picture 1" descr="Map of Service Delivery Areas and Fire Station locations"/>
                    <pic:cNvPicPr/>
                  </pic:nvPicPr>
                  <pic:blipFill rotWithShape="1">
                    <a:blip r:embed="rId10"/>
                    <a:srcRect l="32848" t="15582" r="32625"/>
                    <a:stretch/>
                  </pic:blipFill>
                  <pic:spPr bwMode="auto">
                    <a:xfrm>
                      <a:off x="0" y="0"/>
                      <a:ext cx="3440971" cy="4557409"/>
                    </a:xfrm>
                    <a:prstGeom prst="rect">
                      <a:avLst/>
                    </a:prstGeom>
                    <a:ln>
                      <a:noFill/>
                    </a:ln>
                    <a:extLst>
                      <a:ext uri="{53640926-AAD7-44D8-BBD7-CCE9431645EC}">
                        <a14:shadowObscured xmlns:a14="http://schemas.microsoft.com/office/drawing/2010/main"/>
                      </a:ext>
                    </a:extLst>
                  </pic:spPr>
                </pic:pic>
              </a:graphicData>
            </a:graphic>
          </wp:inline>
        </w:drawing>
      </w:r>
    </w:p>
    <w:p w14:paraId="1FFC0BA3" w14:textId="5FC035F4" w:rsidR="00FD15F9" w:rsidRDefault="00491B1D" w:rsidP="005D3102">
      <w:pPr>
        <w:pBdr>
          <w:top w:val="single" w:sz="4" w:space="1" w:color="auto"/>
          <w:bottom w:val="single" w:sz="4" w:space="1" w:color="auto"/>
        </w:pBdr>
        <w:jc w:val="center"/>
      </w:pPr>
      <w:r w:rsidRPr="0038218F">
        <w:t xml:space="preserve">Figure </w:t>
      </w:r>
      <w:r w:rsidR="005A4C18" w:rsidRPr="0038218F">
        <w:t xml:space="preserve">1 </w:t>
      </w:r>
      <w:r w:rsidRPr="0038218F">
        <w:t>- Service Delivery Areas and Fire Station locations</w:t>
      </w:r>
    </w:p>
    <w:p w14:paraId="57BF40BC" w14:textId="77777777" w:rsidR="00472FCA" w:rsidRPr="00CC4E47" w:rsidRDefault="00472FCA" w:rsidP="005D3102">
      <w:pPr>
        <w:pStyle w:val="Heading1"/>
        <w:rPr>
          <w:i/>
        </w:rPr>
      </w:pPr>
      <w:bookmarkStart w:id="11" w:name="_Toc56678089"/>
      <w:bookmarkStart w:id="12" w:name="_Toc187398658"/>
      <w:r>
        <w:t>Community</w:t>
      </w:r>
      <w:r w:rsidRPr="00CC4E47">
        <w:t xml:space="preserve"> </w:t>
      </w:r>
      <w:r w:rsidRPr="003F70E6">
        <w:t>Risk</w:t>
      </w:r>
      <w:r w:rsidRPr="00CC4E47">
        <w:t xml:space="preserve"> Management Plan (</w:t>
      </w:r>
      <w:r>
        <w:t>C</w:t>
      </w:r>
      <w:r w:rsidRPr="00CC4E47">
        <w:t>RMP)</w:t>
      </w:r>
      <w:bookmarkEnd w:id="11"/>
      <w:bookmarkEnd w:id="12"/>
    </w:p>
    <w:p w14:paraId="5F23538C" w14:textId="0A5758BC" w:rsidR="00472FCA" w:rsidRPr="00CC4E47" w:rsidRDefault="00472FCA" w:rsidP="00472FCA">
      <w:r w:rsidRPr="00CC4E47">
        <w:t xml:space="preserve">Our </w:t>
      </w:r>
      <w:r>
        <w:t>Community</w:t>
      </w:r>
      <w:r w:rsidRPr="00CC4E47">
        <w:t xml:space="preserve"> Risk Management Plan (</w:t>
      </w:r>
      <w:r>
        <w:t>C</w:t>
      </w:r>
      <w:r w:rsidRPr="00CC4E47">
        <w:t>RMP) is a public facing document covering the period 20</w:t>
      </w:r>
      <w:r>
        <w:t>22</w:t>
      </w:r>
      <w:r w:rsidRPr="00CC4E47">
        <w:t>-2</w:t>
      </w:r>
      <w:r>
        <w:t>7</w:t>
      </w:r>
      <w:r w:rsidRPr="00CC4E47">
        <w:t xml:space="preserve">. This plan is in place to provide the opportunity for </w:t>
      </w:r>
      <w:r w:rsidRPr="00CC4E47">
        <w:lastRenderedPageBreak/>
        <w:t>LFRS to demonstrate how, we as an organisation, identify and assess all foreseeable fire and rescue related risks and challenges that could affect our communities over the 5-year period and how we plan to mitigate such risks or reduce their potential impact.</w:t>
      </w:r>
    </w:p>
    <w:p w14:paraId="6949073C" w14:textId="1919038C" w:rsidR="00472FCA" w:rsidRPr="004240B1" w:rsidRDefault="00472FCA" w:rsidP="00472FCA">
      <w:pPr>
        <w:rPr>
          <w:rStyle w:val="Hyperlink"/>
        </w:rPr>
      </w:pPr>
      <w:r w:rsidRPr="00CC4E47">
        <w:t xml:space="preserve">Key to the successful identification and management of risk is our ability to maintain a clear and current understanding of the present and future threats to Lancashire’s communities. Risk in Lancashire remains dynamic, constantly changing and differs between districts, which requires varying preventative activities. As a result, no single activity to reduce risk is adequate in all circumstances and a mix of prevention, protection and response activities delivered by a range of organisations is needed to reduce the likelihood of the risk event occurring or to lessen its consequences. This depth of understanding underpins everything we do, driving our governance and planning arrangements; our findings are published within the </w:t>
      </w:r>
      <w:r w:rsidR="004240B1">
        <w:rPr>
          <w:rFonts w:cs="Arial"/>
        </w:rPr>
        <w:fldChar w:fldCharType="begin"/>
      </w:r>
      <w:r w:rsidR="00C06AAD">
        <w:rPr>
          <w:rFonts w:cs="Arial"/>
        </w:rPr>
        <w:instrText>HYPERLINK "https://www.lancsfirerescue.org.uk/about/publications"</w:instrText>
      </w:r>
      <w:r w:rsidR="004240B1">
        <w:rPr>
          <w:rFonts w:cs="Arial"/>
        </w:rPr>
      </w:r>
      <w:r w:rsidR="004240B1">
        <w:rPr>
          <w:rFonts w:cs="Arial"/>
        </w:rPr>
        <w:fldChar w:fldCharType="separate"/>
      </w:r>
      <w:r w:rsidRPr="00CA557F">
        <w:rPr>
          <w:rStyle w:val="Hyperlink"/>
          <w:rFonts w:cs="Arial"/>
          <w:u w:val="none"/>
        </w:rPr>
        <w:t>Strategic Assessment of Risk</w:t>
      </w:r>
      <w:r w:rsidRPr="00CA557F">
        <w:rPr>
          <w:rStyle w:val="Hyperlink"/>
          <w:u w:val="none"/>
        </w:rPr>
        <w:t>.</w:t>
      </w:r>
    </w:p>
    <w:bookmarkStart w:id="13" w:name="_Toc56678090"/>
    <w:p w14:paraId="31A77FC9" w14:textId="35805ED2" w:rsidR="00472FCA" w:rsidRPr="00CC4E47" w:rsidRDefault="004240B1" w:rsidP="005B52D2">
      <w:pPr>
        <w:pStyle w:val="Heading2"/>
      </w:pPr>
      <w:r>
        <w:rPr>
          <w:rFonts w:eastAsiaTheme="minorEastAsia" w:cs="Arial"/>
          <w:sz w:val="24"/>
          <w:szCs w:val="22"/>
        </w:rPr>
        <w:fldChar w:fldCharType="end"/>
      </w:r>
      <w:bookmarkStart w:id="14" w:name="_Toc187398659"/>
      <w:r w:rsidR="00472FCA" w:rsidRPr="00CC4E47">
        <w:t xml:space="preserve">Planning </w:t>
      </w:r>
      <w:r w:rsidR="00472FCA">
        <w:t>and</w:t>
      </w:r>
      <w:r w:rsidR="00472FCA" w:rsidRPr="00CC4E47">
        <w:t xml:space="preserve"> </w:t>
      </w:r>
      <w:r w:rsidR="00472FCA" w:rsidRPr="003F70E6">
        <w:t>Performance</w:t>
      </w:r>
      <w:bookmarkEnd w:id="13"/>
      <w:bookmarkEnd w:id="14"/>
    </w:p>
    <w:p w14:paraId="01DE0695" w14:textId="61B06722" w:rsidR="00472FCA" w:rsidRPr="00CC4E47" w:rsidRDefault="00472FCA" w:rsidP="00472FCA">
      <w:r w:rsidRPr="00CC4E47">
        <w:t xml:space="preserve">To meet the requirements of the </w:t>
      </w:r>
      <w:r>
        <w:t>C</w:t>
      </w:r>
      <w:r w:rsidRPr="00CC4E47">
        <w:t xml:space="preserve">RMP the Service reviews its priorities and targets annually, this supports continual improvement and provides the opportunity to ensure that we undertake activities dependent on the requirements of our environment. Our </w:t>
      </w:r>
      <w:r>
        <w:t>c</w:t>
      </w:r>
      <w:r w:rsidRPr="00CC4E47">
        <w:t xml:space="preserve">orporate planning process has been developed to provide a rigorous yet flexible process that allows the Service to assess and respond to opportunities and threats as and when they emerge. Whilst the </w:t>
      </w:r>
      <w:r>
        <w:t>C</w:t>
      </w:r>
      <w:r w:rsidRPr="00CC4E47">
        <w:t>RMP is in place to set out the strategic direction of the Service in the medium term, the Service also has in place a forward-looking</w:t>
      </w:r>
      <w:r w:rsidRPr="00CA557F">
        <w:t xml:space="preserve"> </w:t>
      </w:r>
      <w:hyperlink r:id="rId11" w:history="1">
        <w:r w:rsidRPr="00CA557F">
          <w:rPr>
            <w:rStyle w:val="Hyperlink"/>
            <w:rFonts w:cs="Arial"/>
            <w:u w:val="none"/>
          </w:rPr>
          <w:t>Annual Service Plan</w:t>
        </w:r>
      </w:hyperlink>
      <w:r w:rsidRPr="00CC4E47">
        <w:t xml:space="preserve"> which clearly sets out what we will deliver over the coming 12 months, this is </w:t>
      </w:r>
      <w:r>
        <w:t>complement</w:t>
      </w:r>
      <w:r w:rsidRPr="00CC4E47">
        <w:t xml:space="preserve">ed by the </w:t>
      </w:r>
      <w:hyperlink r:id="rId12" w:history="1">
        <w:r w:rsidRPr="00CA557F">
          <w:rPr>
            <w:rStyle w:val="Hyperlink"/>
            <w:rFonts w:cs="Arial"/>
            <w:u w:val="none"/>
          </w:rPr>
          <w:t>Annual Service Report</w:t>
        </w:r>
      </w:hyperlink>
      <w:r w:rsidRPr="00CC4E47">
        <w:t xml:space="preserve"> which reflects our achievement against those objectives at the year end.</w:t>
      </w:r>
    </w:p>
    <w:p w14:paraId="6CF812AE" w14:textId="657DD689" w:rsidR="00472FCA" w:rsidRDefault="00472FCA" w:rsidP="0099372B">
      <w:r w:rsidRPr="00CC4E47">
        <w:t xml:space="preserve">In addition to this on a quarterly basis, we produce a performance management report known as </w:t>
      </w:r>
      <w:hyperlink r:id="rId13" w:history="1">
        <w:r w:rsidRPr="00CA557F">
          <w:rPr>
            <w:rStyle w:val="Hyperlink"/>
            <w:u w:val="none"/>
          </w:rPr>
          <w:t>‘</w:t>
        </w:r>
        <w:r w:rsidRPr="00CA557F">
          <w:rPr>
            <w:rStyle w:val="Hyperlink"/>
            <w:rFonts w:cs="Arial"/>
            <w:u w:val="none"/>
          </w:rPr>
          <w:t>Measuring Progress’</w:t>
        </w:r>
      </w:hyperlink>
      <w:r w:rsidRPr="00CA557F">
        <w:t>.</w:t>
      </w:r>
      <w:r w:rsidRPr="00CC4E47">
        <w:t xml:space="preserve"> The content of this report is considered at Senior Management Team meetings and by the Performance Committee of the CFA.</w:t>
      </w:r>
      <w:r w:rsidR="0099372B">
        <w:t xml:space="preserve"> LFRS is open and transparent and ensures performance information is </w:t>
      </w:r>
      <w:r w:rsidR="0099372B">
        <w:lastRenderedPageBreak/>
        <w:t>routinely made available on its website for any stakeholders, including communities, to scrutinise.</w:t>
      </w:r>
    </w:p>
    <w:p w14:paraId="2A658515" w14:textId="77D8BB5A" w:rsidR="00B303D9" w:rsidRPr="00CC4E47" w:rsidRDefault="00B303D9" w:rsidP="005B52D2">
      <w:pPr>
        <w:pStyle w:val="Heading2"/>
      </w:pPr>
      <w:bookmarkStart w:id="15" w:name="_Toc56678091"/>
      <w:bookmarkStart w:id="16" w:name="_Toc187398660"/>
      <w:bookmarkStart w:id="17" w:name="_Hlk146189866"/>
      <w:r w:rsidRPr="003F70E6">
        <w:t>Consultation</w:t>
      </w:r>
      <w:bookmarkEnd w:id="15"/>
      <w:bookmarkEnd w:id="16"/>
    </w:p>
    <w:p w14:paraId="2F21BB04" w14:textId="2FF9015B" w:rsidR="00026AE3" w:rsidRDefault="00B303D9" w:rsidP="00026AE3">
      <w:r w:rsidRPr="00CC4E47">
        <w:t xml:space="preserve">External and internal consultation is an essential part of the development of the </w:t>
      </w:r>
      <w:r>
        <w:t>C</w:t>
      </w:r>
      <w:r w:rsidRPr="00CC4E47">
        <w:t xml:space="preserve">RMP and subsequent reviews, and as such we have a clearly defined </w:t>
      </w:r>
      <w:hyperlink r:id="rId14" w:history="1">
        <w:r w:rsidRPr="00CA557F">
          <w:rPr>
            <w:rStyle w:val="Hyperlink"/>
            <w:rFonts w:cs="Arial"/>
            <w:u w:val="none"/>
          </w:rPr>
          <w:t>Consultation Strategy</w:t>
        </w:r>
      </w:hyperlink>
      <w:r w:rsidRPr="00CC4E47">
        <w:rPr>
          <w:color w:val="1F497D"/>
        </w:rPr>
        <w:t xml:space="preserve">. </w:t>
      </w:r>
      <w:r w:rsidRPr="00CC4E47">
        <w:t xml:space="preserve">We use a variety of methods for engaging with community members and for every consultation exercise completed, a summary report is provided to the relevant committee of the CFA. This process ensures that </w:t>
      </w:r>
      <w:r>
        <w:t>key</w:t>
      </w:r>
      <w:r w:rsidRPr="00CC4E47">
        <w:t xml:space="preserve"> stakeholders are consulted, involved, and informed of the proposals to ensure that their input is considered within the final plans.</w:t>
      </w:r>
      <w:bookmarkEnd w:id="17"/>
    </w:p>
    <w:p w14:paraId="788F1042" w14:textId="77777777" w:rsidR="000D6AA7" w:rsidRPr="00CC4E47" w:rsidRDefault="000D6AA7" w:rsidP="005B52D2">
      <w:pPr>
        <w:pStyle w:val="Heading2"/>
      </w:pPr>
      <w:bookmarkStart w:id="18" w:name="_Toc187398661"/>
      <w:r>
        <w:t>Community Risk Management</w:t>
      </w:r>
      <w:bookmarkEnd w:id="18"/>
    </w:p>
    <w:p w14:paraId="236FA425" w14:textId="7EB5D267" w:rsidR="000D6AA7" w:rsidRPr="00A04C34" w:rsidRDefault="000D6AA7" w:rsidP="000D6AA7">
      <w:r w:rsidRPr="00A04C34">
        <w:t xml:space="preserve">Our approach to integrated risk management is supported </w:t>
      </w:r>
      <w:proofErr w:type="gramStart"/>
      <w:r w:rsidRPr="00A04C34">
        <w:t>by the use of</w:t>
      </w:r>
      <w:proofErr w:type="gramEnd"/>
      <w:r w:rsidRPr="00A04C34">
        <w:t xml:space="preserve"> modelling.  The Office of National Statistics categorises every part of the UK into a small neighbourhood called a Lower Layer Super Output Area (LSOA). </w:t>
      </w:r>
      <w:bookmarkStart w:id="19" w:name="_Hlk185845336"/>
      <w:r w:rsidRPr="00A04C34">
        <w:t>There are</w:t>
      </w:r>
      <w:r w:rsidR="00595A5F">
        <w:t xml:space="preserve"> currently</w:t>
      </w:r>
      <w:r w:rsidRPr="00A04C34">
        <w:t xml:space="preserve"> 941 LSOA’s in Lancashire</w:t>
      </w:r>
      <w:bookmarkEnd w:id="19"/>
      <w:r w:rsidRPr="00A04C34">
        <w:t>, each containing an average of 1,500 people.  We use information about where fires have taken place in the past and combine this with various social deprivation data to give each area a risk grade.</w:t>
      </w:r>
    </w:p>
    <w:p w14:paraId="0CF8F623" w14:textId="77777777" w:rsidR="000D6AA7" w:rsidRPr="00A04C34" w:rsidRDefault="000D6AA7" w:rsidP="000D6AA7">
      <w:r w:rsidRPr="00A04C34">
        <w:t>The information is then used to identify geographic areas at higher risk where a combination of Prevention, Protection and Response activities can have the greatest impact.</w:t>
      </w:r>
    </w:p>
    <w:p w14:paraId="46075642" w14:textId="77777777" w:rsidR="000D6AA7" w:rsidRDefault="000D6AA7" w:rsidP="000D6AA7">
      <w:pPr>
        <w:spacing w:before="240" w:after="240"/>
      </w:pPr>
      <w:r w:rsidRPr="00A04C34">
        <w:t>This is utilised alongside the provision of tailored Safe and Well visits or Home Fire Safety Check service (HFSC) which is geared towards occupant risk and importantly, to those in greatest need and at greatest risk of fire.</w:t>
      </w:r>
    </w:p>
    <w:p w14:paraId="22850F00" w14:textId="2055AB29" w:rsidR="003F0CB5" w:rsidRDefault="000D6AA7" w:rsidP="000D6AA7">
      <w:r w:rsidRPr="00A04C34">
        <w:t xml:space="preserve">We update the risk model on a regular basis and use the outcomes to direct and re-prioritise our activities. </w:t>
      </w:r>
      <w:r w:rsidRPr="00116021">
        <w:t xml:space="preserve">Risk reduction progress over the last </w:t>
      </w:r>
      <w:r w:rsidR="00FC5951">
        <w:t>10</w:t>
      </w:r>
      <w:r w:rsidR="00FC5951" w:rsidRPr="00116021">
        <w:t xml:space="preserve"> </w:t>
      </w:r>
      <w:r w:rsidRPr="00116021">
        <w:t xml:space="preserve">years is depicted in the </w:t>
      </w:r>
      <w:r w:rsidRPr="005D3102">
        <w:t>table below.</w:t>
      </w:r>
    </w:p>
    <w:p w14:paraId="126DAF4D" w14:textId="77777777" w:rsidR="003F0CB5" w:rsidRDefault="003F0CB5">
      <w:pPr>
        <w:spacing w:before="0" w:line="276" w:lineRule="auto"/>
      </w:pPr>
      <w:r>
        <w:br w:type="page"/>
      </w:r>
    </w:p>
    <w:p w14:paraId="1B05A200" w14:textId="77777777" w:rsidR="000D6AA7" w:rsidRDefault="000D6AA7" w:rsidP="000D6AA7"/>
    <w:tbl>
      <w:tblPr>
        <w:tblStyle w:val="TableGrid"/>
        <w:tblW w:w="5035" w:type="pct"/>
        <w:tblLook w:val="04A0" w:firstRow="1" w:lastRow="0" w:firstColumn="1" w:lastColumn="0" w:noHBand="0" w:noVBand="1"/>
      </w:tblPr>
      <w:tblGrid>
        <w:gridCol w:w="1092"/>
        <w:gridCol w:w="1562"/>
        <w:gridCol w:w="1562"/>
        <w:gridCol w:w="1561"/>
        <w:gridCol w:w="1404"/>
        <w:gridCol w:w="1750"/>
      </w:tblGrid>
      <w:tr w:rsidR="000D6AA7" w:rsidRPr="00FC5951" w14:paraId="29C1009C" w14:textId="77777777" w:rsidTr="00593857">
        <w:tc>
          <w:tcPr>
            <w:tcW w:w="611" w:type="pct"/>
            <w:tcBorders>
              <w:top w:val="nil"/>
              <w:left w:val="nil"/>
              <w:bottom w:val="nil"/>
              <w:right w:val="single" w:sz="4" w:space="0" w:color="auto"/>
            </w:tcBorders>
          </w:tcPr>
          <w:p w14:paraId="659D317D" w14:textId="1194138C" w:rsidR="000D6AA7" w:rsidRPr="005D3102" w:rsidRDefault="000D6AA7" w:rsidP="00593857">
            <w:pPr>
              <w:spacing w:before="0" w:line="240" w:lineRule="auto"/>
              <w:jc w:val="center"/>
              <w:rPr>
                <w:rFonts w:cs="Arial"/>
                <w:szCs w:val="24"/>
              </w:rPr>
            </w:pPr>
          </w:p>
        </w:tc>
        <w:tc>
          <w:tcPr>
            <w:tcW w:w="874" w:type="pct"/>
            <w:tcBorders>
              <w:left w:val="single" w:sz="4" w:space="0" w:color="auto"/>
              <w:right w:val="single" w:sz="4" w:space="0" w:color="auto"/>
            </w:tcBorders>
            <w:shd w:val="clear" w:color="auto" w:fill="CC0000"/>
          </w:tcPr>
          <w:p w14:paraId="5A8074FB" w14:textId="77777777" w:rsidR="000D6AA7" w:rsidRPr="005D3102" w:rsidRDefault="000D6AA7" w:rsidP="00593857">
            <w:pPr>
              <w:spacing w:before="0" w:line="240" w:lineRule="auto"/>
              <w:jc w:val="center"/>
              <w:rPr>
                <w:rFonts w:cs="Arial"/>
                <w:b/>
                <w:bCs/>
                <w:color w:val="FFFFFF" w:themeColor="background1"/>
                <w:szCs w:val="24"/>
              </w:rPr>
            </w:pPr>
            <w:r w:rsidRPr="005D3102">
              <w:rPr>
                <w:rFonts w:cs="Arial"/>
                <w:b/>
                <w:bCs/>
                <w:color w:val="FFFFFF" w:themeColor="background1"/>
                <w:szCs w:val="24"/>
              </w:rPr>
              <w:t>Very High</w:t>
            </w:r>
          </w:p>
        </w:tc>
        <w:tc>
          <w:tcPr>
            <w:tcW w:w="874" w:type="pct"/>
            <w:tcBorders>
              <w:left w:val="single" w:sz="4" w:space="0" w:color="auto"/>
              <w:right w:val="single" w:sz="4" w:space="0" w:color="auto"/>
            </w:tcBorders>
            <w:shd w:val="clear" w:color="auto" w:fill="FFFF00"/>
          </w:tcPr>
          <w:p w14:paraId="0D14A298" w14:textId="77777777" w:rsidR="000D6AA7" w:rsidRPr="005D3102" w:rsidRDefault="000D6AA7" w:rsidP="00593857">
            <w:pPr>
              <w:spacing w:before="0" w:line="240" w:lineRule="auto"/>
              <w:jc w:val="center"/>
              <w:rPr>
                <w:rFonts w:cs="Arial"/>
                <w:b/>
                <w:bCs/>
                <w:szCs w:val="24"/>
              </w:rPr>
            </w:pPr>
            <w:r w:rsidRPr="005D3102">
              <w:rPr>
                <w:rFonts w:cs="Arial"/>
                <w:b/>
                <w:bCs/>
                <w:szCs w:val="24"/>
              </w:rPr>
              <w:t>High</w:t>
            </w:r>
          </w:p>
        </w:tc>
        <w:tc>
          <w:tcPr>
            <w:tcW w:w="874" w:type="pct"/>
            <w:tcBorders>
              <w:left w:val="single" w:sz="4" w:space="0" w:color="auto"/>
              <w:right w:val="single" w:sz="4" w:space="0" w:color="auto"/>
            </w:tcBorders>
            <w:shd w:val="clear" w:color="auto" w:fill="00FFFF"/>
          </w:tcPr>
          <w:p w14:paraId="6BAE59CA" w14:textId="77777777" w:rsidR="000D6AA7" w:rsidRPr="005D3102" w:rsidRDefault="000D6AA7" w:rsidP="00593857">
            <w:pPr>
              <w:spacing w:before="0" w:line="240" w:lineRule="auto"/>
              <w:jc w:val="center"/>
              <w:rPr>
                <w:rFonts w:cs="Arial"/>
                <w:b/>
                <w:bCs/>
                <w:szCs w:val="24"/>
              </w:rPr>
            </w:pPr>
            <w:r w:rsidRPr="005D3102">
              <w:rPr>
                <w:rFonts w:cs="Arial"/>
                <w:b/>
                <w:bCs/>
                <w:szCs w:val="24"/>
              </w:rPr>
              <w:t>Medium</w:t>
            </w:r>
          </w:p>
        </w:tc>
        <w:tc>
          <w:tcPr>
            <w:tcW w:w="786" w:type="pct"/>
            <w:tcBorders>
              <w:left w:val="single" w:sz="4" w:space="0" w:color="auto"/>
              <w:right w:val="single" w:sz="4" w:space="0" w:color="auto"/>
            </w:tcBorders>
            <w:shd w:val="clear" w:color="auto" w:fill="0066FF"/>
          </w:tcPr>
          <w:p w14:paraId="1AB7798B" w14:textId="77777777" w:rsidR="000D6AA7" w:rsidRPr="005D3102" w:rsidRDefault="000D6AA7" w:rsidP="00593857">
            <w:pPr>
              <w:spacing w:before="0" w:line="240" w:lineRule="auto"/>
              <w:jc w:val="center"/>
              <w:rPr>
                <w:rFonts w:cs="Arial"/>
                <w:szCs w:val="24"/>
              </w:rPr>
            </w:pPr>
            <w:r w:rsidRPr="005D3102">
              <w:rPr>
                <w:rFonts w:cs="Arial"/>
                <w:b/>
                <w:bCs/>
                <w:color w:val="FFFFFF" w:themeColor="background1"/>
                <w:szCs w:val="24"/>
              </w:rPr>
              <w:t>Low</w:t>
            </w:r>
          </w:p>
        </w:tc>
        <w:tc>
          <w:tcPr>
            <w:tcW w:w="980" w:type="pct"/>
            <w:tcBorders>
              <w:left w:val="single" w:sz="4" w:space="0" w:color="auto"/>
            </w:tcBorders>
            <w:shd w:val="clear" w:color="auto" w:fill="D9D9D9" w:themeFill="background1" w:themeFillShade="D9"/>
          </w:tcPr>
          <w:p w14:paraId="0BBE975A" w14:textId="77777777" w:rsidR="000D6AA7" w:rsidRPr="005D3102" w:rsidRDefault="000D6AA7" w:rsidP="00593857">
            <w:pPr>
              <w:spacing w:before="0" w:line="240" w:lineRule="auto"/>
              <w:jc w:val="center"/>
              <w:rPr>
                <w:rFonts w:cs="Arial"/>
                <w:b/>
                <w:bCs/>
                <w:szCs w:val="24"/>
              </w:rPr>
            </w:pPr>
            <w:r w:rsidRPr="005D3102">
              <w:rPr>
                <w:rFonts w:cs="Arial"/>
                <w:b/>
                <w:bCs/>
                <w:szCs w:val="24"/>
              </w:rPr>
              <w:t>Overall Score</w:t>
            </w:r>
          </w:p>
        </w:tc>
      </w:tr>
      <w:tr w:rsidR="000D6AA7" w:rsidRPr="00FC5951" w14:paraId="002341A5" w14:textId="77777777" w:rsidTr="00593857">
        <w:tc>
          <w:tcPr>
            <w:tcW w:w="611" w:type="pct"/>
            <w:tcBorders>
              <w:top w:val="nil"/>
              <w:left w:val="nil"/>
              <w:bottom w:val="nil"/>
              <w:right w:val="single" w:sz="4" w:space="0" w:color="auto"/>
            </w:tcBorders>
          </w:tcPr>
          <w:p w14:paraId="6C411AE4" w14:textId="77777777" w:rsidR="000D6AA7" w:rsidRPr="005D3102" w:rsidRDefault="000D6AA7" w:rsidP="00593857">
            <w:pPr>
              <w:spacing w:before="0" w:line="240" w:lineRule="auto"/>
              <w:jc w:val="center"/>
              <w:rPr>
                <w:rFonts w:cs="Arial"/>
                <w:szCs w:val="24"/>
              </w:rPr>
            </w:pPr>
            <w:r w:rsidRPr="005D3102">
              <w:rPr>
                <w:rFonts w:cs="Arial"/>
                <w:szCs w:val="24"/>
              </w:rPr>
              <w:t>Year</w:t>
            </w:r>
          </w:p>
        </w:tc>
        <w:tc>
          <w:tcPr>
            <w:tcW w:w="874" w:type="pct"/>
            <w:tcBorders>
              <w:left w:val="single" w:sz="4" w:space="0" w:color="auto"/>
              <w:right w:val="single" w:sz="4" w:space="0" w:color="auto"/>
            </w:tcBorders>
          </w:tcPr>
          <w:p w14:paraId="18B17BD7" w14:textId="77777777" w:rsidR="000D6AA7" w:rsidRPr="005D3102" w:rsidRDefault="000D6AA7" w:rsidP="00593857">
            <w:pPr>
              <w:spacing w:before="0" w:line="240" w:lineRule="auto"/>
              <w:jc w:val="center"/>
              <w:rPr>
                <w:rFonts w:cs="Arial"/>
                <w:b/>
                <w:bCs/>
                <w:szCs w:val="24"/>
              </w:rPr>
            </w:pPr>
            <w:r w:rsidRPr="005D3102">
              <w:rPr>
                <w:rFonts w:cs="Arial"/>
                <w:b/>
                <w:bCs/>
                <w:szCs w:val="24"/>
              </w:rPr>
              <w:t>SOA Count</w:t>
            </w:r>
          </w:p>
        </w:tc>
        <w:tc>
          <w:tcPr>
            <w:tcW w:w="874" w:type="pct"/>
            <w:tcBorders>
              <w:left w:val="single" w:sz="4" w:space="0" w:color="auto"/>
              <w:right w:val="single" w:sz="4" w:space="0" w:color="auto"/>
            </w:tcBorders>
          </w:tcPr>
          <w:p w14:paraId="6BE8A6DE" w14:textId="77777777" w:rsidR="000D6AA7" w:rsidRPr="005D3102" w:rsidRDefault="000D6AA7" w:rsidP="00593857">
            <w:pPr>
              <w:spacing w:before="0" w:line="240" w:lineRule="auto"/>
              <w:jc w:val="center"/>
              <w:rPr>
                <w:rFonts w:cs="Arial"/>
                <w:b/>
                <w:bCs/>
                <w:szCs w:val="24"/>
              </w:rPr>
            </w:pPr>
            <w:r w:rsidRPr="005D3102">
              <w:rPr>
                <w:rFonts w:cs="Arial"/>
                <w:b/>
                <w:bCs/>
                <w:szCs w:val="24"/>
              </w:rPr>
              <w:t>SOA Count</w:t>
            </w:r>
          </w:p>
        </w:tc>
        <w:tc>
          <w:tcPr>
            <w:tcW w:w="874" w:type="pct"/>
            <w:tcBorders>
              <w:left w:val="single" w:sz="4" w:space="0" w:color="auto"/>
              <w:right w:val="single" w:sz="4" w:space="0" w:color="auto"/>
            </w:tcBorders>
          </w:tcPr>
          <w:p w14:paraId="57568297" w14:textId="77777777" w:rsidR="000D6AA7" w:rsidRPr="005D3102" w:rsidRDefault="000D6AA7" w:rsidP="00593857">
            <w:pPr>
              <w:spacing w:before="0" w:line="240" w:lineRule="auto"/>
              <w:jc w:val="center"/>
              <w:rPr>
                <w:rFonts w:cs="Arial"/>
                <w:b/>
                <w:bCs/>
                <w:szCs w:val="24"/>
              </w:rPr>
            </w:pPr>
            <w:r w:rsidRPr="005D3102">
              <w:rPr>
                <w:rFonts w:cs="Arial"/>
                <w:b/>
                <w:bCs/>
                <w:szCs w:val="24"/>
              </w:rPr>
              <w:t>SOA Count</w:t>
            </w:r>
          </w:p>
        </w:tc>
        <w:tc>
          <w:tcPr>
            <w:tcW w:w="786" w:type="pct"/>
            <w:tcBorders>
              <w:left w:val="single" w:sz="4" w:space="0" w:color="auto"/>
              <w:right w:val="single" w:sz="4" w:space="0" w:color="auto"/>
            </w:tcBorders>
          </w:tcPr>
          <w:p w14:paraId="2CDCC315" w14:textId="77777777" w:rsidR="000D6AA7" w:rsidRPr="005D3102" w:rsidRDefault="000D6AA7" w:rsidP="00593857">
            <w:pPr>
              <w:spacing w:before="0" w:line="240" w:lineRule="auto"/>
              <w:jc w:val="center"/>
              <w:rPr>
                <w:rFonts w:cs="Arial"/>
                <w:b/>
                <w:bCs/>
                <w:szCs w:val="24"/>
              </w:rPr>
            </w:pPr>
            <w:r w:rsidRPr="005D3102">
              <w:rPr>
                <w:rFonts w:cs="Arial"/>
                <w:b/>
                <w:bCs/>
                <w:szCs w:val="24"/>
              </w:rPr>
              <w:t>SOA Count</w:t>
            </w:r>
          </w:p>
        </w:tc>
        <w:tc>
          <w:tcPr>
            <w:tcW w:w="980" w:type="pct"/>
            <w:tcBorders>
              <w:left w:val="single" w:sz="4" w:space="0" w:color="auto"/>
            </w:tcBorders>
          </w:tcPr>
          <w:p w14:paraId="2C34C982" w14:textId="77777777" w:rsidR="000D6AA7" w:rsidRPr="005D3102" w:rsidRDefault="000D6AA7" w:rsidP="00593857">
            <w:pPr>
              <w:spacing w:before="0" w:line="240" w:lineRule="auto"/>
              <w:jc w:val="center"/>
              <w:rPr>
                <w:rFonts w:cs="Arial"/>
                <w:b/>
                <w:bCs/>
                <w:szCs w:val="24"/>
              </w:rPr>
            </w:pPr>
            <w:r w:rsidRPr="005D3102">
              <w:rPr>
                <w:rFonts w:cs="Arial"/>
                <w:b/>
                <w:bCs/>
                <w:szCs w:val="24"/>
              </w:rPr>
              <w:t>Risk Score Change</w:t>
            </w:r>
          </w:p>
        </w:tc>
      </w:tr>
      <w:tr w:rsidR="000D6AA7" w:rsidRPr="00FC5951" w14:paraId="5404F421" w14:textId="77777777" w:rsidTr="00593857">
        <w:tc>
          <w:tcPr>
            <w:tcW w:w="611" w:type="pct"/>
            <w:tcBorders>
              <w:top w:val="nil"/>
              <w:left w:val="nil"/>
              <w:bottom w:val="nil"/>
              <w:right w:val="single" w:sz="4" w:space="0" w:color="auto"/>
            </w:tcBorders>
          </w:tcPr>
          <w:p w14:paraId="1D0947FB" w14:textId="77777777" w:rsidR="000D6AA7" w:rsidRPr="005D3102" w:rsidRDefault="000D6AA7" w:rsidP="00593857">
            <w:pPr>
              <w:spacing w:before="0" w:line="240" w:lineRule="auto"/>
              <w:jc w:val="center"/>
              <w:rPr>
                <w:rFonts w:cs="Arial"/>
                <w:szCs w:val="24"/>
              </w:rPr>
            </w:pPr>
            <w:r w:rsidRPr="005D3102">
              <w:rPr>
                <w:rFonts w:cs="Arial"/>
                <w:szCs w:val="24"/>
              </w:rPr>
              <w:t>2014</w:t>
            </w:r>
          </w:p>
        </w:tc>
        <w:tc>
          <w:tcPr>
            <w:tcW w:w="874" w:type="pct"/>
            <w:tcBorders>
              <w:left w:val="single" w:sz="4" w:space="0" w:color="auto"/>
              <w:right w:val="single" w:sz="4" w:space="0" w:color="auto"/>
            </w:tcBorders>
          </w:tcPr>
          <w:p w14:paraId="081B398F" w14:textId="77777777" w:rsidR="000D6AA7" w:rsidRPr="005D3102" w:rsidRDefault="000D6AA7" w:rsidP="00593857">
            <w:pPr>
              <w:spacing w:before="0" w:line="240" w:lineRule="auto"/>
              <w:jc w:val="center"/>
              <w:rPr>
                <w:rFonts w:cs="Arial"/>
                <w:szCs w:val="24"/>
              </w:rPr>
            </w:pPr>
            <w:r w:rsidRPr="005D3102">
              <w:rPr>
                <w:rFonts w:cs="Arial"/>
                <w:szCs w:val="24"/>
              </w:rPr>
              <w:t>32</w:t>
            </w:r>
          </w:p>
        </w:tc>
        <w:tc>
          <w:tcPr>
            <w:tcW w:w="874" w:type="pct"/>
            <w:tcBorders>
              <w:left w:val="single" w:sz="4" w:space="0" w:color="auto"/>
              <w:right w:val="single" w:sz="4" w:space="0" w:color="auto"/>
            </w:tcBorders>
          </w:tcPr>
          <w:p w14:paraId="177BE078" w14:textId="77777777" w:rsidR="000D6AA7" w:rsidRPr="005D3102" w:rsidRDefault="000D6AA7" w:rsidP="00593857">
            <w:pPr>
              <w:spacing w:before="0" w:line="240" w:lineRule="auto"/>
              <w:jc w:val="center"/>
              <w:rPr>
                <w:rFonts w:cs="Arial"/>
                <w:szCs w:val="24"/>
              </w:rPr>
            </w:pPr>
            <w:r w:rsidRPr="005D3102">
              <w:rPr>
                <w:rFonts w:cs="Arial"/>
                <w:szCs w:val="24"/>
              </w:rPr>
              <w:t>95</w:t>
            </w:r>
          </w:p>
        </w:tc>
        <w:tc>
          <w:tcPr>
            <w:tcW w:w="874" w:type="pct"/>
            <w:tcBorders>
              <w:left w:val="single" w:sz="4" w:space="0" w:color="auto"/>
              <w:right w:val="single" w:sz="4" w:space="0" w:color="auto"/>
            </w:tcBorders>
          </w:tcPr>
          <w:p w14:paraId="065F13F2" w14:textId="77777777" w:rsidR="000D6AA7" w:rsidRPr="005D3102" w:rsidRDefault="000D6AA7" w:rsidP="00593857">
            <w:pPr>
              <w:spacing w:before="0" w:line="240" w:lineRule="auto"/>
              <w:jc w:val="center"/>
              <w:rPr>
                <w:rFonts w:cs="Arial"/>
                <w:szCs w:val="24"/>
              </w:rPr>
            </w:pPr>
            <w:r w:rsidRPr="005D3102">
              <w:rPr>
                <w:rFonts w:cs="Arial"/>
                <w:szCs w:val="24"/>
              </w:rPr>
              <w:t>306</w:t>
            </w:r>
          </w:p>
        </w:tc>
        <w:tc>
          <w:tcPr>
            <w:tcW w:w="786" w:type="pct"/>
            <w:tcBorders>
              <w:left w:val="single" w:sz="4" w:space="0" w:color="auto"/>
              <w:right w:val="single" w:sz="4" w:space="0" w:color="auto"/>
            </w:tcBorders>
          </w:tcPr>
          <w:p w14:paraId="088CCECF" w14:textId="77777777" w:rsidR="000D6AA7" w:rsidRPr="005D3102" w:rsidRDefault="000D6AA7" w:rsidP="00593857">
            <w:pPr>
              <w:spacing w:before="0" w:line="240" w:lineRule="auto"/>
              <w:jc w:val="center"/>
              <w:rPr>
                <w:rFonts w:cs="Arial"/>
                <w:szCs w:val="24"/>
              </w:rPr>
            </w:pPr>
            <w:r w:rsidRPr="005D3102">
              <w:rPr>
                <w:rFonts w:cs="Arial"/>
                <w:szCs w:val="24"/>
              </w:rPr>
              <w:t>508</w:t>
            </w:r>
          </w:p>
        </w:tc>
        <w:tc>
          <w:tcPr>
            <w:tcW w:w="980" w:type="pct"/>
            <w:tcBorders>
              <w:left w:val="single" w:sz="4" w:space="0" w:color="auto"/>
            </w:tcBorders>
          </w:tcPr>
          <w:p w14:paraId="1CE68EE7" w14:textId="77777777" w:rsidR="000D6AA7" w:rsidRPr="005D3102" w:rsidRDefault="000D6AA7" w:rsidP="00593857">
            <w:pPr>
              <w:spacing w:before="0" w:line="240" w:lineRule="auto"/>
              <w:jc w:val="center"/>
              <w:rPr>
                <w:rFonts w:cs="Arial"/>
                <w:szCs w:val="24"/>
              </w:rPr>
            </w:pPr>
            <w:r w:rsidRPr="005D3102">
              <w:rPr>
                <w:rFonts w:cs="Arial"/>
                <w:szCs w:val="24"/>
              </w:rPr>
              <w:t>33,648</w:t>
            </w:r>
          </w:p>
        </w:tc>
      </w:tr>
      <w:tr w:rsidR="000D6AA7" w:rsidRPr="00FC5951" w14:paraId="67EE9282" w14:textId="77777777" w:rsidTr="00593857">
        <w:tc>
          <w:tcPr>
            <w:tcW w:w="611" w:type="pct"/>
            <w:tcBorders>
              <w:top w:val="nil"/>
              <w:left w:val="nil"/>
              <w:bottom w:val="nil"/>
              <w:right w:val="single" w:sz="4" w:space="0" w:color="auto"/>
            </w:tcBorders>
          </w:tcPr>
          <w:p w14:paraId="5D168960" w14:textId="77777777" w:rsidR="000D6AA7" w:rsidRPr="005D3102" w:rsidRDefault="000D6AA7" w:rsidP="00593857">
            <w:pPr>
              <w:spacing w:before="0" w:line="240" w:lineRule="auto"/>
              <w:jc w:val="center"/>
              <w:rPr>
                <w:rFonts w:cs="Arial"/>
                <w:szCs w:val="24"/>
              </w:rPr>
            </w:pPr>
            <w:r w:rsidRPr="005D3102">
              <w:rPr>
                <w:rFonts w:cs="Arial"/>
                <w:szCs w:val="24"/>
              </w:rPr>
              <w:t>2015</w:t>
            </w:r>
          </w:p>
        </w:tc>
        <w:tc>
          <w:tcPr>
            <w:tcW w:w="874" w:type="pct"/>
            <w:tcBorders>
              <w:left w:val="single" w:sz="4" w:space="0" w:color="auto"/>
              <w:right w:val="single" w:sz="4" w:space="0" w:color="auto"/>
            </w:tcBorders>
          </w:tcPr>
          <w:p w14:paraId="44A11D96" w14:textId="77777777" w:rsidR="000D6AA7" w:rsidRPr="005D3102" w:rsidRDefault="000D6AA7" w:rsidP="00593857">
            <w:pPr>
              <w:spacing w:before="0" w:line="240" w:lineRule="auto"/>
              <w:jc w:val="center"/>
              <w:rPr>
                <w:rFonts w:cs="Arial"/>
                <w:szCs w:val="24"/>
              </w:rPr>
            </w:pPr>
            <w:r w:rsidRPr="005D3102">
              <w:rPr>
                <w:rFonts w:cs="Arial"/>
                <w:szCs w:val="24"/>
              </w:rPr>
              <w:t>41</w:t>
            </w:r>
          </w:p>
        </w:tc>
        <w:tc>
          <w:tcPr>
            <w:tcW w:w="874" w:type="pct"/>
            <w:tcBorders>
              <w:left w:val="single" w:sz="4" w:space="0" w:color="auto"/>
              <w:right w:val="single" w:sz="4" w:space="0" w:color="auto"/>
            </w:tcBorders>
          </w:tcPr>
          <w:p w14:paraId="73F8EB0A" w14:textId="77777777" w:rsidR="000D6AA7" w:rsidRPr="005D3102" w:rsidRDefault="000D6AA7" w:rsidP="00593857">
            <w:pPr>
              <w:spacing w:before="0" w:line="240" w:lineRule="auto"/>
              <w:jc w:val="center"/>
              <w:rPr>
                <w:rFonts w:cs="Arial"/>
                <w:szCs w:val="24"/>
              </w:rPr>
            </w:pPr>
            <w:r w:rsidRPr="005D3102">
              <w:rPr>
                <w:rFonts w:cs="Arial"/>
                <w:szCs w:val="24"/>
              </w:rPr>
              <w:t>86</w:t>
            </w:r>
          </w:p>
        </w:tc>
        <w:tc>
          <w:tcPr>
            <w:tcW w:w="874" w:type="pct"/>
            <w:tcBorders>
              <w:left w:val="single" w:sz="4" w:space="0" w:color="auto"/>
              <w:right w:val="single" w:sz="4" w:space="0" w:color="auto"/>
            </w:tcBorders>
          </w:tcPr>
          <w:p w14:paraId="2F5DDFE3" w14:textId="77777777" w:rsidR="000D6AA7" w:rsidRPr="005D3102" w:rsidRDefault="000D6AA7" w:rsidP="00593857">
            <w:pPr>
              <w:spacing w:before="0" w:line="240" w:lineRule="auto"/>
              <w:jc w:val="center"/>
              <w:rPr>
                <w:rFonts w:cs="Arial"/>
                <w:szCs w:val="24"/>
              </w:rPr>
            </w:pPr>
            <w:r w:rsidRPr="005D3102">
              <w:rPr>
                <w:rFonts w:cs="Arial"/>
                <w:szCs w:val="24"/>
              </w:rPr>
              <w:t>281</w:t>
            </w:r>
          </w:p>
        </w:tc>
        <w:tc>
          <w:tcPr>
            <w:tcW w:w="786" w:type="pct"/>
            <w:tcBorders>
              <w:left w:val="single" w:sz="4" w:space="0" w:color="auto"/>
              <w:right w:val="single" w:sz="4" w:space="0" w:color="auto"/>
            </w:tcBorders>
          </w:tcPr>
          <w:p w14:paraId="3F62C7AE" w14:textId="77777777" w:rsidR="000D6AA7" w:rsidRPr="005D3102" w:rsidRDefault="000D6AA7" w:rsidP="00593857">
            <w:pPr>
              <w:spacing w:before="0" w:line="240" w:lineRule="auto"/>
              <w:jc w:val="center"/>
              <w:rPr>
                <w:rFonts w:cs="Arial"/>
                <w:szCs w:val="24"/>
              </w:rPr>
            </w:pPr>
            <w:r w:rsidRPr="005D3102">
              <w:rPr>
                <w:rFonts w:cs="Arial"/>
                <w:szCs w:val="24"/>
              </w:rPr>
              <w:t>533</w:t>
            </w:r>
          </w:p>
        </w:tc>
        <w:tc>
          <w:tcPr>
            <w:tcW w:w="980" w:type="pct"/>
            <w:tcBorders>
              <w:left w:val="single" w:sz="4" w:space="0" w:color="auto"/>
            </w:tcBorders>
          </w:tcPr>
          <w:p w14:paraId="4B932B3D" w14:textId="77777777" w:rsidR="000D6AA7" w:rsidRPr="005D3102" w:rsidRDefault="000D6AA7" w:rsidP="00593857">
            <w:pPr>
              <w:spacing w:before="0" w:line="240" w:lineRule="auto"/>
              <w:jc w:val="center"/>
              <w:rPr>
                <w:rFonts w:cs="Arial"/>
                <w:szCs w:val="24"/>
              </w:rPr>
            </w:pPr>
            <w:r w:rsidRPr="005D3102">
              <w:rPr>
                <w:rFonts w:cs="Arial"/>
                <w:szCs w:val="24"/>
              </w:rPr>
              <w:t>33,268</w:t>
            </w:r>
          </w:p>
        </w:tc>
      </w:tr>
      <w:tr w:rsidR="000D6AA7" w:rsidRPr="00FC5951" w14:paraId="76693CFC" w14:textId="77777777" w:rsidTr="00593857">
        <w:tc>
          <w:tcPr>
            <w:tcW w:w="611" w:type="pct"/>
            <w:tcBorders>
              <w:top w:val="nil"/>
              <w:left w:val="nil"/>
              <w:bottom w:val="nil"/>
              <w:right w:val="single" w:sz="4" w:space="0" w:color="auto"/>
            </w:tcBorders>
          </w:tcPr>
          <w:p w14:paraId="46776CC7" w14:textId="77777777" w:rsidR="000D6AA7" w:rsidRPr="005D3102" w:rsidRDefault="000D6AA7" w:rsidP="00593857">
            <w:pPr>
              <w:spacing w:before="0" w:line="240" w:lineRule="auto"/>
              <w:jc w:val="center"/>
              <w:rPr>
                <w:rFonts w:cs="Arial"/>
                <w:szCs w:val="24"/>
              </w:rPr>
            </w:pPr>
            <w:r w:rsidRPr="005D3102">
              <w:rPr>
                <w:rFonts w:cs="Arial"/>
                <w:szCs w:val="24"/>
              </w:rPr>
              <w:t>2016</w:t>
            </w:r>
          </w:p>
        </w:tc>
        <w:tc>
          <w:tcPr>
            <w:tcW w:w="874" w:type="pct"/>
            <w:tcBorders>
              <w:left w:val="single" w:sz="4" w:space="0" w:color="auto"/>
              <w:right w:val="single" w:sz="4" w:space="0" w:color="auto"/>
            </w:tcBorders>
          </w:tcPr>
          <w:p w14:paraId="6E94E92E" w14:textId="77777777" w:rsidR="000D6AA7" w:rsidRPr="005D3102" w:rsidRDefault="000D6AA7" w:rsidP="00593857">
            <w:pPr>
              <w:spacing w:before="0" w:line="240" w:lineRule="auto"/>
              <w:jc w:val="center"/>
              <w:rPr>
                <w:rFonts w:cs="Arial"/>
                <w:szCs w:val="24"/>
              </w:rPr>
            </w:pPr>
            <w:r w:rsidRPr="005D3102">
              <w:rPr>
                <w:rFonts w:cs="Arial"/>
                <w:szCs w:val="24"/>
              </w:rPr>
              <w:t>32</w:t>
            </w:r>
          </w:p>
        </w:tc>
        <w:tc>
          <w:tcPr>
            <w:tcW w:w="874" w:type="pct"/>
            <w:tcBorders>
              <w:left w:val="single" w:sz="4" w:space="0" w:color="auto"/>
              <w:right w:val="single" w:sz="4" w:space="0" w:color="auto"/>
            </w:tcBorders>
          </w:tcPr>
          <w:p w14:paraId="61C27036" w14:textId="77777777" w:rsidR="000D6AA7" w:rsidRPr="005D3102" w:rsidRDefault="000D6AA7" w:rsidP="00593857">
            <w:pPr>
              <w:spacing w:before="0" w:line="240" w:lineRule="auto"/>
              <w:jc w:val="center"/>
              <w:rPr>
                <w:rFonts w:cs="Arial"/>
                <w:szCs w:val="24"/>
              </w:rPr>
            </w:pPr>
            <w:r w:rsidRPr="005D3102">
              <w:rPr>
                <w:rFonts w:cs="Arial"/>
                <w:szCs w:val="24"/>
              </w:rPr>
              <w:t>76</w:t>
            </w:r>
          </w:p>
        </w:tc>
        <w:tc>
          <w:tcPr>
            <w:tcW w:w="874" w:type="pct"/>
            <w:tcBorders>
              <w:left w:val="single" w:sz="4" w:space="0" w:color="auto"/>
              <w:right w:val="single" w:sz="4" w:space="0" w:color="auto"/>
            </w:tcBorders>
          </w:tcPr>
          <w:p w14:paraId="7B57B409" w14:textId="77777777" w:rsidR="000D6AA7" w:rsidRPr="005D3102" w:rsidRDefault="000D6AA7" w:rsidP="00593857">
            <w:pPr>
              <w:spacing w:before="0" w:line="240" w:lineRule="auto"/>
              <w:jc w:val="center"/>
              <w:rPr>
                <w:rFonts w:cs="Arial"/>
                <w:szCs w:val="24"/>
              </w:rPr>
            </w:pPr>
            <w:r w:rsidRPr="005D3102">
              <w:rPr>
                <w:rFonts w:cs="Arial"/>
                <w:szCs w:val="24"/>
              </w:rPr>
              <w:t>314</w:t>
            </w:r>
          </w:p>
        </w:tc>
        <w:tc>
          <w:tcPr>
            <w:tcW w:w="786" w:type="pct"/>
            <w:tcBorders>
              <w:left w:val="single" w:sz="4" w:space="0" w:color="auto"/>
              <w:right w:val="single" w:sz="4" w:space="0" w:color="auto"/>
            </w:tcBorders>
          </w:tcPr>
          <w:p w14:paraId="6EA2B71A" w14:textId="77777777" w:rsidR="000D6AA7" w:rsidRPr="005D3102" w:rsidRDefault="000D6AA7" w:rsidP="00593857">
            <w:pPr>
              <w:spacing w:before="0" w:line="240" w:lineRule="auto"/>
              <w:jc w:val="center"/>
              <w:rPr>
                <w:rFonts w:cs="Arial"/>
                <w:szCs w:val="24"/>
              </w:rPr>
            </w:pPr>
            <w:r w:rsidRPr="005D3102">
              <w:rPr>
                <w:rFonts w:cs="Arial"/>
                <w:szCs w:val="24"/>
              </w:rPr>
              <w:t>519</w:t>
            </w:r>
          </w:p>
        </w:tc>
        <w:tc>
          <w:tcPr>
            <w:tcW w:w="980" w:type="pct"/>
            <w:tcBorders>
              <w:left w:val="single" w:sz="4" w:space="0" w:color="auto"/>
            </w:tcBorders>
          </w:tcPr>
          <w:p w14:paraId="735747C5" w14:textId="77777777" w:rsidR="000D6AA7" w:rsidRPr="005D3102" w:rsidRDefault="000D6AA7" w:rsidP="00593857">
            <w:pPr>
              <w:spacing w:before="0" w:line="240" w:lineRule="auto"/>
              <w:jc w:val="center"/>
              <w:rPr>
                <w:rFonts w:cs="Arial"/>
                <w:szCs w:val="24"/>
              </w:rPr>
            </w:pPr>
            <w:r w:rsidRPr="005D3102">
              <w:rPr>
                <w:rFonts w:cs="Arial"/>
                <w:szCs w:val="24"/>
              </w:rPr>
              <w:t>32,990</w:t>
            </w:r>
          </w:p>
        </w:tc>
      </w:tr>
      <w:tr w:rsidR="000D6AA7" w:rsidRPr="00FC5951" w14:paraId="61E9E855" w14:textId="77777777" w:rsidTr="00593857">
        <w:tc>
          <w:tcPr>
            <w:tcW w:w="611" w:type="pct"/>
            <w:tcBorders>
              <w:top w:val="nil"/>
              <w:left w:val="nil"/>
              <w:bottom w:val="nil"/>
              <w:right w:val="single" w:sz="4" w:space="0" w:color="auto"/>
            </w:tcBorders>
          </w:tcPr>
          <w:p w14:paraId="3E558975" w14:textId="77777777" w:rsidR="000D6AA7" w:rsidRPr="005D3102" w:rsidRDefault="000D6AA7" w:rsidP="00593857">
            <w:pPr>
              <w:spacing w:before="0" w:line="240" w:lineRule="auto"/>
              <w:jc w:val="center"/>
              <w:rPr>
                <w:rFonts w:cs="Arial"/>
                <w:szCs w:val="24"/>
              </w:rPr>
            </w:pPr>
            <w:r w:rsidRPr="005D3102">
              <w:rPr>
                <w:rFonts w:cs="Arial"/>
                <w:szCs w:val="24"/>
              </w:rPr>
              <w:t>2017</w:t>
            </w:r>
          </w:p>
        </w:tc>
        <w:tc>
          <w:tcPr>
            <w:tcW w:w="874" w:type="pct"/>
            <w:tcBorders>
              <w:left w:val="single" w:sz="4" w:space="0" w:color="auto"/>
              <w:right w:val="single" w:sz="4" w:space="0" w:color="auto"/>
            </w:tcBorders>
          </w:tcPr>
          <w:p w14:paraId="7287155B" w14:textId="77777777" w:rsidR="000D6AA7" w:rsidRPr="005D3102" w:rsidRDefault="000D6AA7" w:rsidP="00593857">
            <w:pPr>
              <w:spacing w:before="0" w:line="240" w:lineRule="auto"/>
              <w:jc w:val="center"/>
              <w:rPr>
                <w:rFonts w:cs="Arial"/>
                <w:szCs w:val="24"/>
              </w:rPr>
            </w:pPr>
            <w:r w:rsidRPr="005D3102">
              <w:rPr>
                <w:rFonts w:cs="Arial"/>
                <w:szCs w:val="24"/>
              </w:rPr>
              <w:t>25</w:t>
            </w:r>
          </w:p>
        </w:tc>
        <w:tc>
          <w:tcPr>
            <w:tcW w:w="874" w:type="pct"/>
            <w:tcBorders>
              <w:left w:val="single" w:sz="4" w:space="0" w:color="auto"/>
              <w:right w:val="single" w:sz="4" w:space="0" w:color="auto"/>
            </w:tcBorders>
          </w:tcPr>
          <w:p w14:paraId="434B4BAE" w14:textId="77777777" w:rsidR="000D6AA7" w:rsidRPr="005D3102" w:rsidRDefault="000D6AA7" w:rsidP="00593857">
            <w:pPr>
              <w:spacing w:before="0" w:line="240" w:lineRule="auto"/>
              <w:jc w:val="center"/>
              <w:rPr>
                <w:rFonts w:cs="Arial"/>
                <w:szCs w:val="24"/>
              </w:rPr>
            </w:pPr>
            <w:r w:rsidRPr="005D3102">
              <w:rPr>
                <w:rFonts w:cs="Arial"/>
                <w:szCs w:val="24"/>
              </w:rPr>
              <w:t>74</w:t>
            </w:r>
          </w:p>
        </w:tc>
        <w:tc>
          <w:tcPr>
            <w:tcW w:w="874" w:type="pct"/>
            <w:tcBorders>
              <w:left w:val="single" w:sz="4" w:space="0" w:color="auto"/>
              <w:right w:val="single" w:sz="4" w:space="0" w:color="auto"/>
            </w:tcBorders>
          </w:tcPr>
          <w:p w14:paraId="3AA3235C" w14:textId="77777777" w:rsidR="000D6AA7" w:rsidRPr="005D3102" w:rsidRDefault="000D6AA7" w:rsidP="00593857">
            <w:pPr>
              <w:spacing w:before="0" w:line="240" w:lineRule="auto"/>
              <w:jc w:val="center"/>
              <w:rPr>
                <w:rFonts w:cs="Arial"/>
                <w:szCs w:val="24"/>
              </w:rPr>
            </w:pPr>
            <w:r w:rsidRPr="005D3102">
              <w:rPr>
                <w:rFonts w:cs="Arial"/>
                <w:szCs w:val="24"/>
              </w:rPr>
              <w:t>321</w:t>
            </w:r>
          </w:p>
        </w:tc>
        <w:tc>
          <w:tcPr>
            <w:tcW w:w="786" w:type="pct"/>
            <w:tcBorders>
              <w:left w:val="single" w:sz="4" w:space="0" w:color="auto"/>
              <w:right w:val="single" w:sz="4" w:space="0" w:color="auto"/>
            </w:tcBorders>
          </w:tcPr>
          <w:p w14:paraId="1F904F66" w14:textId="77777777" w:rsidR="000D6AA7" w:rsidRPr="005D3102" w:rsidRDefault="000D6AA7" w:rsidP="00593857">
            <w:pPr>
              <w:spacing w:before="0" w:line="240" w:lineRule="auto"/>
              <w:jc w:val="center"/>
              <w:rPr>
                <w:rFonts w:cs="Arial"/>
                <w:szCs w:val="24"/>
              </w:rPr>
            </w:pPr>
            <w:r w:rsidRPr="005D3102">
              <w:rPr>
                <w:rFonts w:cs="Arial"/>
                <w:szCs w:val="24"/>
              </w:rPr>
              <w:t>521</w:t>
            </w:r>
          </w:p>
        </w:tc>
        <w:tc>
          <w:tcPr>
            <w:tcW w:w="980" w:type="pct"/>
            <w:tcBorders>
              <w:left w:val="single" w:sz="4" w:space="0" w:color="auto"/>
            </w:tcBorders>
          </w:tcPr>
          <w:p w14:paraId="7E42C0C3" w14:textId="77777777" w:rsidR="000D6AA7" w:rsidRPr="005D3102" w:rsidRDefault="000D6AA7" w:rsidP="00593857">
            <w:pPr>
              <w:spacing w:before="0" w:line="240" w:lineRule="auto"/>
              <w:jc w:val="center"/>
              <w:rPr>
                <w:rFonts w:cs="Arial"/>
                <w:szCs w:val="24"/>
              </w:rPr>
            </w:pPr>
            <w:r w:rsidRPr="005D3102">
              <w:rPr>
                <w:rFonts w:cs="Arial"/>
                <w:szCs w:val="24"/>
              </w:rPr>
              <w:t>32,398</w:t>
            </w:r>
          </w:p>
        </w:tc>
      </w:tr>
      <w:tr w:rsidR="000D6AA7" w:rsidRPr="00FC5951" w14:paraId="7BD45E74" w14:textId="77777777" w:rsidTr="00593857">
        <w:tc>
          <w:tcPr>
            <w:tcW w:w="611" w:type="pct"/>
            <w:tcBorders>
              <w:top w:val="nil"/>
              <w:left w:val="nil"/>
              <w:bottom w:val="nil"/>
              <w:right w:val="single" w:sz="4" w:space="0" w:color="auto"/>
            </w:tcBorders>
          </w:tcPr>
          <w:p w14:paraId="6582E981" w14:textId="77777777" w:rsidR="000D6AA7" w:rsidRPr="005D3102" w:rsidRDefault="000D6AA7" w:rsidP="00593857">
            <w:pPr>
              <w:spacing w:before="0" w:line="240" w:lineRule="auto"/>
              <w:jc w:val="center"/>
              <w:rPr>
                <w:rFonts w:cs="Arial"/>
                <w:szCs w:val="24"/>
              </w:rPr>
            </w:pPr>
            <w:r w:rsidRPr="005D3102">
              <w:rPr>
                <w:rFonts w:cs="Arial"/>
                <w:szCs w:val="24"/>
              </w:rPr>
              <w:t>2018</w:t>
            </w:r>
          </w:p>
        </w:tc>
        <w:tc>
          <w:tcPr>
            <w:tcW w:w="874" w:type="pct"/>
            <w:tcBorders>
              <w:left w:val="single" w:sz="4" w:space="0" w:color="auto"/>
              <w:right w:val="single" w:sz="4" w:space="0" w:color="auto"/>
            </w:tcBorders>
          </w:tcPr>
          <w:p w14:paraId="6A44F7E4" w14:textId="77777777" w:rsidR="000D6AA7" w:rsidRPr="005D3102" w:rsidRDefault="000D6AA7" w:rsidP="00593857">
            <w:pPr>
              <w:spacing w:before="0" w:line="240" w:lineRule="auto"/>
              <w:jc w:val="center"/>
              <w:rPr>
                <w:rFonts w:cs="Arial"/>
                <w:szCs w:val="24"/>
              </w:rPr>
            </w:pPr>
            <w:r w:rsidRPr="005D3102">
              <w:rPr>
                <w:rFonts w:cs="Arial"/>
                <w:szCs w:val="24"/>
              </w:rPr>
              <w:t>22</w:t>
            </w:r>
          </w:p>
        </w:tc>
        <w:tc>
          <w:tcPr>
            <w:tcW w:w="874" w:type="pct"/>
            <w:tcBorders>
              <w:left w:val="single" w:sz="4" w:space="0" w:color="auto"/>
              <w:right w:val="single" w:sz="4" w:space="0" w:color="auto"/>
            </w:tcBorders>
          </w:tcPr>
          <w:p w14:paraId="72E6D398" w14:textId="77777777" w:rsidR="000D6AA7" w:rsidRPr="005D3102" w:rsidRDefault="000D6AA7" w:rsidP="00593857">
            <w:pPr>
              <w:spacing w:before="0" w:line="240" w:lineRule="auto"/>
              <w:jc w:val="center"/>
              <w:rPr>
                <w:rFonts w:cs="Arial"/>
                <w:szCs w:val="24"/>
              </w:rPr>
            </w:pPr>
            <w:r w:rsidRPr="005D3102">
              <w:rPr>
                <w:rFonts w:cs="Arial"/>
                <w:szCs w:val="24"/>
              </w:rPr>
              <w:t>74</w:t>
            </w:r>
          </w:p>
        </w:tc>
        <w:tc>
          <w:tcPr>
            <w:tcW w:w="874" w:type="pct"/>
            <w:tcBorders>
              <w:left w:val="single" w:sz="4" w:space="0" w:color="auto"/>
              <w:right w:val="single" w:sz="4" w:space="0" w:color="auto"/>
            </w:tcBorders>
          </w:tcPr>
          <w:p w14:paraId="1C507265" w14:textId="77777777" w:rsidR="000D6AA7" w:rsidRPr="005D3102" w:rsidRDefault="000D6AA7" w:rsidP="00593857">
            <w:pPr>
              <w:spacing w:before="0" w:line="240" w:lineRule="auto"/>
              <w:jc w:val="center"/>
              <w:rPr>
                <w:rFonts w:cs="Arial"/>
                <w:szCs w:val="24"/>
              </w:rPr>
            </w:pPr>
            <w:r w:rsidRPr="005D3102">
              <w:rPr>
                <w:rFonts w:cs="Arial"/>
                <w:szCs w:val="24"/>
              </w:rPr>
              <w:t>321</w:t>
            </w:r>
          </w:p>
        </w:tc>
        <w:tc>
          <w:tcPr>
            <w:tcW w:w="786" w:type="pct"/>
            <w:tcBorders>
              <w:left w:val="single" w:sz="4" w:space="0" w:color="auto"/>
              <w:right w:val="single" w:sz="4" w:space="0" w:color="auto"/>
            </w:tcBorders>
          </w:tcPr>
          <w:p w14:paraId="5541500D" w14:textId="77777777" w:rsidR="000D6AA7" w:rsidRPr="005D3102" w:rsidRDefault="000D6AA7" w:rsidP="00593857">
            <w:pPr>
              <w:spacing w:before="0" w:line="240" w:lineRule="auto"/>
              <w:jc w:val="center"/>
              <w:rPr>
                <w:rFonts w:cs="Arial"/>
                <w:szCs w:val="24"/>
              </w:rPr>
            </w:pPr>
            <w:r w:rsidRPr="005D3102">
              <w:rPr>
                <w:rFonts w:cs="Arial"/>
                <w:szCs w:val="24"/>
              </w:rPr>
              <w:t>524</w:t>
            </w:r>
          </w:p>
        </w:tc>
        <w:tc>
          <w:tcPr>
            <w:tcW w:w="980" w:type="pct"/>
            <w:tcBorders>
              <w:left w:val="single" w:sz="4" w:space="0" w:color="auto"/>
            </w:tcBorders>
          </w:tcPr>
          <w:p w14:paraId="45A8E7E0" w14:textId="77777777" w:rsidR="000D6AA7" w:rsidRPr="005D3102" w:rsidRDefault="000D6AA7" w:rsidP="00593857">
            <w:pPr>
              <w:spacing w:before="0" w:line="240" w:lineRule="auto"/>
              <w:jc w:val="center"/>
              <w:rPr>
                <w:rFonts w:cs="Arial"/>
                <w:szCs w:val="24"/>
              </w:rPr>
            </w:pPr>
            <w:r w:rsidRPr="005D3102">
              <w:rPr>
                <w:rFonts w:cs="Arial"/>
                <w:szCs w:val="24"/>
              </w:rPr>
              <w:t>32,114</w:t>
            </w:r>
          </w:p>
        </w:tc>
      </w:tr>
      <w:tr w:rsidR="000D6AA7" w:rsidRPr="00FC5951" w14:paraId="34328676" w14:textId="77777777" w:rsidTr="00593857">
        <w:tc>
          <w:tcPr>
            <w:tcW w:w="611" w:type="pct"/>
            <w:tcBorders>
              <w:top w:val="nil"/>
              <w:left w:val="nil"/>
              <w:bottom w:val="nil"/>
              <w:right w:val="single" w:sz="4" w:space="0" w:color="auto"/>
            </w:tcBorders>
          </w:tcPr>
          <w:p w14:paraId="1D387F6E" w14:textId="77777777" w:rsidR="000D6AA7" w:rsidRPr="005D3102" w:rsidRDefault="000D6AA7" w:rsidP="00593857">
            <w:pPr>
              <w:spacing w:before="0" w:line="240" w:lineRule="auto"/>
              <w:jc w:val="center"/>
              <w:rPr>
                <w:rFonts w:cs="Arial"/>
                <w:szCs w:val="24"/>
              </w:rPr>
            </w:pPr>
            <w:r w:rsidRPr="005D3102">
              <w:rPr>
                <w:rFonts w:cs="Arial"/>
                <w:szCs w:val="24"/>
              </w:rPr>
              <w:t>2019</w:t>
            </w:r>
          </w:p>
        </w:tc>
        <w:tc>
          <w:tcPr>
            <w:tcW w:w="874" w:type="pct"/>
            <w:tcBorders>
              <w:left w:val="single" w:sz="4" w:space="0" w:color="auto"/>
              <w:right w:val="single" w:sz="4" w:space="0" w:color="auto"/>
            </w:tcBorders>
          </w:tcPr>
          <w:p w14:paraId="1B7D5908" w14:textId="77777777" w:rsidR="000D6AA7" w:rsidRPr="005D3102" w:rsidRDefault="000D6AA7" w:rsidP="00593857">
            <w:pPr>
              <w:spacing w:before="0" w:line="240" w:lineRule="auto"/>
              <w:jc w:val="center"/>
              <w:rPr>
                <w:rFonts w:cs="Arial"/>
                <w:szCs w:val="24"/>
              </w:rPr>
            </w:pPr>
            <w:r w:rsidRPr="005D3102">
              <w:rPr>
                <w:rFonts w:cs="Arial"/>
                <w:szCs w:val="24"/>
              </w:rPr>
              <w:t>21</w:t>
            </w:r>
          </w:p>
        </w:tc>
        <w:tc>
          <w:tcPr>
            <w:tcW w:w="874" w:type="pct"/>
            <w:tcBorders>
              <w:left w:val="single" w:sz="4" w:space="0" w:color="auto"/>
              <w:right w:val="single" w:sz="4" w:space="0" w:color="auto"/>
            </w:tcBorders>
          </w:tcPr>
          <w:p w14:paraId="32CD58FB" w14:textId="77777777" w:rsidR="000D6AA7" w:rsidRPr="005D3102" w:rsidRDefault="000D6AA7" w:rsidP="00593857">
            <w:pPr>
              <w:spacing w:before="0" w:line="240" w:lineRule="auto"/>
              <w:jc w:val="center"/>
              <w:rPr>
                <w:rFonts w:cs="Arial"/>
                <w:szCs w:val="24"/>
              </w:rPr>
            </w:pPr>
            <w:r w:rsidRPr="005D3102">
              <w:rPr>
                <w:rFonts w:cs="Arial"/>
                <w:szCs w:val="24"/>
              </w:rPr>
              <w:t>68</w:t>
            </w:r>
          </w:p>
        </w:tc>
        <w:tc>
          <w:tcPr>
            <w:tcW w:w="874" w:type="pct"/>
            <w:tcBorders>
              <w:left w:val="single" w:sz="4" w:space="0" w:color="auto"/>
              <w:right w:val="single" w:sz="4" w:space="0" w:color="auto"/>
            </w:tcBorders>
          </w:tcPr>
          <w:p w14:paraId="0ADB5D31" w14:textId="77777777" w:rsidR="000D6AA7" w:rsidRPr="005D3102" w:rsidRDefault="000D6AA7" w:rsidP="00593857">
            <w:pPr>
              <w:spacing w:before="0" w:line="240" w:lineRule="auto"/>
              <w:jc w:val="center"/>
              <w:rPr>
                <w:rFonts w:cs="Arial"/>
                <w:szCs w:val="24"/>
              </w:rPr>
            </w:pPr>
            <w:r w:rsidRPr="005D3102">
              <w:rPr>
                <w:rFonts w:cs="Arial"/>
                <w:szCs w:val="24"/>
              </w:rPr>
              <w:t>310</w:t>
            </w:r>
          </w:p>
        </w:tc>
        <w:tc>
          <w:tcPr>
            <w:tcW w:w="786" w:type="pct"/>
            <w:tcBorders>
              <w:left w:val="single" w:sz="4" w:space="0" w:color="auto"/>
              <w:right w:val="single" w:sz="4" w:space="0" w:color="auto"/>
            </w:tcBorders>
          </w:tcPr>
          <w:p w14:paraId="1C92E9A2" w14:textId="77777777" w:rsidR="000D6AA7" w:rsidRPr="005D3102" w:rsidRDefault="000D6AA7" w:rsidP="00593857">
            <w:pPr>
              <w:spacing w:before="0" w:line="240" w:lineRule="auto"/>
              <w:jc w:val="center"/>
              <w:rPr>
                <w:rFonts w:cs="Arial"/>
                <w:szCs w:val="24"/>
              </w:rPr>
            </w:pPr>
            <w:r w:rsidRPr="005D3102">
              <w:rPr>
                <w:rFonts w:cs="Arial"/>
                <w:szCs w:val="24"/>
              </w:rPr>
              <w:t>542</w:t>
            </w:r>
          </w:p>
        </w:tc>
        <w:tc>
          <w:tcPr>
            <w:tcW w:w="980" w:type="pct"/>
            <w:tcBorders>
              <w:left w:val="single" w:sz="4" w:space="0" w:color="auto"/>
            </w:tcBorders>
          </w:tcPr>
          <w:p w14:paraId="4B19B49B" w14:textId="77777777" w:rsidR="000D6AA7" w:rsidRPr="005D3102" w:rsidRDefault="000D6AA7" w:rsidP="00593857">
            <w:pPr>
              <w:spacing w:before="0" w:line="240" w:lineRule="auto"/>
              <w:jc w:val="center"/>
              <w:rPr>
                <w:rFonts w:cs="Arial"/>
                <w:szCs w:val="24"/>
              </w:rPr>
            </w:pPr>
            <w:r w:rsidRPr="005D3102">
              <w:rPr>
                <w:rFonts w:cs="Arial"/>
                <w:szCs w:val="24"/>
              </w:rPr>
              <w:t>31,816</w:t>
            </w:r>
          </w:p>
        </w:tc>
      </w:tr>
      <w:tr w:rsidR="000D6AA7" w:rsidRPr="00FC5951" w14:paraId="5ED9C6D6" w14:textId="77777777" w:rsidTr="00593857">
        <w:tc>
          <w:tcPr>
            <w:tcW w:w="611" w:type="pct"/>
            <w:tcBorders>
              <w:top w:val="nil"/>
              <w:left w:val="nil"/>
              <w:bottom w:val="nil"/>
              <w:right w:val="single" w:sz="4" w:space="0" w:color="auto"/>
            </w:tcBorders>
          </w:tcPr>
          <w:p w14:paraId="115D22C7" w14:textId="77777777" w:rsidR="000D6AA7" w:rsidRPr="005D3102" w:rsidRDefault="000D6AA7" w:rsidP="00593857">
            <w:pPr>
              <w:spacing w:before="0" w:line="240" w:lineRule="auto"/>
              <w:jc w:val="center"/>
              <w:rPr>
                <w:rFonts w:cs="Arial"/>
                <w:szCs w:val="24"/>
              </w:rPr>
            </w:pPr>
            <w:r w:rsidRPr="005D3102">
              <w:rPr>
                <w:rFonts w:cs="Arial"/>
                <w:szCs w:val="24"/>
              </w:rPr>
              <w:t>2020</w:t>
            </w:r>
          </w:p>
        </w:tc>
        <w:tc>
          <w:tcPr>
            <w:tcW w:w="874" w:type="pct"/>
            <w:tcBorders>
              <w:left w:val="single" w:sz="4" w:space="0" w:color="auto"/>
              <w:right w:val="single" w:sz="4" w:space="0" w:color="auto"/>
            </w:tcBorders>
          </w:tcPr>
          <w:p w14:paraId="3D0BF1D4" w14:textId="77777777" w:rsidR="000D6AA7" w:rsidRPr="005D3102" w:rsidRDefault="000D6AA7" w:rsidP="00593857">
            <w:pPr>
              <w:spacing w:before="0" w:line="240" w:lineRule="auto"/>
              <w:jc w:val="center"/>
              <w:rPr>
                <w:rFonts w:cs="Arial"/>
                <w:szCs w:val="24"/>
              </w:rPr>
            </w:pPr>
            <w:r w:rsidRPr="005D3102">
              <w:rPr>
                <w:rFonts w:cs="Arial"/>
                <w:szCs w:val="24"/>
              </w:rPr>
              <w:t>23</w:t>
            </w:r>
          </w:p>
        </w:tc>
        <w:tc>
          <w:tcPr>
            <w:tcW w:w="874" w:type="pct"/>
            <w:tcBorders>
              <w:left w:val="single" w:sz="4" w:space="0" w:color="auto"/>
              <w:right w:val="single" w:sz="4" w:space="0" w:color="auto"/>
            </w:tcBorders>
          </w:tcPr>
          <w:p w14:paraId="0E491B13" w14:textId="77777777" w:rsidR="000D6AA7" w:rsidRPr="005D3102" w:rsidRDefault="000D6AA7" w:rsidP="00593857">
            <w:pPr>
              <w:spacing w:before="0" w:line="240" w:lineRule="auto"/>
              <w:jc w:val="center"/>
              <w:rPr>
                <w:rFonts w:cs="Arial"/>
                <w:szCs w:val="24"/>
              </w:rPr>
            </w:pPr>
            <w:r w:rsidRPr="005D3102">
              <w:rPr>
                <w:rFonts w:cs="Arial"/>
                <w:szCs w:val="24"/>
              </w:rPr>
              <w:t>74</w:t>
            </w:r>
          </w:p>
        </w:tc>
        <w:tc>
          <w:tcPr>
            <w:tcW w:w="874" w:type="pct"/>
            <w:tcBorders>
              <w:left w:val="single" w:sz="4" w:space="0" w:color="auto"/>
              <w:right w:val="single" w:sz="4" w:space="0" w:color="auto"/>
            </w:tcBorders>
          </w:tcPr>
          <w:p w14:paraId="25A05F34" w14:textId="77777777" w:rsidR="000D6AA7" w:rsidRPr="005D3102" w:rsidRDefault="000D6AA7" w:rsidP="00593857">
            <w:pPr>
              <w:spacing w:before="0" w:line="240" w:lineRule="auto"/>
              <w:jc w:val="center"/>
              <w:rPr>
                <w:rFonts w:cs="Arial"/>
                <w:szCs w:val="24"/>
              </w:rPr>
            </w:pPr>
            <w:r w:rsidRPr="005D3102">
              <w:rPr>
                <w:rFonts w:cs="Arial"/>
                <w:szCs w:val="24"/>
              </w:rPr>
              <w:t>324</w:t>
            </w:r>
          </w:p>
        </w:tc>
        <w:tc>
          <w:tcPr>
            <w:tcW w:w="786" w:type="pct"/>
            <w:tcBorders>
              <w:left w:val="single" w:sz="4" w:space="0" w:color="auto"/>
              <w:right w:val="single" w:sz="4" w:space="0" w:color="auto"/>
            </w:tcBorders>
          </w:tcPr>
          <w:p w14:paraId="14710351" w14:textId="77777777" w:rsidR="000D6AA7" w:rsidRPr="005D3102" w:rsidRDefault="000D6AA7" w:rsidP="00593857">
            <w:pPr>
              <w:spacing w:before="0" w:line="240" w:lineRule="auto"/>
              <w:jc w:val="center"/>
              <w:rPr>
                <w:rFonts w:cs="Arial"/>
                <w:szCs w:val="24"/>
              </w:rPr>
            </w:pPr>
            <w:r w:rsidRPr="005D3102">
              <w:rPr>
                <w:rFonts w:cs="Arial"/>
                <w:szCs w:val="24"/>
              </w:rPr>
              <w:t>520</w:t>
            </w:r>
          </w:p>
        </w:tc>
        <w:tc>
          <w:tcPr>
            <w:tcW w:w="980" w:type="pct"/>
            <w:tcBorders>
              <w:left w:val="single" w:sz="4" w:space="0" w:color="auto"/>
            </w:tcBorders>
          </w:tcPr>
          <w:p w14:paraId="4E990175" w14:textId="77777777" w:rsidR="000D6AA7" w:rsidRPr="005D3102" w:rsidRDefault="000D6AA7" w:rsidP="00593857">
            <w:pPr>
              <w:spacing w:before="0" w:line="240" w:lineRule="auto"/>
              <w:jc w:val="center"/>
              <w:rPr>
                <w:rFonts w:cs="Arial"/>
                <w:szCs w:val="24"/>
              </w:rPr>
            </w:pPr>
            <w:r w:rsidRPr="005D3102">
              <w:rPr>
                <w:rFonts w:cs="Arial"/>
                <w:szCs w:val="24"/>
              </w:rPr>
              <w:t>32,448</w:t>
            </w:r>
          </w:p>
        </w:tc>
      </w:tr>
      <w:tr w:rsidR="000D6AA7" w:rsidRPr="00FC5951" w14:paraId="583EFDD3" w14:textId="77777777" w:rsidTr="00593857">
        <w:tc>
          <w:tcPr>
            <w:tcW w:w="611" w:type="pct"/>
            <w:tcBorders>
              <w:top w:val="nil"/>
              <w:left w:val="nil"/>
              <w:bottom w:val="nil"/>
              <w:right w:val="single" w:sz="4" w:space="0" w:color="auto"/>
            </w:tcBorders>
          </w:tcPr>
          <w:p w14:paraId="63ADD7B5" w14:textId="77777777" w:rsidR="000D6AA7" w:rsidRPr="005D3102" w:rsidRDefault="000D6AA7" w:rsidP="00593857">
            <w:pPr>
              <w:spacing w:before="0" w:line="240" w:lineRule="auto"/>
              <w:jc w:val="center"/>
              <w:rPr>
                <w:rFonts w:cs="Arial"/>
                <w:szCs w:val="24"/>
              </w:rPr>
            </w:pPr>
            <w:r w:rsidRPr="005D3102">
              <w:rPr>
                <w:rFonts w:cs="Arial"/>
                <w:szCs w:val="24"/>
              </w:rPr>
              <w:t>2021</w:t>
            </w:r>
          </w:p>
        </w:tc>
        <w:tc>
          <w:tcPr>
            <w:tcW w:w="874" w:type="pct"/>
            <w:tcBorders>
              <w:left w:val="single" w:sz="4" w:space="0" w:color="auto"/>
              <w:right w:val="single" w:sz="4" w:space="0" w:color="auto"/>
            </w:tcBorders>
          </w:tcPr>
          <w:p w14:paraId="1F391E09" w14:textId="77777777" w:rsidR="000D6AA7" w:rsidRPr="005D3102" w:rsidRDefault="000D6AA7" w:rsidP="00593857">
            <w:pPr>
              <w:spacing w:before="0" w:line="240" w:lineRule="auto"/>
              <w:jc w:val="center"/>
              <w:rPr>
                <w:rFonts w:cs="Arial"/>
                <w:szCs w:val="24"/>
              </w:rPr>
            </w:pPr>
            <w:r w:rsidRPr="005D3102">
              <w:rPr>
                <w:rFonts w:cs="Arial"/>
                <w:szCs w:val="24"/>
              </w:rPr>
              <w:t>21</w:t>
            </w:r>
          </w:p>
        </w:tc>
        <w:tc>
          <w:tcPr>
            <w:tcW w:w="874" w:type="pct"/>
            <w:tcBorders>
              <w:left w:val="single" w:sz="4" w:space="0" w:color="auto"/>
              <w:right w:val="single" w:sz="4" w:space="0" w:color="auto"/>
            </w:tcBorders>
          </w:tcPr>
          <w:p w14:paraId="6D420C98" w14:textId="77777777" w:rsidR="000D6AA7" w:rsidRPr="005D3102" w:rsidRDefault="000D6AA7" w:rsidP="00593857">
            <w:pPr>
              <w:spacing w:before="0" w:line="240" w:lineRule="auto"/>
              <w:jc w:val="center"/>
              <w:rPr>
                <w:rFonts w:cs="Arial"/>
                <w:szCs w:val="24"/>
              </w:rPr>
            </w:pPr>
            <w:r w:rsidRPr="005D3102">
              <w:rPr>
                <w:rFonts w:cs="Arial"/>
                <w:szCs w:val="24"/>
              </w:rPr>
              <w:t>61</w:t>
            </w:r>
          </w:p>
        </w:tc>
        <w:tc>
          <w:tcPr>
            <w:tcW w:w="874" w:type="pct"/>
            <w:tcBorders>
              <w:left w:val="single" w:sz="4" w:space="0" w:color="auto"/>
              <w:right w:val="single" w:sz="4" w:space="0" w:color="auto"/>
            </w:tcBorders>
          </w:tcPr>
          <w:p w14:paraId="19EA0E72" w14:textId="77777777" w:rsidR="000D6AA7" w:rsidRPr="005D3102" w:rsidRDefault="000D6AA7" w:rsidP="00593857">
            <w:pPr>
              <w:spacing w:before="0" w:line="240" w:lineRule="auto"/>
              <w:jc w:val="center"/>
              <w:rPr>
                <w:rFonts w:cs="Arial"/>
                <w:szCs w:val="24"/>
              </w:rPr>
            </w:pPr>
            <w:r w:rsidRPr="005D3102">
              <w:rPr>
                <w:rFonts w:cs="Arial"/>
                <w:szCs w:val="24"/>
              </w:rPr>
              <w:t>338</w:t>
            </w:r>
          </w:p>
        </w:tc>
        <w:tc>
          <w:tcPr>
            <w:tcW w:w="786" w:type="pct"/>
            <w:tcBorders>
              <w:left w:val="single" w:sz="4" w:space="0" w:color="auto"/>
              <w:right w:val="single" w:sz="4" w:space="0" w:color="auto"/>
            </w:tcBorders>
          </w:tcPr>
          <w:p w14:paraId="4338DC31" w14:textId="77777777" w:rsidR="000D6AA7" w:rsidRPr="005D3102" w:rsidRDefault="000D6AA7" w:rsidP="00593857">
            <w:pPr>
              <w:spacing w:before="0" w:line="240" w:lineRule="auto"/>
              <w:jc w:val="center"/>
              <w:rPr>
                <w:rFonts w:cs="Arial"/>
                <w:szCs w:val="24"/>
              </w:rPr>
            </w:pPr>
            <w:r w:rsidRPr="005D3102">
              <w:rPr>
                <w:rFonts w:cs="Arial"/>
                <w:szCs w:val="24"/>
              </w:rPr>
              <w:t>521</w:t>
            </w:r>
          </w:p>
        </w:tc>
        <w:tc>
          <w:tcPr>
            <w:tcW w:w="980" w:type="pct"/>
            <w:tcBorders>
              <w:left w:val="single" w:sz="4" w:space="0" w:color="auto"/>
            </w:tcBorders>
          </w:tcPr>
          <w:p w14:paraId="77642727" w14:textId="77777777" w:rsidR="000D6AA7" w:rsidRPr="005D3102" w:rsidRDefault="000D6AA7" w:rsidP="00593857">
            <w:pPr>
              <w:spacing w:before="0" w:line="240" w:lineRule="auto"/>
              <w:jc w:val="center"/>
              <w:rPr>
                <w:rFonts w:cs="Arial"/>
                <w:szCs w:val="24"/>
              </w:rPr>
            </w:pPr>
            <w:r w:rsidRPr="005D3102">
              <w:rPr>
                <w:rFonts w:cs="Arial"/>
                <w:szCs w:val="24"/>
              </w:rPr>
              <w:t>31,862</w:t>
            </w:r>
          </w:p>
        </w:tc>
      </w:tr>
      <w:tr w:rsidR="000D6AA7" w:rsidRPr="00FC5951" w14:paraId="14BF5CD4" w14:textId="77777777" w:rsidTr="00593857">
        <w:tc>
          <w:tcPr>
            <w:tcW w:w="611" w:type="pct"/>
            <w:tcBorders>
              <w:top w:val="nil"/>
              <w:left w:val="nil"/>
              <w:bottom w:val="nil"/>
              <w:right w:val="single" w:sz="4" w:space="0" w:color="auto"/>
            </w:tcBorders>
          </w:tcPr>
          <w:p w14:paraId="039C6ED5" w14:textId="77777777" w:rsidR="000D6AA7" w:rsidRPr="005D3102" w:rsidRDefault="000D6AA7" w:rsidP="00593857">
            <w:pPr>
              <w:spacing w:before="0" w:line="240" w:lineRule="auto"/>
              <w:jc w:val="center"/>
              <w:rPr>
                <w:rFonts w:cs="Arial"/>
                <w:szCs w:val="24"/>
              </w:rPr>
            </w:pPr>
            <w:r w:rsidRPr="005D3102">
              <w:rPr>
                <w:rFonts w:cs="Arial"/>
                <w:szCs w:val="24"/>
              </w:rPr>
              <w:t>2022</w:t>
            </w:r>
          </w:p>
        </w:tc>
        <w:tc>
          <w:tcPr>
            <w:tcW w:w="874" w:type="pct"/>
            <w:tcBorders>
              <w:left w:val="single" w:sz="4" w:space="0" w:color="auto"/>
              <w:right w:val="single" w:sz="4" w:space="0" w:color="auto"/>
            </w:tcBorders>
          </w:tcPr>
          <w:p w14:paraId="2354996D" w14:textId="77777777" w:rsidR="000D6AA7" w:rsidRPr="005D3102" w:rsidRDefault="000D6AA7" w:rsidP="00593857">
            <w:pPr>
              <w:spacing w:before="0" w:line="240" w:lineRule="auto"/>
              <w:jc w:val="center"/>
              <w:rPr>
                <w:rFonts w:cs="Arial"/>
                <w:szCs w:val="24"/>
              </w:rPr>
            </w:pPr>
            <w:r w:rsidRPr="005D3102">
              <w:rPr>
                <w:rFonts w:cs="Arial"/>
                <w:szCs w:val="24"/>
              </w:rPr>
              <w:t>25</w:t>
            </w:r>
          </w:p>
        </w:tc>
        <w:tc>
          <w:tcPr>
            <w:tcW w:w="874" w:type="pct"/>
            <w:tcBorders>
              <w:left w:val="single" w:sz="4" w:space="0" w:color="auto"/>
              <w:right w:val="single" w:sz="4" w:space="0" w:color="auto"/>
            </w:tcBorders>
          </w:tcPr>
          <w:p w14:paraId="7F8EBF57" w14:textId="77777777" w:rsidR="000D6AA7" w:rsidRPr="005D3102" w:rsidRDefault="000D6AA7" w:rsidP="00593857">
            <w:pPr>
              <w:spacing w:before="0" w:line="240" w:lineRule="auto"/>
              <w:jc w:val="center"/>
              <w:rPr>
                <w:rFonts w:cs="Arial"/>
                <w:szCs w:val="24"/>
              </w:rPr>
            </w:pPr>
            <w:r w:rsidRPr="005D3102">
              <w:rPr>
                <w:rFonts w:cs="Arial"/>
                <w:szCs w:val="24"/>
              </w:rPr>
              <w:t>47</w:t>
            </w:r>
          </w:p>
        </w:tc>
        <w:tc>
          <w:tcPr>
            <w:tcW w:w="874" w:type="pct"/>
            <w:tcBorders>
              <w:left w:val="single" w:sz="4" w:space="0" w:color="auto"/>
              <w:right w:val="single" w:sz="4" w:space="0" w:color="auto"/>
            </w:tcBorders>
          </w:tcPr>
          <w:p w14:paraId="224F5728" w14:textId="77777777" w:rsidR="000D6AA7" w:rsidRPr="005D3102" w:rsidRDefault="000D6AA7" w:rsidP="00593857">
            <w:pPr>
              <w:spacing w:before="0" w:line="240" w:lineRule="auto"/>
              <w:jc w:val="center"/>
              <w:rPr>
                <w:rFonts w:cs="Arial"/>
                <w:szCs w:val="24"/>
              </w:rPr>
            </w:pPr>
            <w:r w:rsidRPr="005D3102">
              <w:rPr>
                <w:rFonts w:cs="Arial"/>
                <w:szCs w:val="24"/>
              </w:rPr>
              <w:t>333</w:t>
            </w:r>
          </w:p>
        </w:tc>
        <w:tc>
          <w:tcPr>
            <w:tcW w:w="786" w:type="pct"/>
            <w:tcBorders>
              <w:left w:val="single" w:sz="4" w:space="0" w:color="auto"/>
              <w:right w:val="single" w:sz="4" w:space="0" w:color="auto"/>
            </w:tcBorders>
          </w:tcPr>
          <w:p w14:paraId="58CF5865" w14:textId="77777777" w:rsidR="000D6AA7" w:rsidRPr="005D3102" w:rsidRDefault="000D6AA7" w:rsidP="00593857">
            <w:pPr>
              <w:spacing w:before="0" w:line="240" w:lineRule="auto"/>
              <w:jc w:val="center"/>
              <w:rPr>
                <w:rFonts w:cs="Arial"/>
                <w:szCs w:val="24"/>
              </w:rPr>
            </w:pPr>
            <w:r w:rsidRPr="005D3102">
              <w:rPr>
                <w:rFonts w:cs="Arial"/>
                <w:szCs w:val="24"/>
              </w:rPr>
              <w:t>536</w:t>
            </w:r>
          </w:p>
        </w:tc>
        <w:tc>
          <w:tcPr>
            <w:tcW w:w="980" w:type="pct"/>
            <w:tcBorders>
              <w:left w:val="single" w:sz="4" w:space="0" w:color="auto"/>
            </w:tcBorders>
          </w:tcPr>
          <w:p w14:paraId="257F03BE" w14:textId="77777777" w:rsidR="000D6AA7" w:rsidRPr="005D3102" w:rsidRDefault="000D6AA7" w:rsidP="00593857">
            <w:pPr>
              <w:spacing w:before="0" w:line="240" w:lineRule="auto"/>
              <w:jc w:val="center"/>
              <w:rPr>
                <w:rFonts w:cs="Arial"/>
                <w:szCs w:val="24"/>
              </w:rPr>
            </w:pPr>
            <w:r w:rsidRPr="005D3102">
              <w:rPr>
                <w:rFonts w:cs="Arial"/>
                <w:szCs w:val="24"/>
              </w:rPr>
              <w:t>31,576</w:t>
            </w:r>
          </w:p>
        </w:tc>
      </w:tr>
      <w:tr w:rsidR="000D6AA7" w:rsidRPr="00FC5951" w14:paraId="6E2786EA" w14:textId="77777777" w:rsidTr="00593857">
        <w:tc>
          <w:tcPr>
            <w:tcW w:w="611" w:type="pct"/>
            <w:tcBorders>
              <w:top w:val="nil"/>
              <w:left w:val="nil"/>
              <w:bottom w:val="nil"/>
              <w:right w:val="single" w:sz="4" w:space="0" w:color="auto"/>
            </w:tcBorders>
          </w:tcPr>
          <w:p w14:paraId="0C58EB77" w14:textId="77777777" w:rsidR="000D6AA7" w:rsidRPr="005D3102" w:rsidRDefault="000D6AA7" w:rsidP="00593857">
            <w:pPr>
              <w:spacing w:before="0" w:line="240" w:lineRule="auto"/>
              <w:jc w:val="center"/>
              <w:rPr>
                <w:rFonts w:cs="Arial"/>
                <w:szCs w:val="24"/>
              </w:rPr>
            </w:pPr>
            <w:r w:rsidRPr="005D3102">
              <w:rPr>
                <w:rFonts w:cs="Arial"/>
                <w:szCs w:val="24"/>
              </w:rPr>
              <w:t>2023</w:t>
            </w:r>
          </w:p>
        </w:tc>
        <w:tc>
          <w:tcPr>
            <w:tcW w:w="874" w:type="pct"/>
            <w:tcBorders>
              <w:left w:val="single" w:sz="4" w:space="0" w:color="auto"/>
              <w:right w:val="single" w:sz="4" w:space="0" w:color="auto"/>
            </w:tcBorders>
          </w:tcPr>
          <w:p w14:paraId="4A4DDB6B" w14:textId="77777777" w:rsidR="000D6AA7" w:rsidRPr="005D3102" w:rsidRDefault="000D6AA7" w:rsidP="00593857">
            <w:pPr>
              <w:spacing w:before="0" w:line="240" w:lineRule="auto"/>
              <w:jc w:val="center"/>
              <w:rPr>
                <w:rFonts w:cs="Arial"/>
                <w:szCs w:val="24"/>
              </w:rPr>
            </w:pPr>
            <w:r w:rsidRPr="005D3102">
              <w:rPr>
                <w:rFonts w:cs="Arial"/>
                <w:szCs w:val="24"/>
              </w:rPr>
              <w:t>15</w:t>
            </w:r>
          </w:p>
        </w:tc>
        <w:tc>
          <w:tcPr>
            <w:tcW w:w="874" w:type="pct"/>
            <w:tcBorders>
              <w:left w:val="single" w:sz="4" w:space="0" w:color="auto"/>
              <w:right w:val="single" w:sz="4" w:space="0" w:color="auto"/>
            </w:tcBorders>
          </w:tcPr>
          <w:p w14:paraId="27E771A3" w14:textId="77777777" w:rsidR="000D6AA7" w:rsidRPr="005D3102" w:rsidRDefault="000D6AA7" w:rsidP="00593857">
            <w:pPr>
              <w:spacing w:before="0" w:line="240" w:lineRule="auto"/>
              <w:jc w:val="center"/>
              <w:rPr>
                <w:rFonts w:cs="Arial"/>
                <w:szCs w:val="24"/>
              </w:rPr>
            </w:pPr>
            <w:r w:rsidRPr="005D3102">
              <w:rPr>
                <w:rFonts w:cs="Arial"/>
                <w:szCs w:val="24"/>
              </w:rPr>
              <w:t>59</w:t>
            </w:r>
          </w:p>
        </w:tc>
        <w:tc>
          <w:tcPr>
            <w:tcW w:w="874" w:type="pct"/>
            <w:tcBorders>
              <w:left w:val="single" w:sz="4" w:space="0" w:color="auto"/>
              <w:right w:val="single" w:sz="4" w:space="0" w:color="auto"/>
            </w:tcBorders>
          </w:tcPr>
          <w:p w14:paraId="74FF44EA" w14:textId="77777777" w:rsidR="000D6AA7" w:rsidRPr="005D3102" w:rsidRDefault="000D6AA7" w:rsidP="00593857">
            <w:pPr>
              <w:spacing w:before="0" w:line="240" w:lineRule="auto"/>
              <w:jc w:val="center"/>
              <w:rPr>
                <w:rFonts w:cs="Arial"/>
                <w:szCs w:val="24"/>
              </w:rPr>
            </w:pPr>
            <w:r w:rsidRPr="005D3102">
              <w:rPr>
                <w:rFonts w:cs="Arial"/>
                <w:szCs w:val="24"/>
              </w:rPr>
              <w:t>331</w:t>
            </w:r>
          </w:p>
        </w:tc>
        <w:tc>
          <w:tcPr>
            <w:tcW w:w="786" w:type="pct"/>
            <w:tcBorders>
              <w:left w:val="single" w:sz="4" w:space="0" w:color="auto"/>
              <w:right w:val="single" w:sz="4" w:space="0" w:color="auto"/>
            </w:tcBorders>
          </w:tcPr>
          <w:p w14:paraId="0003C8E3" w14:textId="77777777" w:rsidR="000D6AA7" w:rsidRPr="005D3102" w:rsidRDefault="000D6AA7" w:rsidP="00593857">
            <w:pPr>
              <w:spacing w:before="0" w:line="240" w:lineRule="auto"/>
              <w:jc w:val="center"/>
              <w:rPr>
                <w:rFonts w:cs="Arial"/>
                <w:szCs w:val="24"/>
              </w:rPr>
            </w:pPr>
            <w:r w:rsidRPr="005D3102">
              <w:rPr>
                <w:rFonts w:cs="Arial"/>
                <w:szCs w:val="24"/>
              </w:rPr>
              <w:t>536</w:t>
            </w:r>
          </w:p>
        </w:tc>
        <w:tc>
          <w:tcPr>
            <w:tcW w:w="980" w:type="pct"/>
            <w:tcBorders>
              <w:left w:val="single" w:sz="4" w:space="0" w:color="auto"/>
            </w:tcBorders>
          </w:tcPr>
          <w:p w14:paraId="2C3E53F4" w14:textId="77777777" w:rsidR="000D6AA7" w:rsidRPr="005D3102" w:rsidRDefault="000D6AA7" w:rsidP="00593857">
            <w:pPr>
              <w:spacing w:before="0" w:line="240" w:lineRule="auto"/>
              <w:jc w:val="center"/>
              <w:rPr>
                <w:rFonts w:cs="Arial"/>
                <w:szCs w:val="24"/>
              </w:rPr>
            </w:pPr>
            <w:r w:rsidRPr="005D3102">
              <w:rPr>
                <w:rFonts w:cs="Arial"/>
                <w:szCs w:val="24"/>
              </w:rPr>
              <w:t>31,170</w:t>
            </w:r>
          </w:p>
        </w:tc>
      </w:tr>
      <w:tr w:rsidR="00C64AE6" w:rsidRPr="00FC5951" w14:paraId="7B66DE64" w14:textId="77777777" w:rsidTr="00593857">
        <w:tc>
          <w:tcPr>
            <w:tcW w:w="611" w:type="pct"/>
            <w:tcBorders>
              <w:top w:val="nil"/>
              <w:left w:val="nil"/>
              <w:bottom w:val="nil"/>
              <w:right w:val="single" w:sz="4" w:space="0" w:color="auto"/>
            </w:tcBorders>
          </w:tcPr>
          <w:p w14:paraId="01772DCF" w14:textId="1A5C0D14" w:rsidR="00C64AE6" w:rsidRPr="005D3102" w:rsidRDefault="00C64AE6" w:rsidP="00593857">
            <w:pPr>
              <w:spacing w:before="0" w:line="240" w:lineRule="auto"/>
              <w:jc w:val="center"/>
              <w:rPr>
                <w:rFonts w:cs="Arial"/>
                <w:szCs w:val="24"/>
              </w:rPr>
            </w:pPr>
            <w:r w:rsidRPr="005D3102">
              <w:rPr>
                <w:rFonts w:cs="Arial"/>
                <w:szCs w:val="24"/>
              </w:rPr>
              <w:t>2024</w:t>
            </w:r>
          </w:p>
        </w:tc>
        <w:tc>
          <w:tcPr>
            <w:tcW w:w="874" w:type="pct"/>
            <w:tcBorders>
              <w:left w:val="single" w:sz="4" w:space="0" w:color="auto"/>
              <w:right w:val="single" w:sz="4" w:space="0" w:color="auto"/>
            </w:tcBorders>
          </w:tcPr>
          <w:p w14:paraId="542518B8" w14:textId="3602E0BA" w:rsidR="00C64AE6" w:rsidRPr="005D3102" w:rsidRDefault="00C64AE6" w:rsidP="00593857">
            <w:pPr>
              <w:spacing w:before="0" w:line="240" w:lineRule="auto"/>
              <w:jc w:val="center"/>
              <w:rPr>
                <w:rFonts w:cs="Arial"/>
                <w:szCs w:val="24"/>
              </w:rPr>
            </w:pPr>
            <w:r w:rsidRPr="005D3102">
              <w:rPr>
                <w:rFonts w:cs="Arial"/>
                <w:szCs w:val="24"/>
              </w:rPr>
              <w:t>11</w:t>
            </w:r>
          </w:p>
        </w:tc>
        <w:tc>
          <w:tcPr>
            <w:tcW w:w="874" w:type="pct"/>
            <w:tcBorders>
              <w:left w:val="single" w:sz="4" w:space="0" w:color="auto"/>
              <w:right w:val="single" w:sz="4" w:space="0" w:color="auto"/>
            </w:tcBorders>
          </w:tcPr>
          <w:p w14:paraId="2E321F5E" w14:textId="1EAEA0FA" w:rsidR="00C64AE6" w:rsidRPr="005D3102" w:rsidRDefault="00C64AE6" w:rsidP="00593857">
            <w:pPr>
              <w:spacing w:before="0" w:line="240" w:lineRule="auto"/>
              <w:jc w:val="center"/>
              <w:rPr>
                <w:rFonts w:cs="Arial"/>
                <w:szCs w:val="24"/>
              </w:rPr>
            </w:pPr>
            <w:r w:rsidRPr="005D3102">
              <w:rPr>
                <w:rFonts w:cs="Arial"/>
                <w:szCs w:val="24"/>
              </w:rPr>
              <w:t>54</w:t>
            </w:r>
          </w:p>
        </w:tc>
        <w:tc>
          <w:tcPr>
            <w:tcW w:w="874" w:type="pct"/>
            <w:tcBorders>
              <w:left w:val="single" w:sz="4" w:space="0" w:color="auto"/>
              <w:right w:val="single" w:sz="4" w:space="0" w:color="auto"/>
            </w:tcBorders>
          </w:tcPr>
          <w:p w14:paraId="53EA13E4" w14:textId="39C4BFED" w:rsidR="00C64AE6" w:rsidRPr="005D3102" w:rsidRDefault="00C64AE6" w:rsidP="00593857">
            <w:pPr>
              <w:spacing w:before="0" w:line="240" w:lineRule="auto"/>
              <w:jc w:val="center"/>
              <w:rPr>
                <w:rFonts w:cs="Arial"/>
                <w:szCs w:val="24"/>
              </w:rPr>
            </w:pPr>
            <w:r w:rsidRPr="005D3102">
              <w:rPr>
                <w:rFonts w:cs="Arial"/>
                <w:szCs w:val="24"/>
              </w:rPr>
              <w:t>340</w:t>
            </w:r>
          </w:p>
        </w:tc>
        <w:tc>
          <w:tcPr>
            <w:tcW w:w="786" w:type="pct"/>
            <w:tcBorders>
              <w:left w:val="single" w:sz="4" w:space="0" w:color="auto"/>
              <w:right w:val="single" w:sz="4" w:space="0" w:color="auto"/>
            </w:tcBorders>
          </w:tcPr>
          <w:p w14:paraId="5609FB40" w14:textId="614091EA" w:rsidR="00C64AE6" w:rsidRPr="005D3102" w:rsidRDefault="00C64AE6" w:rsidP="00593857">
            <w:pPr>
              <w:spacing w:before="0" w:line="240" w:lineRule="auto"/>
              <w:jc w:val="center"/>
              <w:rPr>
                <w:rFonts w:cs="Arial"/>
                <w:szCs w:val="24"/>
              </w:rPr>
            </w:pPr>
            <w:r w:rsidRPr="005D3102">
              <w:rPr>
                <w:rFonts w:cs="Arial"/>
                <w:szCs w:val="24"/>
              </w:rPr>
              <w:t>536</w:t>
            </w:r>
          </w:p>
        </w:tc>
        <w:tc>
          <w:tcPr>
            <w:tcW w:w="980" w:type="pct"/>
            <w:tcBorders>
              <w:left w:val="single" w:sz="4" w:space="0" w:color="auto"/>
            </w:tcBorders>
          </w:tcPr>
          <w:p w14:paraId="57F8B5E4" w14:textId="5553B0F7" w:rsidR="00C64AE6" w:rsidRPr="005D3102" w:rsidRDefault="00C64AE6" w:rsidP="00593857">
            <w:pPr>
              <w:spacing w:before="0" w:line="240" w:lineRule="auto"/>
              <w:jc w:val="center"/>
              <w:rPr>
                <w:rFonts w:cs="Arial"/>
                <w:szCs w:val="24"/>
              </w:rPr>
            </w:pPr>
            <w:r w:rsidRPr="005D3102">
              <w:rPr>
                <w:rFonts w:cs="Arial"/>
                <w:szCs w:val="24"/>
              </w:rPr>
              <w:t>30,750</w:t>
            </w:r>
          </w:p>
        </w:tc>
      </w:tr>
      <w:tr w:rsidR="00F2418E" w:rsidRPr="00FC5951" w14:paraId="6187971F" w14:textId="77777777" w:rsidTr="00593857">
        <w:tc>
          <w:tcPr>
            <w:tcW w:w="611" w:type="pct"/>
            <w:tcBorders>
              <w:top w:val="nil"/>
              <w:left w:val="nil"/>
              <w:bottom w:val="nil"/>
              <w:right w:val="single" w:sz="4" w:space="0" w:color="auto"/>
            </w:tcBorders>
          </w:tcPr>
          <w:p w14:paraId="3F555791" w14:textId="5BD808EC" w:rsidR="00F2418E" w:rsidRPr="005D3102" w:rsidRDefault="00FC5951" w:rsidP="00593857">
            <w:pPr>
              <w:spacing w:before="0" w:line="240" w:lineRule="auto"/>
              <w:jc w:val="center"/>
              <w:rPr>
                <w:rFonts w:cs="Arial"/>
                <w:szCs w:val="24"/>
              </w:rPr>
            </w:pPr>
            <w:r w:rsidRPr="005D3102">
              <w:rPr>
                <w:rFonts w:cs="Arial"/>
                <w:szCs w:val="24"/>
              </w:rPr>
              <w:t>-</w:t>
            </w:r>
          </w:p>
        </w:tc>
        <w:tc>
          <w:tcPr>
            <w:tcW w:w="874" w:type="pct"/>
            <w:tcBorders>
              <w:left w:val="single" w:sz="4" w:space="0" w:color="auto"/>
              <w:right w:val="single" w:sz="4" w:space="0" w:color="auto"/>
            </w:tcBorders>
          </w:tcPr>
          <w:p w14:paraId="480D1C42" w14:textId="117E25FD" w:rsidR="00F2418E" w:rsidRPr="005D3102" w:rsidRDefault="00F2418E" w:rsidP="005D3102">
            <w:pPr>
              <w:spacing w:before="0" w:line="240" w:lineRule="auto"/>
              <w:jc w:val="center"/>
              <w:rPr>
                <w:rFonts w:cs="Arial"/>
                <w:b/>
                <w:bCs/>
                <w:szCs w:val="24"/>
              </w:rPr>
            </w:pPr>
            <w:r w:rsidRPr="005D3102">
              <w:rPr>
                <w:rFonts w:cs="Arial"/>
                <w:b/>
                <w:bCs/>
                <w:szCs w:val="24"/>
              </w:rPr>
              <w:t>-66%</w:t>
            </w:r>
          </w:p>
        </w:tc>
        <w:tc>
          <w:tcPr>
            <w:tcW w:w="874" w:type="pct"/>
            <w:tcBorders>
              <w:left w:val="single" w:sz="4" w:space="0" w:color="auto"/>
              <w:right w:val="single" w:sz="4" w:space="0" w:color="auto"/>
            </w:tcBorders>
          </w:tcPr>
          <w:p w14:paraId="3A01EDDD" w14:textId="6BA4A3D0" w:rsidR="00F2418E" w:rsidRPr="005D3102" w:rsidRDefault="00FC5951" w:rsidP="005D3102">
            <w:pPr>
              <w:spacing w:before="0" w:line="240" w:lineRule="auto"/>
              <w:jc w:val="center"/>
              <w:rPr>
                <w:rFonts w:cs="Arial"/>
                <w:b/>
                <w:bCs/>
                <w:szCs w:val="24"/>
              </w:rPr>
            </w:pPr>
            <w:r w:rsidRPr="005D3102">
              <w:rPr>
                <w:rFonts w:cs="Arial"/>
                <w:b/>
                <w:bCs/>
                <w:szCs w:val="24"/>
              </w:rPr>
              <w:t>-43%</w:t>
            </w:r>
          </w:p>
        </w:tc>
        <w:tc>
          <w:tcPr>
            <w:tcW w:w="874" w:type="pct"/>
            <w:tcBorders>
              <w:left w:val="single" w:sz="4" w:space="0" w:color="auto"/>
              <w:right w:val="single" w:sz="4" w:space="0" w:color="auto"/>
            </w:tcBorders>
          </w:tcPr>
          <w:p w14:paraId="770F019C" w14:textId="0347DA8E" w:rsidR="00F2418E" w:rsidRPr="005D3102" w:rsidRDefault="00FC5951" w:rsidP="005D3102">
            <w:pPr>
              <w:spacing w:before="0" w:line="240" w:lineRule="auto"/>
              <w:jc w:val="center"/>
              <w:rPr>
                <w:rFonts w:cs="Arial"/>
                <w:b/>
                <w:bCs/>
                <w:szCs w:val="24"/>
              </w:rPr>
            </w:pPr>
            <w:r w:rsidRPr="005D3102">
              <w:rPr>
                <w:rFonts w:cs="Arial"/>
                <w:b/>
                <w:bCs/>
                <w:szCs w:val="24"/>
              </w:rPr>
              <w:t>11%</w:t>
            </w:r>
          </w:p>
        </w:tc>
        <w:tc>
          <w:tcPr>
            <w:tcW w:w="786" w:type="pct"/>
            <w:tcBorders>
              <w:left w:val="single" w:sz="4" w:space="0" w:color="auto"/>
              <w:right w:val="single" w:sz="4" w:space="0" w:color="auto"/>
            </w:tcBorders>
          </w:tcPr>
          <w:p w14:paraId="15BDC512" w14:textId="5ED5E806" w:rsidR="00F2418E" w:rsidRPr="005D3102" w:rsidRDefault="00FC5951" w:rsidP="005D3102">
            <w:pPr>
              <w:spacing w:before="0" w:line="240" w:lineRule="auto"/>
              <w:jc w:val="center"/>
              <w:rPr>
                <w:rFonts w:cs="Arial"/>
                <w:b/>
                <w:bCs/>
                <w:szCs w:val="24"/>
              </w:rPr>
            </w:pPr>
            <w:r w:rsidRPr="005D3102">
              <w:rPr>
                <w:rFonts w:cs="Arial"/>
                <w:b/>
                <w:bCs/>
                <w:szCs w:val="24"/>
              </w:rPr>
              <w:t>6%</w:t>
            </w:r>
          </w:p>
        </w:tc>
        <w:tc>
          <w:tcPr>
            <w:tcW w:w="980" w:type="pct"/>
            <w:tcBorders>
              <w:left w:val="single" w:sz="4" w:space="0" w:color="auto"/>
            </w:tcBorders>
          </w:tcPr>
          <w:p w14:paraId="2C3DFFB5" w14:textId="4ED125DF" w:rsidR="00F2418E" w:rsidRPr="005D3102" w:rsidRDefault="00FC5951" w:rsidP="005D3102">
            <w:pPr>
              <w:spacing w:before="0" w:line="240" w:lineRule="auto"/>
              <w:jc w:val="center"/>
              <w:rPr>
                <w:rFonts w:cs="Arial"/>
                <w:b/>
                <w:bCs/>
                <w:szCs w:val="24"/>
              </w:rPr>
            </w:pPr>
            <w:r w:rsidRPr="005D3102">
              <w:rPr>
                <w:rFonts w:cs="Arial"/>
                <w:b/>
                <w:bCs/>
                <w:szCs w:val="24"/>
              </w:rPr>
              <w:t>-9%</w:t>
            </w:r>
          </w:p>
        </w:tc>
      </w:tr>
      <w:tr w:rsidR="000D6AA7" w:rsidRPr="00FC5951" w14:paraId="5FCF2849" w14:textId="77777777" w:rsidTr="00593857">
        <w:tc>
          <w:tcPr>
            <w:tcW w:w="611" w:type="pct"/>
            <w:tcBorders>
              <w:top w:val="nil"/>
              <w:left w:val="nil"/>
              <w:bottom w:val="nil"/>
              <w:right w:val="single" w:sz="4" w:space="0" w:color="auto"/>
            </w:tcBorders>
          </w:tcPr>
          <w:p w14:paraId="04023C96" w14:textId="77777777" w:rsidR="000D6AA7" w:rsidRPr="005D3102" w:rsidRDefault="000D6AA7" w:rsidP="00593857">
            <w:pPr>
              <w:spacing w:before="0" w:line="240" w:lineRule="auto"/>
              <w:jc w:val="center"/>
              <w:rPr>
                <w:rFonts w:cs="Arial"/>
                <w:szCs w:val="24"/>
              </w:rPr>
            </w:pPr>
            <w:r w:rsidRPr="005D3102">
              <w:rPr>
                <w:rFonts w:cs="Arial"/>
                <w:szCs w:val="24"/>
              </w:rPr>
              <w:t>Overall change</w:t>
            </w:r>
          </w:p>
        </w:tc>
        <w:tc>
          <w:tcPr>
            <w:tcW w:w="874" w:type="pct"/>
            <w:tcBorders>
              <w:left w:val="single" w:sz="4" w:space="0" w:color="auto"/>
              <w:right w:val="single" w:sz="4" w:space="0" w:color="auto"/>
            </w:tcBorders>
          </w:tcPr>
          <w:p w14:paraId="64DAFB04" w14:textId="77777777" w:rsidR="000D6AA7" w:rsidRPr="005D3102" w:rsidRDefault="000D6AA7" w:rsidP="00593857">
            <w:pPr>
              <w:spacing w:before="0" w:line="240" w:lineRule="auto"/>
              <w:rPr>
                <w:rFonts w:cs="Arial"/>
                <w:szCs w:val="24"/>
              </w:rPr>
            </w:pPr>
            <w:r w:rsidRPr="005D3102">
              <w:rPr>
                <w:rFonts w:cs="Arial"/>
                <w:szCs w:val="24"/>
              </w:rPr>
              <w:t>Overall reduction in very high risk SOAs</w:t>
            </w:r>
          </w:p>
        </w:tc>
        <w:tc>
          <w:tcPr>
            <w:tcW w:w="874" w:type="pct"/>
            <w:tcBorders>
              <w:left w:val="single" w:sz="4" w:space="0" w:color="auto"/>
              <w:right w:val="single" w:sz="4" w:space="0" w:color="auto"/>
            </w:tcBorders>
          </w:tcPr>
          <w:p w14:paraId="3FDCAEF5" w14:textId="77777777" w:rsidR="000D6AA7" w:rsidRPr="005D3102" w:rsidRDefault="000D6AA7" w:rsidP="00593857">
            <w:pPr>
              <w:spacing w:before="0" w:line="240" w:lineRule="auto"/>
              <w:rPr>
                <w:rFonts w:cs="Arial"/>
                <w:szCs w:val="24"/>
              </w:rPr>
            </w:pPr>
            <w:r w:rsidRPr="005D3102">
              <w:rPr>
                <w:rFonts w:cs="Arial"/>
                <w:szCs w:val="24"/>
              </w:rPr>
              <w:t>Overall reduction on high risk SOAs</w:t>
            </w:r>
          </w:p>
        </w:tc>
        <w:tc>
          <w:tcPr>
            <w:tcW w:w="874" w:type="pct"/>
            <w:tcBorders>
              <w:left w:val="single" w:sz="4" w:space="0" w:color="auto"/>
              <w:right w:val="single" w:sz="4" w:space="0" w:color="auto"/>
            </w:tcBorders>
          </w:tcPr>
          <w:p w14:paraId="1030B311" w14:textId="77777777" w:rsidR="000D6AA7" w:rsidRPr="005D3102" w:rsidRDefault="000D6AA7" w:rsidP="00593857">
            <w:pPr>
              <w:spacing w:before="0" w:line="240" w:lineRule="auto"/>
              <w:rPr>
                <w:rFonts w:cs="Arial"/>
                <w:szCs w:val="24"/>
              </w:rPr>
            </w:pPr>
            <w:r w:rsidRPr="005D3102">
              <w:rPr>
                <w:rFonts w:cs="Arial"/>
                <w:szCs w:val="24"/>
              </w:rPr>
              <w:t>Overall increase in medium SOAs</w:t>
            </w:r>
          </w:p>
        </w:tc>
        <w:tc>
          <w:tcPr>
            <w:tcW w:w="786" w:type="pct"/>
            <w:tcBorders>
              <w:left w:val="single" w:sz="4" w:space="0" w:color="auto"/>
              <w:right w:val="single" w:sz="4" w:space="0" w:color="auto"/>
            </w:tcBorders>
          </w:tcPr>
          <w:p w14:paraId="37524049" w14:textId="77777777" w:rsidR="000D6AA7" w:rsidRPr="005D3102" w:rsidRDefault="000D6AA7" w:rsidP="00593857">
            <w:pPr>
              <w:spacing w:before="0" w:line="240" w:lineRule="auto"/>
              <w:rPr>
                <w:rFonts w:cs="Arial"/>
                <w:szCs w:val="24"/>
              </w:rPr>
            </w:pPr>
            <w:r w:rsidRPr="005D3102">
              <w:rPr>
                <w:rFonts w:cs="Arial"/>
                <w:szCs w:val="24"/>
              </w:rPr>
              <w:t>Overall increase in low risk SOAs</w:t>
            </w:r>
          </w:p>
        </w:tc>
        <w:tc>
          <w:tcPr>
            <w:tcW w:w="980" w:type="pct"/>
            <w:tcBorders>
              <w:left w:val="single" w:sz="4" w:space="0" w:color="auto"/>
            </w:tcBorders>
          </w:tcPr>
          <w:p w14:paraId="6978F155" w14:textId="77777777" w:rsidR="000D6AA7" w:rsidRPr="005D3102" w:rsidRDefault="000D6AA7" w:rsidP="00593857">
            <w:pPr>
              <w:spacing w:before="0" w:line="240" w:lineRule="auto"/>
              <w:rPr>
                <w:rFonts w:cs="Arial"/>
                <w:szCs w:val="24"/>
              </w:rPr>
            </w:pPr>
            <w:r w:rsidRPr="005D3102">
              <w:rPr>
                <w:rFonts w:cs="Arial"/>
                <w:szCs w:val="24"/>
              </w:rPr>
              <w:t>Overall reduction in risk score</w:t>
            </w:r>
          </w:p>
        </w:tc>
      </w:tr>
    </w:tbl>
    <w:p w14:paraId="294973A1" w14:textId="678FF15C" w:rsidR="000D6AA7" w:rsidRDefault="000D6AA7" w:rsidP="000D6AA7">
      <w:pPr>
        <w:pStyle w:val="IntenseQuote"/>
        <w:pBdr>
          <w:top w:val="none" w:sz="0" w:space="0" w:color="auto"/>
          <w:bottom w:val="none" w:sz="0" w:space="0" w:color="auto"/>
        </w:pBdr>
        <w:spacing w:before="0" w:after="120" w:line="240" w:lineRule="auto"/>
        <w:ind w:left="0" w:right="862"/>
        <w:jc w:val="left"/>
      </w:pPr>
      <w:r w:rsidRPr="00116021">
        <w:t xml:space="preserve">Figure 2 - Changes in Fire Risk </w:t>
      </w:r>
      <w:r w:rsidR="00FC5951">
        <w:t>2014-2024</w:t>
      </w:r>
    </w:p>
    <w:p w14:paraId="2492BFD1" w14:textId="78BE988E" w:rsidR="000D6AA7" w:rsidRPr="003F0CB5" w:rsidRDefault="00F2418E" w:rsidP="003F0CB5">
      <w:pPr>
        <w:spacing w:after="360" w:line="240" w:lineRule="auto"/>
        <w:rPr>
          <w:i/>
          <w:iCs/>
          <w:sz w:val="22"/>
        </w:rPr>
      </w:pPr>
      <w:r w:rsidRPr="003F0CB5">
        <w:rPr>
          <w:i/>
          <w:iCs/>
          <w:sz w:val="22"/>
        </w:rPr>
        <w:t xml:space="preserve">* </w:t>
      </w:r>
      <w:r w:rsidR="00FC5951" w:rsidRPr="003F0CB5">
        <w:rPr>
          <w:i/>
          <w:iCs/>
          <w:sz w:val="22"/>
        </w:rPr>
        <w:t>Previous c</w:t>
      </w:r>
      <w:r w:rsidRPr="003F0CB5">
        <w:rPr>
          <w:i/>
          <w:iCs/>
          <w:sz w:val="22"/>
        </w:rPr>
        <w:t>omparison</w:t>
      </w:r>
      <w:r w:rsidR="00FC5951" w:rsidRPr="003F0CB5">
        <w:rPr>
          <w:i/>
          <w:iCs/>
          <w:sz w:val="22"/>
        </w:rPr>
        <w:t>s have been made to the</w:t>
      </w:r>
      <w:r w:rsidRPr="003F0CB5">
        <w:rPr>
          <w:i/>
          <w:iCs/>
          <w:sz w:val="22"/>
        </w:rPr>
        <w:t xml:space="preserve"> 2010 data </w:t>
      </w:r>
      <w:r w:rsidR="00FC5951" w:rsidRPr="003F0CB5">
        <w:rPr>
          <w:i/>
          <w:iCs/>
          <w:sz w:val="22"/>
        </w:rPr>
        <w:t xml:space="preserve">which </w:t>
      </w:r>
      <w:r w:rsidRPr="003F0CB5">
        <w:rPr>
          <w:i/>
          <w:iCs/>
          <w:sz w:val="22"/>
        </w:rPr>
        <w:t xml:space="preserve">shows </w:t>
      </w:r>
      <w:r w:rsidR="00FC5951" w:rsidRPr="003F0CB5">
        <w:rPr>
          <w:i/>
          <w:iCs/>
          <w:sz w:val="22"/>
        </w:rPr>
        <w:t xml:space="preserve">even </w:t>
      </w:r>
      <w:r w:rsidRPr="003F0CB5">
        <w:rPr>
          <w:i/>
          <w:iCs/>
          <w:sz w:val="22"/>
        </w:rPr>
        <w:t>larger reduction</w:t>
      </w:r>
      <w:r w:rsidR="00FC5951" w:rsidRPr="003F0CB5">
        <w:rPr>
          <w:i/>
          <w:iCs/>
          <w:sz w:val="22"/>
        </w:rPr>
        <w:t>s</w:t>
      </w:r>
      <w:r w:rsidRPr="003F0CB5">
        <w:rPr>
          <w:i/>
          <w:iCs/>
          <w:sz w:val="22"/>
        </w:rPr>
        <w:t xml:space="preserve"> in very high risk SOAs (-82%), high risk SOAs (-54%) and the overall risk score (-16%). A slightly </w:t>
      </w:r>
      <w:r w:rsidR="00FC5951" w:rsidRPr="003F0CB5">
        <w:rPr>
          <w:i/>
          <w:iCs/>
          <w:sz w:val="22"/>
        </w:rPr>
        <w:t>smaller</w:t>
      </w:r>
      <w:r w:rsidRPr="003F0CB5">
        <w:rPr>
          <w:i/>
          <w:iCs/>
          <w:sz w:val="22"/>
        </w:rPr>
        <w:t xml:space="preserve"> increase in medium SOAs </w:t>
      </w:r>
      <w:r w:rsidR="00FC5951" w:rsidRPr="003F0CB5">
        <w:rPr>
          <w:i/>
          <w:iCs/>
          <w:sz w:val="22"/>
        </w:rPr>
        <w:t>is</w:t>
      </w:r>
      <w:r w:rsidRPr="003F0CB5">
        <w:rPr>
          <w:i/>
          <w:iCs/>
          <w:sz w:val="22"/>
        </w:rPr>
        <w:t xml:space="preserve"> also seen (10%)</w:t>
      </w:r>
      <w:r w:rsidR="00FC5951" w:rsidRPr="003F0CB5">
        <w:rPr>
          <w:i/>
          <w:iCs/>
          <w:sz w:val="22"/>
        </w:rPr>
        <w:t xml:space="preserve"> along with a larger increase in low </w:t>
      </w:r>
      <w:r w:rsidRPr="003F0CB5">
        <w:rPr>
          <w:i/>
          <w:iCs/>
          <w:sz w:val="22"/>
        </w:rPr>
        <w:t xml:space="preserve">risk </w:t>
      </w:r>
      <w:r w:rsidR="00FC5951" w:rsidRPr="003F0CB5">
        <w:rPr>
          <w:i/>
          <w:iCs/>
          <w:sz w:val="22"/>
        </w:rPr>
        <w:t>SOAs (</w:t>
      </w:r>
      <w:r w:rsidRPr="003F0CB5">
        <w:rPr>
          <w:i/>
          <w:iCs/>
          <w:sz w:val="22"/>
        </w:rPr>
        <w:t>19%</w:t>
      </w:r>
      <w:r w:rsidR="00FC5951" w:rsidRPr="003F0CB5">
        <w:rPr>
          <w:i/>
          <w:iCs/>
          <w:sz w:val="22"/>
        </w:rPr>
        <w:t>)</w:t>
      </w:r>
      <w:r w:rsidRPr="003F0CB5">
        <w:rPr>
          <w:i/>
          <w:iCs/>
          <w:sz w:val="22"/>
        </w:rPr>
        <w:t>.</w:t>
      </w:r>
    </w:p>
    <w:p w14:paraId="3781AB38" w14:textId="420A14C2" w:rsidR="00B303D9" w:rsidRDefault="00B303D9" w:rsidP="00B303D9">
      <w:pPr>
        <w:pStyle w:val="Heading1"/>
        <w:rPr>
          <w:rFonts w:eastAsia="Times New Roman"/>
        </w:rPr>
      </w:pPr>
      <w:bookmarkStart w:id="20" w:name="_Toc187398662"/>
      <w:r w:rsidRPr="005D3102">
        <w:rPr>
          <w:rFonts w:eastAsia="Times New Roman"/>
        </w:rPr>
        <w:t>Assurance on Governance</w:t>
      </w:r>
      <w:bookmarkEnd w:id="20"/>
    </w:p>
    <w:p w14:paraId="0492473C" w14:textId="4247AEDF" w:rsidR="00B303D9" w:rsidRDefault="00B303D9" w:rsidP="00B303D9">
      <w:r>
        <w:t>The Accounts and Audit Regulations 2015 require the CFA to publish an Annual Governance Statement along with the Authority’s financial statements, following a review of the effectiveness of the internal controls in place.</w:t>
      </w:r>
      <w:r w:rsidR="00CA557F">
        <w:t xml:space="preserve"> </w:t>
      </w:r>
      <w:r>
        <w:t>It sets out the key elements of the Authority’s governance framework, how these have been evaluated, the outcome of the assessment of effectiveness and any areas for improvement.</w:t>
      </w:r>
    </w:p>
    <w:p w14:paraId="7AC36BA3" w14:textId="3ACED5DE" w:rsidR="00B303D9" w:rsidRDefault="00B303D9" w:rsidP="00B303D9">
      <w:r>
        <w:t xml:space="preserve">The Audit Committee has previously approved and adopted a Code of Corporate Governance, in line with guidance produced jointly by </w:t>
      </w:r>
      <w:r w:rsidR="00E06016">
        <w:t xml:space="preserve">the </w:t>
      </w:r>
      <w:r>
        <w:t>Chartered Institute of Public Finance Accountants</w:t>
      </w:r>
      <w:r w:rsidR="00CA557F">
        <w:t xml:space="preserve"> (CIPFA)</w:t>
      </w:r>
      <w:r>
        <w:t xml:space="preserve"> and </w:t>
      </w:r>
      <w:r w:rsidR="00E06016">
        <w:t xml:space="preserve">the </w:t>
      </w:r>
      <w:r>
        <w:t>Society of Local Authority Chief Executives</w:t>
      </w:r>
      <w:r w:rsidR="00CA557F">
        <w:t xml:space="preserve"> (SOLACE</w:t>
      </w:r>
      <w:r>
        <w:t xml:space="preserve">). The Code defines corporate governance as the way an </w:t>
      </w:r>
      <w:r>
        <w:lastRenderedPageBreak/>
        <w:t>authority ensures that it is doing the right things, in the right way, for the right people, in a timely, inclusive, open, honest, and accountable manner.</w:t>
      </w:r>
    </w:p>
    <w:p w14:paraId="360537D0" w14:textId="77777777" w:rsidR="00B303D9" w:rsidRDefault="00B303D9" w:rsidP="00B303D9">
      <w:r>
        <w:t xml:space="preserve">Included within the Code are the following core principles: - </w:t>
      </w:r>
    </w:p>
    <w:p w14:paraId="013AFA1D" w14:textId="77777777" w:rsidR="00B303D9" w:rsidRPr="00AF006B" w:rsidRDefault="00B303D9" w:rsidP="00B303D9">
      <w:pPr>
        <w:pStyle w:val="CM3"/>
        <w:widowControl/>
        <w:numPr>
          <w:ilvl w:val="0"/>
          <w:numId w:val="21"/>
        </w:numPr>
        <w:adjustRightInd/>
        <w:spacing w:line="360" w:lineRule="auto"/>
        <w:rPr>
          <w:rFonts w:eastAsia="Times New Roman"/>
        </w:rPr>
      </w:pPr>
      <w:r w:rsidRPr="00AF006B">
        <w:rPr>
          <w:rFonts w:eastAsia="Times New Roman"/>
        </w:rPr>
        <w:t>Behaving with integrity, demonstrating strong commitment to ethical values, and respecting the rule of law</w:t>
      </w:r>
    </w:p>
    <w:p w14:paraId="4E99CBF4" w14:textId="77777777" w:rsidR="00B303D9" w:rsidRPr="00AF006B" w:rsidRDefault="00B303D9" w:rsidP="00B303D9">
      <w:pPr>
        <w:pStyle w:val="CM3"/>
        <w:widowControl/>
        <w:numPr>
          <w:ilvl w:val="0"/>
          <w:numId w:val="21"/>
        </w:numPr>
        <w:adjustRightInd/>
        <w:spacing w:line="360" w:lineRule="auto"/>
        <w:rPr>
          <w:rFonts w:eastAsia="Times New Roman"/>
        </w:rPr>
      </w:pPr>
      <w:r w:rsidRPr="00AF006B">
        <w:rPr>
          <w:rFonts w:eastAsia="Times New Roman"/>
        </w:rPr>
        <w:t>Ensuring openness and comprehensive stakeholder engagement</w:t>
      </w:r>
    </w:p>
    <w:p w14:paraId="7D3229ED" w14:textId="77777777" w:rsidR="00B303D9" w:rsidRPr="00AF006B" w:rsidRDefault="00B303D9" w:rsidP="00B303D9">
      <w:pPr>
        <w:pStyle w:val="CM3"/>
        <w:widowControl/>
        <w:numPr>
          <w:ilvl w:val="0"/>
          <w:numId w:val="21"/>
        </w:numPr>
        <w:adjustRightInd/>
        <w:spacing w:line="360" w:lineRule="auto"/>
        <w:rPr>
          <w:rFonts w:eastAsia="Times New Roman"/>
        </w:rPr>
      </w:pPr>
      <w:r w:rsidRPr="00AF006B">
        <w:rPr>
          <w:rFonts w:eastAsia="Times New Roman"/>
        </w:rPr>
        <w:t>Defining outcomes in terms of sustainable economic, social, and environmental benefits</w:t>
      </w:r>
    </w:p>
    <w:p w14:paraId="087F700C" w14:textId="77777777" w:rsidR="00B303D9" w:rsidRPr="00AF006B" w:rsidRDefault="00B303D9" w:rsidP="00B303D9">
      <w:pPr>
        <w:pStyle w:val="CM3"/>
        <w:widowControl/>
        <w:numPr>
          <w:ilvl w:val="0"/>
          <w:numId w:val="21"/>
        </w:numPr>
        <w:adjustRightInd/>
        <w:spacing w:line="360" w:lineRule="auto"/>
        <w:rPr>
          <w:rFonts w:eastAsia="Times New Roman"/>
        </w:rPr>
      </w:pPr>
      <w:r w:rsidRPr="00AF006B">
        <w:rPr>
          <w:rFonts w:eastAsia="Times New Roman"/>
        </w:rPr>
        <w:t>Determining the interventions necessary to optimise the achievement of the intended outcomes</w:t>
      </w:r>
    </w:p>
    <w:p w14:paraId="1BFA3515" w14:textId="77777777" w:rsidR="00B303D9" w:rsidRPr="00AF006B" w:rsidRDefault="00B303D9" w:rsidP="00B303D9">
      <w:pPr>
        <w:pStyle w:val="CM3"/>
        <w:widowControl/>
        <w:numPr>
          <w:ilvl w:val="0"/>
          <w:numId w:val="21"/>
        </w:numPr>
        <w:adjustRightInd/>
        <w:spacing w:line="360" w:lineRule="auto"/>
        <w:rPr>
          <w:rFonts w:eastAsia="Times New Roman"/>
        </w:rPr>
      </w:pPr>
      <w:r w:rsidRPr="00AF006B">
        <w:rPr>
          <w:rFonts w:eastAsia="Times New Roman"/>
        </w:rPr>
        <w:t>Developing the entity’s capacity, including the capability of its leadership and the individuals within it</w:t>
      </w:r>
    </w:p>
    <w:p w14:paraId="68D32D5C" w14:textId="77777777" w:rsidR="00B303D9" w:rsidRPr="00AF006B" w:rsidRDefault="00B303D9" w:rsidP="00B303D9">
      <w:pPr>
        <w:pStyle w:val="CM3"/>
        <w:widowControl/>
        <w:numPr>
          <w:ilvl w:val="0"/>
          <w:numId w:val="21"/>
        </w:numPr>
        <w:adjustRightInd/>
        <w:spacing w:line="360" w:lineRule="auto"/>
        <w:rPr>
          <w:rFonts w:eastAsia="Times New Roman"/>
        </w:rPr>
      </w:pPr>
      <w:r w:rsidRPr="00AF006B">
        <w:rPr>
          <w:rFonts w:eastAsia="Times New Roman"/>
        </w:rPr>
        <w:t>Managing risks and performance through robust internal control and strong public financial management</w:t>
      </w:r>
    </w:p>
    <w:p w14:paraId="08800E3F" w14:textId="2CBD7E65" w:rsidR="00B303D9" w:rsidRPr="00AF006B" w:rsidRDefault="00B303D9" w:rsidP="00B303D9">
      <w:pPr>
        <w:pStyle w:val="CM3"/>
        <w:widowControl/>
        <w:numPr>
          <w:ilvl w:val="0"/>
          <w:numId w:val="21"/>
        </w:numPr>
        <w:adjustRightInd/>
        <w:spacing w:line="360" w:lineRule="auto"/>
        <w:rPr>
          <w:rFonts w:eastAsia="Times New Roman"/>
        </w:rPr>
      </w:pPr>
      <w:r w:rsidRPr="00AF006B">
        <w:rPr>
          <w:rFonts w:eastAsia="Times New Roman"/>
        </w:rPr>
        <w:t>Implementing good practices in transparency, reporting, and audit to deliver effective accountability.</w:t>
      </w:r>
    </w:p>
    <w:p w14:paraId="33AF48F9" w14:textId="77777777" w:rsidR="00B303D9" w:rsidRDefault="00B303D9" w:rsidP="00B303D9">
      <w:r>
        <w:t>The code also sets out the principles which support each of these core elements, as well as how the Authority will address each of these.</w:t>
      </w:r>
    </w:p>
    <w:p w14:paraId="77F46BED" w14:textId="479716A9" w:rsidR="00B00ACF" w:rsidRPr="00BB71B9" w:rsidRDefault="00B00ACF" w:rsidP="00B303D9">
      <w:r w:rsidRPr="00B00ACF">
        <w:t xml:space="preserve">The Audit Committee also receives regular reports from Internal Audit, </w:t>
      </w:r>
      <w:r>
        <w:t xml:space="preserve">work </w:t>
      </w:r>
      <w:r w:rsidRPr="00B00ACF">
        <w:t xml:space="preserve">which is undertaken by Lancashire County Council. The Internal Audit Service is an assurance function designed to evaluate and improve the effectiveness of risk management, control and governance processes. Public Sector Internal Audit Standards (PSIAS) require the </w:t>
      </w:r>
      <w:r>
        <w:t>H</w:t>
      </w:r>
      <w:r w:rsidRPr="00B00ACF">
        <w:t xml:space="preserve">ead of </w:t>
      </w:r>
      <w:r>
        <w:t>I</w:t>
      </w:r>
      <w:r w:rsidRPr="00B00ACF">
        <w:t xml:space="preserve">nternal </w:t>
      </w:r>
      <w:r>
        <w:t>A</w:t>
      </w:r>
      <w:r w:rsidRPr="00B00ACF">
        <w:t xml:space="preserve">udit to provide an opinion on the frameworks of governance, risk management and control of Lancashire Combined Fire Authority and a written report to those charged with governance, timed to support the annual governance statement. </w:t>
      </w:r>
      <w:proofErr w:type="gramStart"/>
      <w:r w:rsidRPr="00BB71B9">
        <w:t>On the basis of</w:t>
      </w:r>
      <w:proofErr w:type="gramEnd"/>
      <w:r w:rsidRPr="00BB71B9">
        <w:t xml:space="preserve"> the programme of work for the year, the Head of Internal Audit provided substantial assurance regarding the adequacy of design and effectiveness in operation of the organisation's frameworks of governance, risk management and control.</w:t>
      </w:r>
    </w:p>
    <w:p w14:paraId="53ADC970" w14:textId="0A4D3EF1" w:rsidR="00127DD4" w:rsidRDefault="00B303D9" w:rsidP="00B303D9">
      <w:r w:rsidRPr="00BB71B9">
        <w:lastRenderedPageBreak/>
        <w:t xml:space="preserve">The Authority has responsibility for conducting, at least annually, a review of the effectiveness of its governance framework including the system of internal control.  The </w:t>
      </w:r>
      <w:r w:rsidR="00127DD4">
        <w:t>2023/24</w:t>
      </w:r>
      <w:r w:rsidRPr="00BB71B9">
        <w:t xml:space="preserve"> review was supported and informed by the work of both internal and external audit. This self-assessment formed the basis of the Authority’s Annual Governance Statement for </w:t>
      </w:r>
      <w:r w:rsidR="00127DD4">
        <w:t>2023/24</w:t>
      </w:r>
      <w:r w:rsidRPr="00BB71B9">
        <w:t xml:space="preserve"> which concluded that Lancashire Combined Fire Authority and Lancashire Fire and Rescue Service has in place </w:t>
      </w:r>
      <w:r w:rsidR="00127DD4">
        <w:t>a satisfactory</w:t>
      </w:r>
      <w:r w:rsidRPr="00BB71B9">
        <w:t xml:space="preserve"> system of internal control which facilitates the effective exercise of its functions, and which includes arrangements for the management of risk</w:t>
      </w:r>
      <w:r w:rsidR="00127DD4">
        <w:t xml:space="preserve">. </w:t>
      </w:r>
    </w:p>
    <w:p w14:paraId="27779A7D" w14:textId="0A7700BB" w:rsidR="00127DD4" w:rsidRDefault="00127DD4" w:rsidP="00127DD4">
      <w:r w:rsidRPr="005C0C81">
        <w:t>Under the National Audit Office Code of Audit Practice, the external auditor considers whether the Service has put in place arrangements to secure economy, efficiency, and effectiveness in its use of resources</w:t>
      </w:r>
      <w:r>
        <w:t xml:space="preserve"> and specifically reports on whether the Authority has proper governance arrangements in place. On 26 September 2024 the external auditor reported to the Audit Committee that they ‘found that the Authority’s governance arrangements were appropriate’, and that ‘the Authority takes assurance from risk management processes, effectiveness of internal controls, decision making processes, arrangements to ensure appropriate standards are met and arrangements to prevent and detect fraud’. The external auditors work did not identify a</w:t>
      </w:r>
      <w:r w:rsidR="007606B9">
        <w:t>ny</w:t>
      </w:r>
      <w:r>
        <w:t xml:space="preserve"> evidence of significant weakness within the arrangements in place. </w:t>
      </w:r>
    </w:p>
    <w:p w14:paraId="6716A756" w14:textId="7A6130D9" w:rsidR="0068379F" w:rsidRDefault="0068379F" w:rsidP="003F70E6">
      <w:pPr>
        <w:pStyle w:val="Heading1"/>
        <w:rPr>
          <w:rFonts w:eastAsia="Times New Roman"/>
        </w:rPr>
      </w:pPr>
      <w:bookmarkStart w:id="21" w:name="_Toc187398663"/>
      <w:r w:rsidRPr="005D3102">
        <w:rPr>
          <w:rFonts w:eastAsia="Times New Roman"/>
        </w:rPr>
        <w:t>Financial Assurance</w:t>
      </w:r>
      <w:bookmarkEnd w:id="21"/>
    </w:p>
    <w:p w14:paraId="0C6892D1" w14:textId="2BB46B10" w:rsidR="0068379F" w:rsidRDefault="0068379F" w:rsidP="0045688C">
      <w:r>
        <w:t xml:space="preserve">All local authority accounts are required to adopt ‘proper accounting practice’ based on either statutory requirements or the code of practice on local authority accounting. These specify the principles and practices of accounting required to prepare a Statement of Accounts that ‘present a true and fair view’. </w:t>
      </w:r>
    </w:p>
    <w:p w14:paraId="62F63180" w14:textId="4CBD57F2" w:rsidR="0068379F" w:rsidRDefault="0068379F" w:rsidP="0045688C">
      <w:r>
        <w:t>The Treasurer to the CFA provides publicly available annual accounts which are approved by the Audit Committee.</w:t>
      </w:r>
    </w:p>
    <w:p w14:paraId="19D5F590" w14:textId="09B6EC1C" w:rsidR="0068379F" w:rsidRPr="005C0C81" w:rsidRDefault="0068379F" w:rsidP="0045688C">
      <w:r w:rsidRPr="005C0C81">
        <w:t>An independent audit of the accounts is undertaken by an external auditing body, Grant Thornton. The external auditor undertakes a review of the accounts and forms an overall opinion which is published each year.</w:t>
      </w:r>
      <w:r w:rsidR="003F70E6" w:rsidRPr="005C0C81">
        <w:t xml:space="preserve"> </w:t>
      </w:r>
      <w:r w:rsidRPr="005C0C81">
        <w:t xml:space="preserve">The audit for </w:t>
      </w:r>
      <w:r w:rsidR="007606B9">
        <w:t>2023/24</w:t>
      </w:r>
      <w:r w:rsidRPr="005C0C81">
        <w:t xml:space="preserve"> was </w:t>
      </w:r>
      <w:r w:rsidRPr="005C0C81">
        <w:lastRenderedPageBreak/>
        <w:t xml:space="preserve">conducted in accordance with </w:t>
      </w:r>
      <w:r w:rsidR="00246603" w:rsidRPr="005C0C81">
        <w:t>International Standards on Auditing and applicable law</w:t>
      </w:r>
      <w:r w:rsidRPr="005C0C81">
        <w:t xml:space="preserve"> and provided the following opinions – </w:t>
      </w:r>
    </w:p>
    <w:p w14:paraId="2B1B04C5" w14:textId="15426CF7" w:rsidR="00246603" w:rsidRPr="005C0C81" w:rsidRDefault="00246603" w:rsidP="0020241A">
      <w:pPr>
        <w:rPr>
          <w:rFonts w:eastAsia="Times New Roman"/>
        </w:rPr>
      </w:pPr>
      <w:r w:rsidRPr="005C0C81">
        <w:rPr>
          <w:rFonts w:eastAsia="Times New Roman"/>
        </w:rPr>
        <w:t>In our opinion, the financial statements:</w:t>
      </w:r>
    </w:p>
    <w:p w14:paraId="2F5025F9" w14:textId="17020EE0" w:rsidR="00246603" w:rsidRPr="005C0C81" w:rsidRDefault="00246603" w:rsidP="0020241A">
      <w:pPr>
        <w:pStyle w:val="ListParagraph"/>
        <w:numPr>
          <w:ilvl w:val="0"/>
          <w:numId w:val="34"/>
        </w:numPr>
      </w:pPr>
      <w:r w:rsidRPr="005C0C81">
        <w:t xml:space="preserve">Give a true and fair view of the financial position of the Authority as </w:t>
      </w:r>
      <w:proofErr w:type="gramStart"/>
      <w:r w:rsidRPr="005C0C81">
        <w:t>at</w:t>
      </w:r>
      <w:proofErr w:type="gramEnd"/>
      <w:r w:rsidRPr="005C0C81">
        <w:t xml:space="preserve"> 31 March 202</w:t>
      </w:r>
      <w:r w:rsidR="007606B9">
        <w:t>4</w:t>
      </w:r>
      <w:r w:rsidRPr="005C0C81">
        <w:t xml:space="preserve"> and of its expenditure and income for the year ended;</w:t>
      </w:r>
    </w:p>
    <w:p w14:paraId="0E555BEC" w14:textId="28ED11BC" w:rsidR="00246603" w:rsidRPr="005C0C81" w:rsidRDefault="00246603" w:rsidP="0020241A">
      <w:pPr>
        <w:pStyle w:val="ListParagraph"/>
        <w:numPr>
          <w:ilvl w:val="0"/>
          <w:numId w:val="34"/>
        </w:numPr>
      </w:pPr>
      <w:r w:rsidRPr="005C0C81">
        <w:t xml:space="preserve">Have been properly prepared in accordance with the Code of Practice on Local Authority in the United Kingdon </w:t>
      </w:r>
      <w:r w:rsidR="007606B9">
        <w:t>2023/24</w:t>
      </w:r>
      <w:r w:rsidRPr="005C0C81">
        <w:t>; and</w:t>
      </w:r>
    </w:p>
    <w:p w14:paraId="30509E96" w14:textId="22948B8E" w:rsidR="00246603" w:rsidRPr="005C0C81" w:rsidRDefault="00246603" w:rsidP="0020241A">
      <w:pPr>
        <w:pStyle w:val="ListParagraph"/>
        <w:numPr>
          <w:ilvl w:val="0"/>
          <w:numId w:val="34"/>
        </w:numPr>
      </w:pPr>
      <w:r w:rsidRPr="005C0C81">
        <w:t>Have been prepared in accordance with the requirements of the Local Audit and Accountability Act 2014.</w:t>
      </w:r>
    </w:p>
    <w:p w14:paraId="476524A2" w14:textId="458E413A" w:rsidR="00535B7D" w:rsidRDefault="00535B7D" w:rsidP="003F70E6">
      <w:pPr>
        <w:pStyle w:val="Heading1"/>
      </w:pPr>
      <w:bookmarkStart w:id="22" w:name="_Toc187398664"/>
      <w:bookmarkStart w:id="23" w:name="_Toc56678088"/>
      <w:bookmarkStart w:id="24" w:name="_Hlk146190109"/>
      <w:r w:rsidRPr="000B6F05">
        <w:t>Organisational Assurance</w:t>
      </w:r>
      <w:bookmarkEnd w:id="22"/>
    </w:p>
    <w:p w14:paraId="6A695B67" w14:textId="77777777" w:rsidR="00535B7D" w:rsidRDefault="00535B7D" w:rsidP="00535B7D">
      <w:pPr>
        <w:pStyle w:val="Heading2"/>
      </w:pPr>
      <w:bookmarkStart w:id="25" w:name="_Toc187398665"/>
      <w:r>
        <w:t>HMICFRS Inspection</w:t>
      </w:r>
      <w:bookmarkEnd w:id="25"/>
    </w:p>
    <w:p w14:paraId="66E475DA" w14:textId="498C9489" w:rsidR="00535B7D" w:rsidRDefault="00535B7D" w:rsidP="00535B7D">
      <w:r w:rsidRPr="00500BA1">
        <w:t>H</w:t>
      </w:r>
      <w:r>
        <w:t>is</w:t>
      </w:r>
      <w:r w:rsidRPr="00500BA1">
        <w:t xml:space="preserve"> Majesty’s Inspectorate of Constabulary and Fire and Rescue Services</w:t>
      </w:r>
      <w:r>
        <w:t>’</w:t>
      </w:r>
      <w:r w:rsidRPr="00500BA1">
        <w:t xml:space="preserve"> (HMICFRS)</w:t>
      </w:r>
      <w:r>
        <w:t xml:space="preserve"> assessment examines the service’s effectiveness, efficiency and how well it looks after its people. It is designed to give the public information about how their local fire and rescue service is performing in several important areas, in a way that is comparable with other services across England.</w:t>
      </w:r>
    </w:p>
    <w:p w14:paraId="658A1A90" w14:textId="5F4EA358" w:rsidR="00535B7D" w:rsidRDefault="00535B7D" w:rsidP="00535B7D">
      <w:r>
        <w:t xml:space="preserve">LFRS was in the first tranche of fire and rescue services to be inspected by </w:t>
      </w:r>
      <w:r w:rsidRPr="00500BA1">
        <w:t>HMICFRS</w:t>
      </w:r>
      <w:r>
        <w:t xml:space="preserve"> in </w:t>
      </w:r>
      <w:r w:rsidRPr="00500BA1">
        <w:t>2018</w:t>
      </w:r>
      <w:r>
        <w:t xml:space="preserve">. LFRS was </w:t>
      </w:r>
      <w:r w:rsidRPr="00500BA1">
        <w:t>rated as ‘outstanding’ for promoting its values and culture. In all other areas, the Service was rated as ‘good’ with no areas that ‘require improvement’ in any of the 11 categories that were assessed</w:t>
      </w:r>
      <w:r>
        <w:t>.</w:t>
      </w:r>
    </w:p>
    <w:p w14:paraId="7E29F581" w14:textId="66DD405B" w:rsidR="00535B7D" w:rsidRPr="0057538E" w:rsidRDefault="00535B7D" w:rsidP="00535B7D">
      <w:r>
        <w:t xml:space="preserve">The 2018 inspection was followed by another in 2020, </w:t>
      </w:r>
      <w:r w:rsidRPr="006450EC">
        <w:t xml:space="preserve">which was based around </w:t>
      </w:r>
      <w:r>
        <w:t>LFRS’s</w:t>
      </w:r>
      <w:r w:rsidRPr="006450EC">
        <w:t xml:space="preserve"> response to the COVID pandemic</w:t>
      </w:r>
      <w:r>
        <w:t xml:space="preserve">. The report concluded that </w:t>
      </w:r>
      <w:r w:rsidRPr="006450EC">
        <w:t xml:space="preserve">the service worked closely with the Lancashire Resilience Forum to help keep people in Lancashire safer from COVID-19 whilst ensuring that the service </w:t>
      </w:r>
      <w:r w:rsidRPr="0057538E">
        <w:t>maintained its emergency response service.</w:t>
      </w:r>
    </w:p>
    <w:p w14:paraId="2ABC44FC" w14:textId="50FAD7A5" w:rsidR="00535B7D" w:rsidRDefault="00535B7D" w:rsidP="00535B7D">
      <w:r w:rsidRPr="0057538E">
        <w:t>Since 2018 LFRS has worked hard to reinforce those areas it was found to be good in</w:t>
      </w:r>
      <w:r>
        <w:t>,</w:t>
      </w:r>
      <w:r w:rsidRPr="0057538E">
        <w:t xml:space="preserve"> and in the most recent inspection</w:t>
      </w:r>
      <w:r>
        <w:t>,</w:t>
      </w:r>
      <w:r w:rsidRPr="0057538E">
        <w:t xml:space="preserve"> carried out in 2021/2022</w:t>
      </w:r>
      <w:r>
        <w:t>,</w:t>
      </w:r>
      <w:r w:rsidRPr="0057538E">
        <w:t xml:space="preserve"> LFRS was again rated ‘outstanding’ for culture and values, and rated as ‘good’ in the other 10 </w:t>
      </w:r>
      <w:r w:rsidRPr="0057538E">
        <w:lastRenderedPageBreak/>
        <w:t>categories with no areas that ‘require improvement.’ The results mirror those of the service’s first full inspection in 2018, with the new</w:t>
      </w:r>
      <w:r>
        <w:t>er</w:t>
      </w:r>
      <w:r w:rsidRPr="0057538E">
        <w:t xml:space="preserve"> report highlighting that the service improved in almost all areas since then.</w:t>
      </w:r>
    </w:p>
    <w:p w14:paraId="79F09194" w14:textId="422FC70F" w:rsidR="00535B7D" w:rsidRPr="000B6F05" w:rsidRDefault="00535B7D" w:rsidP="004D7966">
      <w:r w:rsidRPr="005D3102">
        <w:t xml:space="preserve">LFRS is next due to be inspected again during 2025. A full copy of the most recent HMICFRS inspection report can be found on our </w:t>
      </w:r>
      <w:hyperlink r:id="rId15" w:history="1">
        <w:r w:rsidRPr="005802DB">
          <w:rPr>
            <w:rStyle w:val="Hyperlink"/>
            <w:u w:val="none"/>
          </w:rPr>
          <w:t>website</w:t>
        </w:r>
      </w:hyperlink>
      <w:r w:rsidRPr="000B6F05">
        <w:t>.</w:t>
      </w:r>
    </w:p>
    <w:p w14:paraId="4A4D427E" w14:textId="2D5A591C" w:rsidR="005F30E7" w:rsidRPr="00CC4E47" w:rsidRDefault="005F30E7" w:rsidP="003F70E6">
      <w:pPr>
        <w:pStyle w:val="Heading1"/>
      </w:pPr>
      <w:bookmarkStart w:id="26" w:name="_Toc187398666"/>
      <w:r w:rsidRPr="005D3102">
        <w:t>Operational Assurance</w:t>
      </w:r>
      <w:bookmarkEnd w:id="23"/>
      <w:bookmarkEnd w:id="26"/>
    </w:p>
    <w:p w14:paraId="10FCBDC8" w14:textId="43119026" w:rsidR="003F0D31" w:rsidRPr="00CC4E47" w:rsidRDefault="005F30E7" w:rsidP="00E45160">
      <w:r w:rsidRPr="00CC4E47">
        <w:t>The National Framework outlines the requirement placed upon F</w:t>
      </w:r>
      <w:r w:rsidR="003D19EE">
        <w:t xml:space="preserve">ire and </w:t>
      </w:r>
      <w:r w:rsidR="00FB11F1" w:rsidRPr="00CC4E47">
        <w:t>R</w:t>
      </w:r>
      <w:r w:rsidR="003D19EE">
        <w:t xml:space="preserve">escue </w:t>
      </w:r>
      <w:r w:rsidR="00FB11F1" w:rsidRPr="00CC4E47">
        <w:t>A</w:t>
      </w:r>
      <w:r w:rsidR="003D19EE">
        <w:t>uthorities (FRAs)</w:t>
      </w:r>
      <w:r w:rsidRPr="00CC4E47">
        <w:t xml:space="preserve"> to provide assurance on operational matters which are determined locally by them in partnership with their local communities</w:t>
      </w:r>
      <w:r w:rsidR="00882EA8">
        <w:t>,</w:t>
      </w:r>
      <w:r w:rsidRPr="00CC4E47">
        <w:t xml:space="preserve"> citizens, </w:t>
      </w:r>
      <w:r w:rsidR="00882EA8" w:rsidRPr="00CC4E47">
        <w:t>businesses,</w:t>
      </w:r>
      <w:r w:rsidRPr="00CC4E47">
        <w:t xml:space="preserve"> and others.</w:t>
      </w:r>
    </w:p>
    <w:p w14:paraId="4B096B9C" w14:textId="32822EA6" w:rsidR="008E6441" w:rsidRDefault="005F30E7" w:rsidP="00E45160">
      <w:r w:rsidRPr="00CC4E47">
        <w:t>FRA’s function within a clearly defined statutory and policy framework of which the key legislative documents defining these responsibilities are:</w:t>
      </w:r>
    </w:p>
    <w:p w14:paraId="4372243A" w14:textId="77777777" w:rsidR="00FB11F1" w:rsidRPr="00AF006B" w:rsidRDefault="005F30E7" w:rsidP="003D1408">
      <w:pPr>
        <w:pStyle w:val="CM11"/>
        <w:numPr>
          <w:ilvl w:val="0"/>
          <w:numId w:val="31"/>
        </w:numPr>
        <w:spacing w:line="360" w:lineRule="auto"/>
        <w:ind w:left="714" w:right="-57" w:hanging="357"/>
      </w:pPr>
      <w:r w:rsidRPr="00AF006B">
        <w:t>Fire and Rescue Services Act 2004</w:t>
      </w:r>
    </w:p>
    <w:p w14:paraId="0CE495C6" w14:textId="77777777" w:rsidR="00FB11F1" w:rsidRPr="00AF006B" w:rsidRDefault="00FB11F1" w:rsidP="003D1408">
      <w:pPr>
        <w:pStyle w:val="CM11"/>
        <w:numPr>
          <w:ilvl w:val="0"/>
          <w:numId w:val="31"/>
        </w:numPr>
        <w:spacing w:line="360" w:lineRule="auto"/>
        <w:ind w:left="714" w:right="-57" w:hanging="357"/>
      </w:pPr>
      <w:r w:rsidRPr="00AF006B">
        <w:t>Civil Contingencies Act 2004</w:t>
      </w:r>
    </w:p>
    <w:p w14:paraId="38527218" w14:textId="77777777" w:rsidR="00FB11F1" w:rsidRPr="00AF006B" w:rsidRDefault="005F30E7" w:rsidP="003D1408">
      <w:pPr>
        <w:pStyle w:val="CM11"/>
        <w:numPr>
          <w:ilvl w:val="0"/>
          <w:numId w:val="31"/>
        </w:numPr>
        <w:spacing w:line="360" w:lineRule="auto"/>
        <w:ind w:left="714" w:right="-57" w:hanging="357"/>
      </w:pPr>
      <w:r w:rsidRPr="00AF006B">
        <w:t>Regulatory Reform</w:t>
      </w:r>
      <w:r w:rsidR="00FB11F1" w:rsidRPr="00AF006B">
        <w:t xml:space="preserve"> (Fire Safety) Order 2005</w:t>
      </w:r>
    </w:p>
    <w:p w14:paraId="4DEFE027" w14:textId="77777777" w:rsidR="00FB11F1" w:rsidRPr="00AF006B" w:rsidRDefault="005F30E7" w:rsidP="003D1408">
      <w:pPr>
        <w:pStyle w:val="CM11"/>
        <w:numPr>
          <w:ilvl w:val="0"/>
          <w:numId w:val="31"/>
        </w:numPr>
        <w:spacing w:line="360" w:lineRule="auto"/>
        <w:ind w:left="714" w:right="-57" w:hanging="357"/>
      </w:pPr>
      <w:r w:rsidRPr="00AF006B">
        <w:t>Fire and Rescue Services (Emergenc</w:t>
      </w:r>
      <w:r w:rsidR="00FB11F1" w:rsidRPr="00AF006B">
        <w:t>ies) (England) Order 2007</w:t>
      </w:r>
    </w:p>
    <w:p w14:paraId="0677256B" w14:textId="77777777" w:rsidR="00FB11F1" w:rsidRDefault="00FB11F1" w:rsidP="003D1408">
      <w:pPr>
        <w:pStyle w:val="CM11"/>
        <w:numPr>
          <w:ilvl w:val="0"/>
          <w:numId w:val="31"/>
        </w:numPr>
        <w:spacing w:line="360" w:lineRule="auto"/>
        <w:ind w:left="714" w:right="-57" w:hanging="357"/>
      </w:pPr>
      <w:r w:rsidRPr="00AF006B">
        <w:t>Localism Act 2011</w:t>
      </w:r>
    </w:p>
    <w:p w14:paraId="20B496D2" w14:textId="50AC75A1" w:rsidR="003D1408" w:rsidRDefault="003D1408" w:rsidP="003D1408">
      <w:pPr>
        <w:pStyle w:val="Default"/>
        <w:numPr>
          <w:ilvl w:val="0"/>
          <w:numId w:val="31"/>
        </w:numPr>
        <w:spacing w:line="360" w:lineRule="auto"/>
        <w:ind w:left="714" w:hanging="357"/>
      </w:pPr>
      <w:r>
        <w:t>Policing and Crime Act 2017</w:t>
      </w:r>
    </w:p>
    <w:p w14:paraId="45BBBD89" w14:textId="77777777" w:rsidR="00195C09" w:rsidRPr="00AF006B" w:rsidRDefault="00195C09" w:rsidP="00195C09">
      <w:pPr>
        <w:pStyle w:val="CM11"/>
        <w:numPr>
          <w:ilvl w:val="0"/>
          <w:numId w:val="31"/>
        </w:numPr>
        <w:spacing w:line="360" w:lineRule="auto"/>
        <w:ind w:left="714" w:hanging="357"/>
      </w:pPr>
      <w:r>
        <w:t>Fire and Rescue National Framework for England 2018</w:t>
      </w:r>
    </w:p>
    <w:p w14:paraId="1D340255" w14:textId="77777777" w:rsidR="003D1408" w:rsidRDefault="003D1408" w:rsidP="003D1408">
      <w:pPr>
        <w:pStyle w:val="CM11"/>
        <w:numPr>
          <w:ilvl w:val="0"/>
          <w:numId w:val="31"/>
        </w:numPr>
        <w:spacing w:line="360" w:lineRule="auto"/>
        <w:ind w:left="714" w:hanging="357"/>
      </w:pPr>
      <w:r>
        <w:t>Building Safety Act 2022</w:t>
      </w:r>
    </w:p>
    <w:p w14:paraId="0B98331D" w14:textId="77777777" w:rsidR="003D1408" w:rsidRDefault="003D1408" w:rsidP="003D1408">
      <w:pPr>
        <w:pStyle w:val="CM11"/>
        <w:numPr>
          <w:ilvl w:val="0"/>
          <w:numId w:val="31"/>
        </w:numPr>
        <w:spacing w:line="360" w:lineRule="auto"/>
        <w:ind w:left="714" w:hanging="357"/>
      </w:pPr>
      <w:r>
        <w:t>Fire Safety (England) Regulations 2022</w:t>
      </w:r>
    </w:p>
    <w:p w14:paraId="30A30D6B" w14:textId="57EC100E" w:rsidR="0090028D" w:rsidRPr="0090028D" w:rsidRDefault="005F30E7" w:rsidP="0090028D">
      <w:pPr>
        <w:rPr>
          <w:sz w:val="22"/>
        </w:rPr>
      </w:pPr>
      <w:r w:rsidRPr="00CC4E47">
        <w:t xml:space="preserve">This section aims to provide assurance that our service is delivered in line with our statutory responsibilities and with due regard to the expectations set out in our </w:t>
      </w:r>
      <w:r w:rsidR="008227C9">
        <w:t>C</w:t>
      </w:r>
      <w:r w:rsidRPr="00CC4E47">
        <w:t>RMP including cross-border, multi-</w:t>
      </w:r>
      <w:r w:rsidR="00882EA8" w:rsidRPr="00CC4E47">
        <w:t>authority,</w:t>
      </w:r>
      <w:r w:rsidRPr="00CC4E47">
        <w:t xml:space="preserve"> and national incident arrangements.</w:t>
      </w:r>
      <w:r w:rsidR="0090028D">
        <w:t xml:space="preserve">  The key components, known as pillars, for operational assurance are as </w:t>
      </w:r>
      <w:r w:rsidR="0090028D" w:rsidRPr="0090028D">
        <w:t>follows:</w:t>
      </w:r>
    </w:p>
    <w:p w14:paraId="0157AC3A" w14:textId="3DF4566D" w:rsidR="0090028D" w:rsidRDefault="0090028D" w:rsidP="0090028D">
      <w:pPr>
        <w:pStyle w:val="CM3"/>
        <w:numPr>
          <w:ilvl w:val="0"/>
          <w:numId w:val="27"/>
        </w:numPr>
        <w:rPr>
          <w:rFonts w:eastAsia="Times New Roman"/>
        </w:rPr>
      </w:pPr>
      <w:r>
        <w:rPr>
          <w:rFonts w:eastAsia="Times New Roman"/>
          <w:b/>
          <w:bCs/>
        </w:rPr>
        <w:t xml:space="preserve">Operational Preparedness Assurance - </w:t>
      </w:r>
      <w:r>
        <w:rPr>
          <w:rFonts w:eastAsia="Times New Roman"/>
        </w:rPr>
        <w:t>This is the ‘</w:t>
      </w:r>
      <w:r w:rsidRPr="005802DB">
        <w:rPr>
          <w:rFonts w:eastAsia="Times New Roman"/>
        </w:rPr>
        <w:t>before</w:t>
      </w:r>
      <w:r>
        <w:rPr>
          <w:rFonts w:eastAsia="Times New Roman"/>
          <w:i/>
          <w:iCs/>
        </w:rPr>
        <w:t>’</w:t>
      </w:r>
      <w:r>
        <w:rPr>
          <w:rFonts w:eastAsia="Times New Roman"/>
        </w:rPr>
        <w:t xml:space="preserve"> aspect of the assurance framework</w:t>
      </w:r>
      <w:r w:rsidR="003D19EE">
        <w:rPr>
          <w:rFonts w:eastAsia="Times New Roman"/>
        </w:rPr>
        <w:t xml:space="preserve"> delivered through station-based assurance visits which</w:t>
      </w:r>
      <w:r>
        <w:rPr>
          <w:rFonts w:eastAsia="Times New Roman"/>
        </w:rPr>
        <w:t xml:space="preserve"> focus on core work that is aligned to reducing risk and our capability to </w:t>
      </w:r>
      <w:r>
        <w:rPr>
          <w:rFonts w:eastAsia="Times New Roman"/>
        </w:rPr>
        <w:lastRenderedPageBreak/>
        <w:t xml:space="preserve">respond effectively and efficiently when the need arises. </w:t>
      </w:r>
    </w:p>
    <w:p w14:paraId="1B76CD5E" w14:textId="77777777" w:rsidR="0090028D" w:rsidRDefault="0090028D" w:rsidP="0090028D">
      <w:pPr>
        <w:pStyle w:val="CM3"/>
        <w:numPr>
          <w:ilvl w:val="0"/>
          <w:numId w:val="27"/>
        </w:numPr>
        <w:rPr>
          <w:rFonts w:eastAsia="Times New Roman"/>
          <w:u w:val="single"/>
        </w:rPr>
      </w:pPr>
      <w:r>
        <w:rPr>
          <w:rFonts w:eastAsia="Times New Roman"/>
          <w:b/>
          <w:bCs/>
        </w:rPr>
        <w:t xml:space="preserve">Operational Response Assurance - </w:t>
      </w:r>
      <w:r>
        <w:rPr>
          <w:rFonts w:eastAsia="Times New Roman"/>
        </w:rPr>
        <w:t>This is the ‘</w:t>
      </w:r>
      <w:r w:rsidRPr="005802DB">
        <w:rPr>
          <w:rFonts w:eastAsia="Times New Roman"/>
        </w:rPr>
        <w:t>during</w:t>
      </w:r>
      <w:r>
        <w:rPr>
          <w:rFonts w:eastAsia="Times New Roman"/>
          <w:i/>
          <w:iCs/>
        </w:rPr>
        <w:t>’</w:t>
      </w:r>
      <w:r>
        <w:rPr>
          <w:rFonts w:eastAsia="Times New Roman"/>
        </w:rPr>
        <w:t xml:space="preserve"> aspect of the assurance framework, which is delivered through assurance monitoring during the response phase of an incident or exercise. </w:t>
      </w:r>
    </w:p>
    <w:p w14:paraId="37B14DA4" w14:textId="77777777" w:rsidR="0090028D" w:rsidRDefault="0090028D" w:rsidP="0090028D">
      <w:pPr>
        <w:pStyle w:val="CM3"/>
        <w:numPr>
          <w:ilvl w:val="0"/>
          <w:numId w:val="27"/>
        </w:numPr>
        <w:rPr>
          <w:rFonts w:eastAsia="Times New Roman"/>
          <w:u w:val="single"/>
        </w:rPr>
      </w:pPr>
      <w:r>
        <w:rPr>
          <w:rFonts w:eastAsia="Times New Roman"/>
          <w:b/>
          <w:bCs/>
        </w:rPr>
        <w:t>Operational Learning</w:t>
      </w:r>
      <w:r>
        <w:rPr>
          <w:rFonts w:eastAsia="Times New Roman"/>
        </w:rPr>
        <w:t xml:space="preserve"> - This is the ‘</w:t>
      </w:r>
      <w:r w:rsidRPr="005802DB">
        <w:rPr>
          <w:rFonts w:eastAsia="Times New Roman"/>
        </w:rPr>
        <w:t>after</w:t>
      </w:r>
      <w:r>
        <w:rPr>
          <w:rFonts w:eastAsia="Times New Roman"/>
          <w:i/>
          <w:iCs/>
        </w:rPr>
        <w:t>’</w:t>
      </w:r>
      <w:r>
        <w:rPr>
          <w:rFonts w:eastAsia="Times New Roman"/>
        </w:rPr>
        <w:t xml:space="preserve"> aspect of the assurance framework, which is delivered through our debrief systems and by learning from safety events in LFRS, other Fire and Rescue Services, National Operational Learning (NOL), and Joint Organisational Learning (JOL).</w:t>
      </w:r>
    </w:p>
    <w:p w14:paraId="48651F83" w14:textId="61A4747A" w:rsidR="0090028D" w:rsidRDefault="0090028D" w:rsidP="0090028D">
      <w:r>
        <w:t>The data and findings from these are analysed with key learning provided for staff on a quarterly report to support improvement, and items meeting the criteria are reported to NOL and/or JOL. Additionally, themes are considered for inclusion in training programmes.</w:t>
      </w:r>
    </w:p>
    <w:p w14:paraId="61257933" w14:textId="343ACB3C" w:rsidR="004A1F4E" w:rsidRDefault="004A1F4E" w:rsidP="003F70E6">
      <w:pPr>
        <w:pStyle w:val="Heading2"/>
      </w:pPr>
      <w:bookmarkStart w:id="27" w:name="_Toc187398667"/>
      <w:bookmarkStart w:id="28" w:name="_Hlk81992190"/>
      <w:bookmarkEnd w:id="24"/>
      <w:r w:rsidRPr="003F0CB5">
        <w:t>Prevention and Protection</w:t>
      </w:r>
      <w:bookmarkEnd w:id="27"/>
    </w:p>
    <w:p w14:paraId="23B1EB3E" w14:textId="7D156733" w:rsidR="001F06D2" w:rsidRPr="00BE3CC1" w:rsidRDefault="001F06D2" w:rsidP="001F06D2">
      <w:r w:rsidRPr="00BE3CC1">
        <w:t>Our Prevention and Protection strategies set out how we will continue to evolve and improve the way we educate, support and, where appropriate, enforce to stop incidents occurring and protect life. Our interventions continue to evolve in line with changing societal risk, and are shaped by data, intelligence, and equality impact assessment.</w:t>
      </w:r>
    </w:p>
    <w:p w14:paraId="043D73E8" w14:textId="5D3851EC" w:rsidR="001F06D2" w:rsidRPr="00BE3CC1" w:rsidRDefault="001F06D2" w:rsidP="001F06D2">
      <w:r w:rsidRPr="00BE3CC1">
        <w:t>Our person-centred Home Fire Safety Check (HFSC) service continues to include Safe and Well interventions including, where appropriate, falls risk assessments, alcohol, and mental health advice. LFRS remains focussed on identifying those most at risk from fire and continues to refine thematic campaigns and referral generation approaches to achieve this. In addition to delivering our role within Community Safety Partnerships our District based teams work with multi-disciplinary teams to ensure that the fire risk component of complex cases is recognised.</w:t>
      </w:r>
    </w:p>
    <w:p w14:paraId="4670BF42" w14:textId="6043A816" w:rsidR="001F06D2" w:rsidRPr="00BE3CC1" w:rsidRDefault="001F06D2" w:rsidP="001F06D2">
      <w:r w:rsidRPr="00BE3CC1">
        <w:t>Education continues to be a priority and the Service has fire, water and road safety packages tailored for all Key Stages of education. The Service runs and supports a wide range of campaigns for all road users based on the National Police Chiefs Council campaign calendar whilst also taking an active role in the Lancashire Water Safety Partnership.</w:t>
      </w:r>
    </w:p>
    <w:p w14:paraId="6E6627C8" w14:textId="3C021CF0" w:rsidR="001F06D2" w:rsidRPr="00BE3CC1" w:rsidRDefault="001F06D2" w:rsidP="001F06D2">
      <w:r w:rsidRPr="00BE3CC1">
        <w:lastRenderedPageBreak/>
        <w:t xml:space="preserve">We continue to provide the </w:t>
      </w:r>
      <w:r w:rsidR="005C0C81">
        <w:t>Kings</w:t>
      </w:r>
      <w:r w:rsidR="005C0C81" w:rsidRPr="00BE3CC1">
        <w:t xml:space="preserve"> </w:t>
      </w:r>
      <w:r w:rsidRPr="00BE3CC1">
        <w:t>Trust Team program and have Fire Cadet Units at a range of locations across Lancashire, complemented by a range of other youth engagement activities tailored to local need.</w:t>
      </w:r>
    </w:p>
    <w:p w14:paraId="0AC215E2" w14:textId="50AA6F48" w:rsidR="001F06D2" w:rsidRPr="00BE3CC1" w:rsidRDefault="001F06D2" w:rsidP="001F06D2">
      <w:r w:rsidRPr="00BE3CC1">
        <w:t>Our Incident Intelligence Team continues to investigate fires, gathering evidence to assist arson investigations, and intelligence to drive the continual development of prevention activities which keep pace with the perpetually evolving nature of risk in our society.</w:t>
      </w:r>
    </w:p>
    <w:p w14:paraId="4A3DD789" w14:textId="1E94474F" w:rsidR="001F06D2" w:rsidRPr="00BE3CC1" w:rsidRDefault="001F06D2" w:rsidP="001F06D2">
      <w:r w:rsidRPr="00BE3CC1">
        <w:t xml:space="preserve">The Grenfell Tragedy in 2017, and the resultant public enquiries and technical reviews, has initiated the most far reaching and fundamental changes to Building Regulations and Fire Safety legislation seen in decades. To support change LFRS has invested in a Protection Transformation Team to ensure it is well placed to meet future challenges. 2023 saw the Service become a joint regulator with the Health and Safety Executive and Building Controls at all stages of the design, construction, occupation, and operation of Higher Risk Residential Buildings.  </w:t>
      </w:r>
    </w:p>
    <w:p w14:paraId="4435B264" w14:textId="0E726CF1" w:rsidR="001F06D2" w:rsidRPr="00BE3CC1" w:rsidRDefault="001F06D2" w:rsidP="001F06D2">
      <w:r w:rsidRPr="00BE3CC1">
        <w:t>Whilst this increased focus on the safety of residential buildings is welcome, such buildings make up only a proportion of Lancashire’s built environment</w:t>
      </w:r>
      <w:r w:rsidR="00BE3CC1">
        <w:t>. T</w:t>
      </w:r>
      <w:r w:rsidRPr="00BE3CC1">
        <w:t>he Service will continue to utilise a risk</w:t>
      </w:r>
      <w:r w:rsidR="00BE3CC1" w:rsidRPr="00BE3CC1">
        <w:t>-</w:t>
      </w:r>
      <w:r w:rsidRPr="00BE3CC1">
        <w:t>based approach to identify the wider range of premises at risk from fire and undertake fire safety interventions to assure compliance.</w:t>
      </w:r>
      <w:r w:rsidR="00BE3CC1">
        <w:t xml:space="preserve"> </w:t>
      </w:r>
      <w:r w:rsidRPr="00BE3CC1">
        <w:t xml:space="preserve"> Support to business and commerce continues to remain a priority and we will maintain the ability to enforce and indeed prosecute where fire safety law has been ignored or flouted. Business support will continue to be provided by our Business Safety Advisors, campaign activity and website support, and we will continue to contribute to the principles of better regulation through our Primary Authority Schemes.</w:t>
      </w:r>
    </w:p>
    <w:p w14:paraId="1472FB39" w14:textId="56CA0DB3" w:rsidR="001F06D2" w:rsidRPr="00BE3CC1" w:rsidRDefault="001F06D2" w:rsidP="001F06D2">
      <w:r w:rsidRPr="00BE3CC1">
        <w:t>Whilst specialist and highly skilled Fire Safety Inspectors will undertake ‘audits’ we have increased our ability to ‘check’ compliance through our Business Fire Safety Check services which is undertaken by our Operational Crews. These visits evaluate simple measures linked to effective fire safety management and provide an opportunity to collect risk information and provide arson risk reduction advice.</w:t>
      </w:r>
    </w:p>
    <w:p w14:paraId="325B4217" w14:textId="230B6E73" w:rsidR="005B01B6" w:rsidRPr="00CC4E47" w:rsidRDefault="005B01B6" w:rsidP="003F70E6">
      <w:pPr>
        <w:pStyle w:val="Heading2"/>
      </w:pPr>
      <w:bookmarkStart w:id="29" w:name="_Toc56678094"/>
      <w:bookmarkStart w:id="30" w:name="_Toc187398668"/>
      <w:bookmarkStart w:id="31" w:name="_Hlk81992831"/>
      <w:bookmarkEnd w:id="28"/>
      <w:r w:rsidRPr="005D3102">
        <w:lastRenderedPageBreak/>
        <w:t>Mutual Aid Agreements</w:t>
      </w:r>
      <w:bookmarkEnd w:id="29"/>
      <w:bookmarkEnd w:id="30"/>
    </w:p>
    <w:p w14:paraId="72034CB6" w14:textId="61C9AB62" w:rsidR="005B01B6" w:rsidRPr="00CC4E47" w:rsidRDefault="005B01B6" w:rsidP="00E45160">
      <w:pPr>
        <w:rPr>
          <w:rFonts w:eastAsiaTheme="majorEastAsia"/>
        </w:rPr>
      </w:pPr>
      <w:r w:rsidRPr="00CC4E47">
        <w:rPr>
          <w:rFonts w:eastAsiaTheme="majorEastAsia"/>
        </w:rPr>
        <w:t xml:space="preserve">The National Framework states that Fire and Rescue Authorities must make provision to respond to incidents such as fires, road traffic collisions and other emergencies within their area and in other areas in line with mutual aid agreements. LFRS maintain mutual agreements for reinforcements with our five bordering Fire and Rescue Authorities - Cumbria, Greater Manchester, Merseyside, North </w:t>
      </w:r>
      <w:r w:rsidR="00882EA8" w:rsidRPr="00CC4E47">
        <w:rPr>
          <w:rFonts w:eastAsiaTheme="majorEastAsia"/>
        </w:rPr>
        <w:t>Yorkshire,</w:t>
      </w:r>
      <w:r w:rsidRPr="00CC4E47">
        <w:rPr>
          <w:rFonts w:eastAsiaTheme="majorEastAsia"/>
        </w:rPr>
        <w:t xml:space="preserve"> and West Yorkshire. These agreements are periodically reviewed to maintain currency and provide optimal response arrangements.</w:t>
      </w:r>
    </w:p>
    <w:p w14:paraId="03A2D297" w14:textId="3655D200" w:rsidR="005B01B6" w:rsidRPr="00CC4E47" w:rsidRDefault="005B01B6" w:rsidP="003F70E6">
      <w:pPr>
        <w:pStyle w:val="Heading2"/>
      </w:pPr>
      <w:bookmarkStart w:id="32" w:name="_Toc56678095"/>
      <w:bookmarkStart w:id="33" w:name="_Toc187398669"/>
      <w:r w:rsidRPr="005D3102">
        <w:t>National Resilience</w:t>
      </w:r>
      <w:bookmarkEnd w:id="32"/>
      <w:bookmarkEnd w:id="33"/>
    </w:p>
    <w:p w14:paraId="187590B2" w14:textId="10C0C691" w:rsidR="005B01B6" w:rsidRPr="00CC4E47" w:rsidRDefault="005B01B6" w:rsidP="00E45160">
      <w:pPr>
        <w:rPr>
          <w:rFonts w:eastAsiaTheme="majorEastAsia"/>
        </w:rPr>
      </w:pPr>
      <w:r w:rsidRPr="00CC4E47">
        <w:rPr>
          <w:rFonts w:eastAsiaTheme="majorEastAsia"/>
        </w:rPr>
        <w:t xml:space="preserve">For the purposes of this document, National Resilience (NR) is defined as the capacity and capability of Fire and Rescue Authorities to work together and with other Category 1 and 2 responders to deliver a sustained, effective response to major incidents, </w:t>
      </w:r>
      <w:r w:rsidR="00882EA8" w:rsidRPr="00CC4E47">
        <w:rPr>
          <w:rFonts w:eastAsiaTheme="majorEastAsia"/>
        </w:rPr>
        <w:t>emergencies,</w:t>
      </w:r>
      <w:r w:rsidRPr="00CC4E47">
        <w:rPr>
          <w:rFonts w:eastAsiaTheme="majorEastAsia"/>
        </w:rPr>
        <w:t xml:space="preserve"> and disruptive challenges, such as (but not limited to) those identified in the National Risk Register of Civil Emergencies. It refers to risks that need to be planned for on a strategic, national basis because their impacts and consequences would be of such scale and / or complexity that local resources would be insufficient, even when </w:t>
      </w:r>
      <w:r w:rsidR="00433FFB" w:rsidRPr="00CC4E47">
        <w:rPr>
          <w:rFonts w:eastAsiaTheme="majorEastAsia"/>
        </w:rPr>
        <w:t>considering</w:t>
      </w:r>
      <w:r w:rsidRPr="00CC4E47">
        <w:rPr>
          <w:rFonts w:eastAsiaTheme="majorEastAsia"/>
        </w:rPr>
        <w:t xml:space="preserve"> mutual aid arrangements.</w:t>
      </w:r>
    </w:p>
    <w:p w14:paraId="713CCC16" w14:textId="4E8E54BC" w:rsidR="005B01B6" w:rsidRPr="00CC4E47" w:rsidRDefault="005B01B6" w:rsidP="00E45160">
      <w:pPr>
        <w:rPr>
          <w:rFonts w:eastAsiaTheme="majorEastAsia"/>
        </w:rPr>
      </w:pPr>
      <w:r w:rsidRPr="00CC4E47">
        <w:rPr>
          <w:rFonts w:eastAsiaTheme="majorEastAsia"/>
        </w:rPr>
        <w:t>LFRS is a signatory to the National Mutual Aid protocol and has deployed assets to major incidents outside the region. The costs of such mobilisations are borne by the FRA within whose area the incident occurs and are therefore re-claimed by LFRS.</w:t>
      </w:r>
    </w:p>
    <w:p w14:paraId="446E5683" w14:textId="7C81BF51" w:rsidR="005B01B6" w:rsidRPr="00CC4E47" w:rsidRDefault="005B01B6" w:rsidP="00E45160">
      <w:pPr>
        <w:rPr>
          <w:rFonts w:eastAsiaTheme="majorEastAsia"/>
        </w:rPr>
      </w:pPr>
      <w:r w:rsidRPr="00CC4E47">
        <w:rPr>
          <w:rFonts w:eastAsiaTheme="majorEastAsia"/>
        </w:rPr>
        <w:t xml:space="preserve">We remain subject to the </w:t>
      </w:r>
      <w:r w:rsidR="002C00CF">
        <w:rPr>
          <w:rFonts w:eastAsiaTheme="majorEastAsia"/>
        </w:rPr>
        <w:t>NR</w:t>
      </w:r>
      <w:r w:rsidRPr="00CC4E47">
        <w:rPr>
          <w:rFonts w:eastAsiaTheme="majorEastAsia"/>
        </w:rPr>
        <w:t xml:space="preserve"> audit processes which test the various aspects of our NR capabilities. </w:t>
      </w:r>
      <w:r w:rsidR="00F22589" w:rsidRPr="00F22589">
        <w:rPr>
          <w:rFonts w:eastAsiaTheme="majorEastAsia"/>
        </w:rPr>
        <w:t>Merseyside Fire &amp; Rescue Service assumed the lead authority role for National Resilience on behalf of the Home Office in 2016.</w:t>
      </w:r>
      <w:r w:rsidR="00F22589">
        <w:rPr>
          <w:rFonts w:eastAsiaTheme="majorEastAsia"/>
        </w:rPr>
        <w:t xml:space="preserve"> </w:t>
      </w:r>
      <w:r w:rsidR="00F22589" w:rsidRPr="00F22589">
        <w:rPr>
          <w:rFonts w:eastAsiaTheme="majorEastAsia"/>
        </w:rPr>
        <w:t xml:space="preserve">This includes taking responsibility for assurance, training, long-term capability management and Fire Control </w:t>
      </w:r>
      <w:proofErr w:type="gramStart"/>
      <w:r w:rsidR="00F22589" w:rsidRPr="00F22589">
        <w:rPr>
          <w:rFonts w:eastAsiaTheme="majorEastAsia"/>
        </w:rPr>
        <w:t>with regard to</w:t>
      </w:r>
      <w:proofErr w:type="gramEnd"/>
      <w:r w:rsidR="00F22589" w:rsidRPr="00F22589">
        <w:rPr>
          <w:rFonts w:eastAsiaTheme="majorEastAsia"/>
        </w:rPr>
        <w:t xml:space="preserve"> National resilience</w:t>
      </w:r>
      <w:r w:rsidRPr="00CC4E47">
        <w:rPr>
          <w:rFonts w:eastAsiaTheme="majorEastAsia"/>
        </w:rPr>
        <w:t>.</w:t>
      </w:r>
    </w:p>
    <w:p w14:paraId="57F9B66E" w14:textId="3D6B8A50" w:rsidR="005B01B6" w:rsidRPr="00CC4E47" w:rsidRDefault="005B01B6" w:rsidP="003F70E6">
      <w:pPr>
        <w:pStyle w:val="Heading2"/>
      </w:pPr>
      <w:bookmarkStart w:id="34" w:name="_Toc56678096"/>
      <w:bookmarkStart w:id="35" w:name="_Toc187398670"/>
      <w:r w:rsidRPr="005D3102">
        <w:t>Business Continuity</w:t>
      </w:r>
      <w:bookmarkEnd w:id="34"/>
      <w:bookmarkEnd w:id="35"/>
    </w:p>
    <w:p w14:paraId="21D887CF" w14:textId="18957C4A" w:rsidR="005B01B6" w:rsidRPr="00CC4E47" w:rsidRDefault="005B01B6" w:rsidP="00E45160">
      <w:pPr>
        <w:rPr>
          <w:rFonts w:eastAsiaTheme="majorEastAsia"/>
        </w:rPr>
      </w:pPr>
      <w:r w:rsidRPr="00CC4E47">
        <w:rPr>
          <w:rFonts w:eastAsiaTheme="majorEastAsia"/>
        </w:rPr>
        <w:t xml:space="preserve">Business Continuity Management (BCM) is an integral part of our corporate risk management process. In relation to BCM processes and procedures, all FRA’s </w:t>
      </w:r>
      <w:r w:rsidR="00882EA8" w:rsidRPr="00CC4E47">
        <w:rPr>
          <w:rFonts w:eastAsiaTheme="majorEastAsia"/>
        </w:rPr>
        <w:lastRenderedPageBreak/>
        <w:t>must</w:t>
      </w:r>
      <w:r w:rsidRPr="00CC4E47">
        <w:rPr>
          <w:rFonts w:eastAsiaTheme="majorEastAsia"/>
        </w:rPr>
        <w:t xml:space="preserve"> satisfy the requirements of both the Civil Contingencies Act 2004 and Fire </w:t>
      </w:r>
      <w:r w:rsidR="002C00CF">
        <w:rPr>
          <w:rFonts w:eastAsiaTheme="majorEastAsia"/>
        </w:rPr>
        <w:t>and</w:t>
      </w:r>
      <w:r w:rsidRPr="00CC4E47">
        <w:rPr>
          <w:rFonts w:eastAsiaTheme="majorEastAsia"/>
        </w:rPr>
        <w:t xml:space="preserve"> Rescue Services Act 2004.</w:t>
      </w:r>
    </w:p>
    <w:p w14:paraId="43516A1B" w14:textId="39CDF215" w:rsidR="00F22589" w:rsidRPr="00F22589" w:rsidRDefault="00F22589" w:rsidP="00F22589">
      <w:bookmarkStart w:id="36" w:name="_Hlk146188035"/>
      <w:bookmarkEnd w:id="31"/>
      <w:r w:rsidRPr="00F22589">
        <w:t xml:space="preserve">We are required to ‘write and maintain plans for the purpose of ensuring, so far as reasonably practicable, that if an emergency occurs the Authority </w:t>
      </w:r>
      <w:proofErr w:type="gramStart"/>
      <w:r w:rsidRPr="00F22589">
        <w:t>is able to</w:t>
      </w:r>
      <w:proofErr w:type="gramEnd"/>
      <w:r w:rsidRPr="00F22589">
        <w:t xml:space="preserve"> continue its </w:t>
      </w:r>
      <w:r w:rsidR="00127DD4">
        <w:t xml:space="preserve">critical </w:t>
      </w:r>
      <w:r w:rsidRPr="00F22589">
        <w:t>functions’. This includes periods of industrial action.</w:t>
      </w:r>
    </w:p>
    <w:p w14:paraId="25606447" w14:textId="2CCCE93F" w:rsidR="00F22589" w:rsidRPr="00F22589" w:rsidRDefault="00F22589" w:rsidP="00F22589">
      <w:proofErr w:type="gramStart"/>
      <w:r w:rsidRPr="00F22589">
        <w:t>In order to</w:t>
      </w:r>
      <w:proofErr w:type="gramEnd"/>
      <w:r w:rsidRPr="00F22589">
        <w:t xml:space="preserve"> ensure that Lancashire Fire and Rescue Service comply with both pieces of legislation, our BCM </w:t>
      </w:r>
      <w:r w:rsidR="00127DD4">
        <w:t>strives to align</w:t>
      </w:r>
      <w:r w:rsidR="00127DD4" w:rsidRPr="00F22589">
        <w:t xml:space="preserve"> </w:t>
      </w:r>
      <w:r w:rsidRPr="00F22589">
        <w:t>with the Business Continuity Institutes’ Good Practice Guidelines and ISO 22301. This provides a framework through which:</w:t>
      </w:r>
    </w:p>
    <w:p w14:paraId="7DF3C2CB" w14:textId="6BECDE67" w:rsidR="00F22589" w:rsidRPr="00F22589" w:rsidRDefault="00127DD4" w:rsidP="00F22589">
      <w:pPr>
        <w:pStyle w:val="ListParagraph"/>
        <w:numPr>
          <w:ilvl w:val="0"/>
          <w:numId w:val="30"/>
        </w:numPr>
      </w:pPr>
      <w:r>
        <w:t>Prioritised activities</w:t>
      </w:r>
      <w:r w:rsidR="00F22589" w:rsidRPr="00F22589">
        <w:t xml:space="preserve"> are identified</w:t>
      </w:r>
    </w:p>
    <w:p w14:paraId="0370D8B9" w14:textId="726EF8AF" w:rsidR="00F22589" w:rsidRPr="00F22589" w:rsidRDefault="00F22589" w:rsidP="00F22589">
      <w:pPr>
        <w:pStyle w:val="ListParagraph"/>
        <w:numPr>
          <w:ilvl w:val="0"/>
          <w:numId w:val="30"/>
        </w:numPr>
      </w:pPr>
      <w:r w:rsidRPr="00F22589">
        <w:t>Assessments of both internal and external risks which may impact on business continuity are made</w:t>
      </w:r>
    </w:p>
    <w:p w14:paraId="1B36DB9E" w14:textId="4B24CDB9" w:rsidR="00F22589" w:rsidRPr="00F22589" w:rsidRDefault="00F22589" w:rsidP="00F22589">
      <w:pPr>
        <w:pStyle w:val="ListParagraph"/>
        <w:numPr>
          <w:ilvl w:val="0"/>
          <w:numId w:val="30"/>
        </w:numPr>
      </w:pPr>
      <w:r w:rsidRPr="00F22589">
        <w:t xml:space="preserve">Strategic, Tactical, and Operational Plans </w:t>
      </w:r>
      <w:r w:rsidR="00127DD4">
        <w:t>are</w:t>
      </w:r>
      <w:r w:rsidRPr="00F22589">
        <w:t xml:space="preserve"> produced to ensure an acceptable level of service can be maintained following disruption</w:t>
      </w:r>
    </w:p>
    <w:p w14:paraId="22940EE6" w14:textId="574A06B5" w:rsidR="00F22589" w:rsidRPr="00F22589" w:rsidRDefault="00F22589" w:rsidP="00F22589">
      <w:pPr>
        <w:pStyle w:val="ListParagraph"/>
        <w:numPr>
          <w:ilvl w:val="0"/>
          <w:numId w:val="30"/>
        </w:numPr>
      </w:pPr>
      <w:r w:rsidRPr="00F22589">
        <w:t>Procedures are developed to invoke the BCP</w:t>
      </w:r>
    </w:p>
    <w:p w14:paraId="250C4082" w14:textId="4DF0396D" w:rsidR="00F22589" w:rsidRPr="00F22589" w:rsidRDefault="00F22589" w:rsidP="00F22589">
      <w:pPr>
        <w:pStyle w:val="ListParagraph"/>
        <w:numPr>
          <w:ilvl w:val="0"/>
          <w:numId w:val="30"/>
        </w:numPr>
      </w:pPr>
      <w:r w:rsidRPr="00F22589">
        <w:t>Arrangements are made to test the BCP</w:t>
      </w:r>
    </w:p>
    <w:p w14:paraId="6213827B" w14:textId="13D7E51D" w:rsidR="00F22589" w:rsidRPr="00F22589" w:rsidRDefault="00F22589" w:rsidP="00F22589">
      <w:pPr>
        <w:pStyle w:val="ListParagraph"/>
        <w:numPr>
          <w:ilvl w:val="0"/>
          <w:numId w:val="30"/>
        </w:numPr>
      </w:pPr>
      <w:r w:rsidRPr="00F22589">
        <w:t>All key personnel are trained to understand their role within the plan</w:t>
      </w:r>
    </w:p>
    <w:p w14:paraId="21819EEC" w14:textId="5C7D4D32" w:rsidR="00F22589" w:rsidRPr="00F22589" w:rsidRDefault="00F22589" w:rsidP="00F22589">
      <w:pPr>
        <w:pStyle w:val="ListParagraph"/>
        <w:numPr>
          <w:ilvl w:val="0"/>
          <w:numId w:val="30"/>
        </w:numPr>
      </w:pPr>
      <w:r w:rsidRPr="00F22589">
        <w:t>Responsibilities are clearly identified and assigned.</w:t>
      </w:r>
    </w:p>
    <w:p w14:paraId="57385567" w14:textId="37E11F0F" w:rsidR="00F22589" w:rsidRDefault="00127DD4" w:rsidP="00F22589">
      <w:r>
        <w:t>The</w:t>
      </w:r>
      <w:r w:rsidR="00F22589" w:rsidRPr="00F22589">
        <w:t xml:space="preserve"> plans are reviewed and tested </w:t>
      </w:r>
      <w:r>
        <w:t>yearly, at a minimum,</w:t>
      </w:r>
      <w:r w:rsidR="00F22589" w:rsidRPr="00F22589">
        <w:t xml:space="preserve"> to ensure our plans are fit for purpose. The protracted Coronavirus pandemic demonstrated the Service’s ability to deal with a Major Incident, </w:t>
      </w:r>
      <w:r>
        <w:t>while</w:t>
      </w:r>
      <w:r w:rsidRPr="00F22589">
        <w:t xml:space="preserve"> </w:t>
      </w:r>
      <w:r w:rsidR="00F22589" w:rsidRPr="00F22589">
        <w:t>at the same time responding to other emergencies in a timely manner and continuing with business as usual, as much as reasonably practicable.</w:t>
      </w:r>
    </w:p>
    <w:p w14:paraId="78A2C8D9" w14:textId="00A9EDFB" w:rsidR="001324E1" w:rsidRDefault="001324E1" w:rsidP="00F22589">
      <w:pPr>
        <w:pStyle w:val="Heading2"/>
        <w:rPr>
          <w:rFonts w:eastAsia="Times New Roman"/>
          <w:i/>
        </w:rPr>
      </w:pPr>
      <w:bookmarkStart w:id="37" w:name="_Toc187398671"/>
      <w:r w:rsidRPr="005D3102">
        <w:rPr>
          <w:rFonts w:eastAsia="Times New Roman"/>
        </w:rPr>
        <w:t xml:space="preserve">Safety, </w:t>
      </w:r>
      <w:r w:rsidR="00882EA8" w:rsidRPr="005D3102">
        <w:t>Health,</w:t>
      </w:r>
      <w:r w:rsidRPr="005D3102">
        <w:rPr>
          <w:rFonts w:eastAsia="Times New Roman"/>
        </w:rPr>
        <w:t xml:space="preserve"> </w:t>
      </w:r>
      <w:r w:rsidR="00E456E2" w:rsidRPr="005D3102">
        <w:rPr>
          <w:rFonts w:eastAsia="Times New Roman"/>
        </w:rPr>
        <w:t>and</w:t>
      </w:r>
      <w:r w:rsidRPr="005D3102">
        <w:rPr>
          <w:rFonts w:eastAsia="Times New Roman"/>
        </w:rPr>
        <w:t xml:space="preserve"> Environment</w:t>
      </w:r>
      <w:bookmarkEnd w:id="37"/>
    </w:p>
    <w:p w14:paraId="7D32F541" w14:textId="52714E5A" w:rsidR="0094261C" w:rsidRDefault="0094261C" w:rsidP="0094261C">
      <w:bookmarkStart w:id="38" w:name="_Toc56678098"/>
      <w:bookmarkStart w:id="39" w:name="_Hlk81990855"/>
      <w:r>
        <w:t>The Combined Fire Authority meets regularly to provide strategic political leadership to the Service. The Authority has overall responsibility for the effective governance of Safety, Health, and Environment (SHE), including:</w:t>
      </w:r>
    </w:p>
    <w:p w14:paraId="26F7AE55" w14:textId="7BE3B50B" w:rsidR="0094261C" w:rsidRDefault="0094261C" w:rsidP="0094261C">
      <w:pPr>
        <w:pStyle w:val="ListParagraph"/>
        <w:numPr>
          <w:ilvl w:val="0"/>
          <w:numId w:val="9"/>
        </w:numPr>
      </w:pPr>
      <w:r>
        <w:t xml:space="preserve">Agreeing the SHE Policy which outlines their commitments and ensuring adequate resources are available for the establishment, ongoing </w:t>
      </w:r>
      <w:r>
        <w:lastRenderedPageBreak/>
        <w:t>implementation and control of a Safety, Health</w:t>
      </w:r>
      <w:r w:rsidR="00A415ED">
        <w:t>,</w:t>
      </w:r>
      <w:r>
        <w:t xml:space="preserve"> Environment </w:t>
      </w:r>
      <w:r w:rsidR="00A415ED">
        <w:t xml:space="preserve">and Wellbeing </w:t>
      </w:r>
      <w:r>
        <w:t>(SHE) Management System.</w:t>
      </w:r>
    </w:p>
    <w:p w14:paraId="06E7C621" w14:textId="17A700D9" w:rsidR="0094261C" w:rsidRDefault="0094261C" w:rsidP="0094261C">
      <w:pPr>
        <w:pStyle w:val="ListParagraph"/>
        <w:numPr>
          <w:ilvl w:val="0"/>
          <w:numId w:val="9"/>
        </w:numPr>
      </w:pPr>
      <w:r>
        <w:t>Providing a clear direction for the Executive Board and Senior Management Team to establish policies and manage safety, health and environmental responsibilities effectively.</w:t>
      </w:r>
    </w:p>
    <w:p w14:paraId="04A88BE6" w14:textId="51203BFE" w:rsidR="0094261C" w:rsidRDefault="0094261C" w:rsidP="0094261C">
      <w:pPr>
        <w:pStyle w:val="ListParagraph"/>
        <w:numPr>
          <w:ilvl w:val="0"/>
          <w:numId w:val="9"/>
        </w:numPr>
      </w:pPr>
      <w:r>
        <w:t>Consideration of local and national issues which impact on Safety, Health, Environment</w:t>
      </w:r>
      <w:r w:rsidR="00A415ED">
        <w:t xml:space="preserve"> and Wellbeing</w:t>
      </w:r>
      <w:r>
        <w:t xml:space="preserve"> within the Service.</w:t>
      </w:r>
    </w:p>
    <w:p w14:paraId="510BBAF7" w14:textId="68945260" w:rsidR="0094261C" w:rsidRDefault="0094261C" w:rsidP="0094261C">
      <w:pPr>
        <w:pStyle w:val="ListParagraph"/>
        <w:numPr>
          <w:ilvl w:val="0"/>
          <w:numId w:val="9"/>
        </w:numPr>
      </w:pPr>
      <w:r>
        <w:t>Monitoring performance through receipt of the Annual SHE Report, to provide governance and assurance that an effective SHE Management System is operational within LFRS.</w:t>
      </w:r>
    </w:p>
    <w:p w14:paraId="76349B94" w14:textId="5FD7AC9C" w:rsidR="0094261C" w:rsidRDefault="0094261C" w:rsidP="0094261C">
      <w:r>
        <w:t>Our health and safety arrangements are based on the model Plan, Do, Check, Act laid down in the Health and Safety Executive publication HS(G)65 – Successful Health and Safety Management and written and implemented to the International Standard for Health and Safety Management Systems, ISO 45001:2018. The environmental aspects of the management system are written and implemented to the International Standard ISO 14001:2015.</w:t>
      </w:r>
    </w:p>
    <w:p w14:paraId="5B4178C5" w14:textId="66E32F23" w:rsidR="0094261C" w:rsidRDefault="0094261C" w:rsidP="0094261C">
      <w:r>
        <w:t>External Certification for both standards has been in place since 2011 with re-certification taking place every 3 years followed by annual surveillance audits. The last successful audit took place in 202</w:t>
      </w:r>
      <w:r w:rsidR="00A415ED">
        <w:t>4</w:t>
      </w:r>
      <w:r>
        <w:t>, where certification was extended with no non-conformances identified by the external audit team. As part of the audit process, the auditors visit a range of stations and departments and examined the ‘Full provision of fire, rescue and supporting services across Lancashire’ delivered by the Combined Fire Authority from a health and safety and environmental perspective.</w:t>
      </w:r>
    </w:p>
    <w:p w14:paraId="4B267996" w14:textId="349445B4" w:rsidR="0094261C" w:rsidRDefault="0094261C" w:rsidP="0094261C">
      <w:r>
        <w:t xml:space="preserve">We have procedures in place to report and investigate safety events, both events which have resulted in an injury to an individual or ‘near </w:t>
      </w:r>
      <w:proofErr w:type="spellStart"/>
      <w:r>
        <w:t>miss’</w:t>
      </w:r>
      <w:proofErr w:type="spellEnd"/>
      <w:r>
        <w:t xml:space="preserve"> events which had the potential to cause harm. These processes allow us to identify areas where improvements to our arrangements can be made.</w:t>
      </w:r>
    </w:p>
    <w:p w14:paraId="771CBD02" w14:textId="3742EB20" w:rsidR="00A415ED" w:rsidRDefault="0094261C" w:rsidP="0094261C">
      <w:r>
        <w:t xml:space="preserve">Each year a performance review of Safety, Health and Environment is carried out and reported to the Combined Fire Authority in the Annual SHE Report. Part of </w:t>
      </w:r>
      <w:r>
        <w:lastRenderedPageBreak/>
        <w:t>business-as-usual is the review of policies, procedures, support for staff wellbeing and guidance to ensure that we continue to meet our legal obligations in respect of safety, health and environment and we validate this by a system of internal and external audits.</w:t>
      </w:r>
    </w:p>
    <w:p w14:paraId="5D3A2DD5" w14:textId="2803A224" w:rsidR="0094261C" w:rsidRDefault="0094261C" w:rsidP="0094261C">
      <w:r>
        <w:t xml:space="preserve">To ensure continuous improvement is made </w:t>
      </w:r>
      <w:r w:rsidR="00A415ED">
        <w:t>across safety, health, environment and wellbeing</w:t>
      </w:r>
      <w:r w:rsidR="00AC635F">
        <w:t>,</w:t>
      </w:r>
      <w:r>
        <w:t xml:space="preserve"> we have developed aspirational 5-year delivery plan</w:t>
      </w:r>
      <w:r w:rsidR="00A415ED">
        <w:t>s</w:t>
      </w:r>
      <w:r>
        <w:t>, supported by objectives and actions each year to assist in delivering future improvements.</w:t>
      </w:r>
    </w:p>
    <w:p w14:paraId="187C194E" w14:textId="1BFBC565" w:rsidR="00DF0E87" w:rsidRPr="00654456" w:rsidRDefault="000B6F05" w:rsidP="003F70E6">
      <w:pPr>
        <w:pStyle w:val="Heading2"/>
      </w:pPr>
      <w:bookmarkStart w:id="40" w:name="_Toc187398672"/>
      <w:bookmarkStart w:id="41" w:name="_Hlk146188184"/>
      <w:bookmarkEnd w:id="36"/>
      <w:r w:rsidRPr="005D3102">
        <w:t xml:space="preserve">Leadership </w:t>
      </w:r>
      <w:r w:rsidR="00DF0E87" w:rsidRPr="005D3102">
        <w:t>and Development</w:t>
      </w:r>
      <w:bookmarkEnd w:id="38"/>
      <w:bookmarkEnd w:id="40"/>
    </w:p>
    <w:p w14:paraId="2AB54DDA" w14:textId="23C7CD7E" w:rsidR="003D1408" w:rsidRDefault="003D1408" w:rsidP="003D1408">
      <w:r>
        <w:t>As defined in the Fire and Rescue Services Act 2004, FRAs have a duty to secure the provision of training for personnel in relation to fighting fires, road traffic collisions (RTCs) and emergencies other than fires and RTCs.</w:t>
      </w:r>
    </w:p>
    <w:p w14:paraId="08785CEB" w14:textId="77777777" w:rsidR="003D1408" w:rsidRDefault="003D1408" w:rsidP="003D1408">
      <w:r>
        <w:t>To comply with the elements of fighting fires and RTCs, the Service provides training in:</w:t>
      </w:r>
    </w:p>
    <w:p w14:paraId="0C916A1B" w14:textId="3BB045CE" w:rsidR="003D1408" w:rsidRDefault="003D1408" w:rsidP="003D1408">
      <w:pPr>
        <w:pStyle w:val="CM11"/>
        <w:numPr>
          <w:ilvl w:val="0"/>
          <w:numId w:val="31"/>
        </w:numPr>
        <w:spacing w:line="360" w:lineRule="auto"/>
      </w:pPr>
      <w:r>
        <w:t>Breathing apparatus and fire behaviour</w:t>
      </w:r>
    </w:p>
    <w:p w14:paraId="41A05344" w14:textId="594811A5" w:rsidR="003D1408" w:rsidRDefault="003D1408" w:rsidP="003D1408">
      <w:pPr>
        <w:pStyle w:val="CM11"/>
        <w:numPr>
          <w:ilvl w:val="0"/>
          <w:numId w:val="31"/>
        </w:numPr>
        <w:spacing w:line="360" w:lineRule="auto"/>
      </w:pPr>
      <w:r>
        <w:t>Incident command</w:t>
      </w:r>
    </w:p>
    <w:p w14:paraId="3EA74027" w14:textId="3CD9CC9F" w:rsidR="003D1408" w:rsidRDefault="003D1408" w:rsidP="003D1408">
      <w:pPr>
        <w:pStyle w:val="CM11"/>
        <w:numPr>
          <w:ilvl w:val="0"/>
          <w:numId w:val="31"/>
        </w:numPr>
        <w:spacing w:line="360" w:lineRule="auto"/>
      </w:pPr>
      <w:r>
        <w:t>Blue light driving</w:t>
      </w:r>
    </w:p>
    <w:p w14:paraId="3154F9F3" w14:textId="0A8BB5E6" w:rsidR="003D1408" w:rsidRDefault="003D1408" w:rsidP="003D1408">
      <w:pPr>
        <w:pStyle w:val="CM11"/>
        <w:numPr>
          <w:ilvl w:val="0"/>
          <w:numId w:val="31"/>
        </w:numPr>
        <w:spacing w:line="360" w:lineRule="auto"/>
      </w:pPr>
      <w:r>
        <w:t>RTC</w:t>
      </w:r>
    </w:p>
    <w:p w14:paraId="2405BAB1" w14:textId="2CCDECA2" w:rsidR="003D1408" w:rsidRDefault="003D1408" w:rsidP="003D1408">
      <w:pPr>
        <w:pStyle w:val="CM11"/>
        <w:numPr>
          <w:ilvl w:val="0"/>
          <w:numId w:val="31"/>
        </w:numPr>
        <w:spacing w:line="360" w:lineRule="auto"/>
      </w:pPr>
      <w:r>
        <w:t>Trauma care</w:t>
      </w:r>
    </w:p>
    <w:p w14:paraId="0AD7E2DC" w14:textId="72FBBF8A" w:rsidR="003D1408" w:rsidRDefault="003D1408" w:rsidP="003D1408">
      <w:pPr>
        <w:pStyle w:val="CM11"/>
        <w:numPr>
          <w:ilvl w:val="0"/>
          <w:numId w:val="31"/>
        </w:numPr>
        <w:spacing w:line="360" w:lineRule="auto"/>
      </w:pPr>
      <w:r>
        <w:t>Firefighter core skills.</w:t>
      </w:r>
    </w:p>
    <w:p w14:paraId="51E4831D" w14:textId="1726BB23" w:rsidR="003D1408" w:rsidRDefault="003D1408" w:rsidP="003D1408">
      <w:r>
        <w:t>In relation to emergencies other than fires and RTCs, our CRMP identifies emergency special services to include flooding and water rescue incidents, wildfires, animal rescue, rope rescue, hazardous materials/spills and assisting other agencies.</w:t>
      </w:r>
    </w:p>
    <w:p w14:paraId="6BE37FA1" w14:textId="1D42F136" w:rsidR="00DF0E87" w:rsidRPr="00CC4E47" w:rsidRDefault="00DF0E87" w:rsidP="00E45160">
      <w:pPr>
        <w:rPr>
          <w:rFonts w:eastAsiaTheme="minorHAnsi"/>
        </w:rPr>
      </w:pPr>
      <w:r w:rsidRPr="00CC4E47">
        <w:t>Lancashire Fire and Rescue Service Training and Operational Review policy is designed to provide training and development to personnel to enable the organisation to fulfil its vision of 'Making Lancashire Safer'.</w:t>
      </w:r>
      <w:r w:rsidR="00087DB7">
        <w:t xml:space="preserve"> </w:t>
      </w:r>
      <w:r w:rsidRPr="00CC4E47">
        <w:t xml:space="preserve">Training is based on the needs of the organisation with a strong focus on ensuring that personnel are safe and competent in the delivery of the prevention, </w:t>
      </w:r>
      <w:r w:rsidR="00882EA8" w:rsidRPr="00CC4E47">
        <w:t>protection,</w:t>
      </w:r>
      <w:r w:rsidRPr="00CC4E47">
        <w:t xml:space="preserve"> and response services we provide.</w:t>
      </w:r>
    </w:p>
    <w:p w14:paraId="11A42978" w14:textId="3CD79B68" w:rsidR="00DF0E87" w:rsidRPr="00CC4E47" w:rsidRDefault="00DF0E87" w:rsidP="00E45160">
      <w:r w:rsidRPr="00CC4E47">
        <w:lastRenderedPageBreak/>
        <w:t xml:space="preserve">The training programme </w:t>
      </w:r>
      <w:r w:rsidR="00882EA8" w:rsidRPr="00CC4E47">
        <w:t>considers</w:t>
      </w:r>
      <w:r w:rsidRPr="00CC4E47">
        <w:t xml:space="preserve"> learning identified through our own operational review processes</w:t>
      </w:r>
      <w:r w:rsidR="00087DB7">
        <w:t>,</w:t>
      </w:r>
      <w:r w:rsidRPr="00CC4E47">
        <w:t xml:space="preserve"> as well as from reports describing learning from events of national significance. The </w:t>
      </w:r>
      <w:r w:rsidR="000B6F05">
        <w:t>Leadership and Development</w:t>
      </w:r>
      <w:r w:rsidRPr="00CC4E47">
        <w:t xml:space="preserve"> </w:t>
      </w:r>
      <w:r w:rsidR="000B6F05">
        <w:t>D</w:t>
      </w:r>
      <w:r w:rsidRPr="00CC4E47">
        <w:t xml:space="preserve">epartment supports continual learning and organisational development through a wide range of programmes tailored to role and responsibility, as well as managing the selection processes which identify managers for advancement. Ongoing development and maintenance of competence is a key </w:t>
      </w:r>
      <w:r w:rsidR="00882EA8" w:rsidRPr="00CC4E47">
        <w:t>focus,</w:t>
      </w:r>
      <w:r w:rsidRPr="00CC4E47">
        <w:t xml:space="preserve"> and this is facilitated through a robust maintenance of skills programme linked to an e-learning system which is continually updated.</w:t>
      </w:r>
    </w:p>
    <w:p w14:paraId="40E581B9" w14:textId="3671C5D0" w:rsidR="00BE6761" w:rsidRDefault="00DF0E87" w:rsidP="00E45160">
      <w:r w:rsidRPr="00CC4E47">
        <w:t>Trainers are selected and developed across an extremely diverse variety of specialisms</w:t>
      </w:r>
      <w:r w:rsidR="00087DB7">
        <w:t>,</w:t>
      </w:r>
      <w:r w:rsidRPr="00CC4E47">
        <w:t xml:space="preserve"> ranging from the intricacies of boat handling and rope rescue</w:t>
      </w:r>
      <w:r w:rsidR="00087DB7">
        <w:t>,</w:t>
      </w:r>
      <w:r w:rsidRPr="00CC4E47">
        <w:t xml:space="preserve"> through to the complexities of mounting a successful fire safety prosecution. Where necessary, support is commissioned from specialist providers.</w:t>
      </w:r>
    </w:p>
    <w:p w14:paraId="5F69881A" w14:textId="45BE9F05" w:rsidR="00BE6761" w:rsidRPr="005E34F4" w:rsidRDefault="00BE6761" w:rsidP="005E34F4">
      <w:r w:rsidRPr="00BE6761">
        <w:t xml:space="preserve">The </w:t>
      </w:r>
      <w:r w:rsidR="000B6F05">
        <w:t>Leadership and Development</w:t>
      </w:r>
      <w:r w:rsidRPr="00BE6761">
        <w:t xml:space="preserve"> Department work in conjunction with other </w:t>
      </w:r>
      <w:r w:rsidR="000B6F05">
        <w:t>d</w:t>
      </w:r>
      <w:r w:rsidRPr="00BE6761">
        <w:t xml:space="preserve">epartments within the Service, such as Human Resources and the Safety, </w:t>
      </w:r>
      <w:r w:rsidR="00882EA8" w:rsidRPr="00BE6761">
        <w:t>Health,</w:t>
      </w:r>
      <w:r w:rsidRPr="00BE6761">
        <w:t xml:space="preserve"> and Environment Department, to provide training and development for all members of the Service.</w:t>
      </w:r>
      <w:r w:rsidR="00087DB7">
        <w:t xml:space="preserve"> </w:t>
      </w:r>
      <w:r w:rsidRPr="00BE6761">
        <w:t>There is a particular focus on Leadership Development across the Service.</w:t>
      </w:r>
      <w:bookmarkEnd w:id="39"/>
    </w:p>
    <w:p w14:paraId="78B1A641" w14:textId="66B1B5A4" w:rsidR="005F30E7" w:rsidRPr="00CC4E47" w:rsidRDefault="005F30E7" w:rsidP="003F70E6">
      <w:pPr>
        <w:pStyle w:val="Heading1"/>
      </w:pPr>
      <w:bookmarkStart w:id="42" w:name="_Toc56678099"/>
      <w:bookmarkStart w:id="43" w:name="_Toc187398673"/>
      <w:bookmarkEnd w:id="41"/>
      <w:r w:rsidRPr="003F70E6">
        <w:t>Assurance</w:t>
      </w:r>
      <w:r w:rsidRPr="00CC4E47">
        <w:t xml:space="preserve"> Declaration</w:t>
      </w:r>
      <w:bookmarkEnd w:id="42"/>
      <w:bookmarkEnd w:id="43"/>
    </w:p>
    <w:p w14:paraId="5243F9FB" w14:textId="21C1076E" w:rsidR="00003415" w:rsidRDefault="005F30E7" w:rsidP="00E45160">
      <w:r w:rsidRPr="00CC4E47">
        <w:t xml:space="preserve">The Chair of Lancashire Combined Fire Authority and Chief Fire Officer of Lancashire Fire and Rescue Service are satisfied that the Authority’s financial, governance and operational assurance arrangements are adequate and operating effectively and meet the requirements detailed within the Fire and Rescue National Framework. </w:t>
      </w:r>
    </w:p>
    <w:p w14:paraId="10FD402D" w14:textId="77777777" w:rsidR="0074214C" w:rsidRPr="00CC4E47" w:rsidRDefault="0074214C" w:rsidP="00E45160"/>
    <w:p w14:paraId="7FC5BFCE" w14:textId="4E8B14B6" w:rsidR="00297694" w:rsidRPr="00AF006B" w:rsidRDefault="00801895" w:rsidP="00297694">
      <w:pPr>
        <w:pStyle w:val="CM12"/>
        <w:spacing w:line="480" w:lineRule="auto"/>
        <w:ind w:right="-57"/>
      </w:pPr>
      <w:r>
        <w:t>Jon Charters</w:t>
      </w:r>
      <w:r w:rsidR="00297694" w:rsidRPr="00AF006B">
        <w:t xml:space="preserve"> - Chief Fire Officer</w:t>
      </w:r>
      <w:r w:rsidR="00297694" w:rsidRPr="00AF006B">
        <w:tab/>
      </w:r>
      <w:r w:rsidR="00297694" w:rsidRPr="00AF006B">
        <w:tab/>
      </w:r>
      <w:r>
        <w:t>Nikki Hennessy</w:t>
      </w:r>
      <w:r w:rsidR="00297694" w:rsidRPr="00AF006B">
        <w:t xml:space="preserve"> – CFA Chair</w:t>
      </w:r>
      <w:r w:rsidR="00297694" w:rsidRPr="00AF006B">
        <w:tab/>
      </w:r>
    </w:p>
    <w:p w14:paraId="605C4EDA" w14:textId="361BCFD1" w:rsidR="00297694" w:rsidRPr="00AF006B" w:rsidRDefault="00297694" w:rsidP="00297694">
      <w:pPr>
        <w:pStyle w:val="Default"/>
        <w:ind w:right="-57"/>
      </w:pPr>
    </w:p>
    <w:p w14:paraId="5049E393" w14:textId="77777777" w:rsidR="00297694" w:rsidRPr="00AF006B" w:rsidRDefault="00297694" w:rsidP="00297694">
      <w:pPr>
        <w:pStyle w:val="Default"/>
        <w:ind w:right="-57"/>
        <w:rPr>
          <w:color w:val="auto"/>
        </w:rPr>
      </w:pPr>
    </w:p>
    <w:p w14:paraId="3DAC6B33" w14:textId="77777777" w:rsidR="00297694" w:rsidRPr="00AF006B" w:rsidRDefault="00297694" w:rsidP="00297694">
      <w:pPr>
        <w:pStyle w:val="Default"/>
        <w:ind w:right="-57"/>
        <w:rPr>
          <w:color w:val="auto"/>
        </w:rPr>
      </w:pPr>
    </w:p>
    <w:p w14:paraId="1A99537A" w14:textId="2F6C2E82" w:rsidR="00297694" w:rsidRPr="00AF006B" w:rsidRDefault="00297694" w:rsidP="00297694">
      <w:pPr>
        <w:pStyle w:val="Default"/>
        <w:ind w:right="-57"/>
      </w:pPr>
      <w:r w:rsidRPr="00AF006B">
        <w:rPr>
          <w:color w:val="auto"/>
        </w:rPr>
        <w:t xml:space="preserve">Date: </w:t>
      </w:r>
    </w:p>
    <w:p w14:paraId="7F0721B4" w14:textId="0052B3BB" w:rsidR="005F30E7" w:rsidRPr="00AF006B" w:rsidRDefault="005F30E7" w:rsidP="00297694">
      <w:pPr>
        <w:pStyle w:val="CM12"/>
        <w:spacing w:line="480" w:lineRule="auto"/>
        <w:ind w:right="-57"/>
      </w:pPr>
    </w:p>
    <w:sectPr w:rsidR="005F30E7" w:rsidRPr="00AF006B" w:rsidSect="00061F1D">
      <w:headerReference w:type="even" r:id="rId16"/>
      <w:headerReference w:type="default" r:id="rId17"/>
      <w:footerReference w:type="even" r:id="rId18"/>
      <w:footerReference w:type="default" r:id="rId19"/>
      <w:headerReference w:type="first" r:id="rId20"/>
      <w:footerReference w:type="first" r:id="rId21"/>
      <w:pgSz w:w="11907" w:h="16840" w:code="9"/>
      <w:pgMar w:top="1134" w:right="1559" w:bottom="652" w:left="1474" w:header="720" w:footer="374" w:gutter="0"/>
      <w:paperSrc w:other="26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50D0" w14:textId="77777777" w:rsidR="00061F1D" w:rsidRDefault="00061F1D" w:rsidP="00701EEC">
      <w:pPr>
        <w:spacing w:after="0" w:line="240" w:lineRule="auto"/>
      </w:pPr>
      <w:r>
        <w:separator/>
      </w:r>
    </w:p>
  </w:endnote>
  <w:endnote w:type="continuationSeparator" w:id="0">
    <w:p w14:paraId="5F30F8E8" w14:textId="77777777" w:rsidR="00061F1D" w:rsidRDefault="00061F1D" w:rsidP="0070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6891" w14:textId="77777777" w:rsidR="0045292E" w:rsidRDefault="00452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0934" w14:textId="25B2CE15" w:rsidR="00572C92" w:rsidRPr="00513224" w:rsidRDefault="00572C92" w:rsidP="00012103">
    <w:pPr>
      <w:pStyle w:val="Footer"/>
      <w:ind w:right="936"/>
      <w:jc w:val="right"/>
      <w:rPr>
        <w:rFonts w:cs="Arial"/>
      </w:rPr>
    </w:pPr>
    <w:r w:rsidRPr="00513224">
      <w:rPr>
        <w:rFonts w:cs="Arial"/>
      </w:rPr>
      <w:fldChar w:fldCharType="begin"/>
    </w:r>
    <w:r w:rsidRPr="00513224">
      <w:rPr>
        <w:rFonts w:cs="Arial"/>
      </w:rPr>
      <w:instrText xml:space="preserve"> PAGE   \* MERGEFORMAT </w:instrText>
    </w:r>
    <w:r w:rsidRPr="00513224">
      <w:rPr>
        <w:rFonts w:cs="Arial"/>
      </w:rPr>
      <w:fldChar w:fldCharType="separate"/>
    </w:r>
    <w:r w:rsidR="00B672B4" w:rsidRPr="00513224">
      <w:rPr>
        <w:rFonts w:cs="Arial"/>
        <w:noProof/>
      </w:rPr>
      <w:t>14</w:t>
    </w:r>
    <w:r w:rsidRPr="00513224">
      <w:rPr>
        <w:rFonts w:cs="Arial"/>
      </w:rPr>
      <w:fldChar w:fldCharType="end"/>
    </w:r>
  </w:p>
  <w:p w14:paraId="40C5F15F" w14:textId="77777777" w:rsidR="00572C92" w:rsidRDefault="00572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FFB19" w14:textId="77777777" w:rsidR="0045292E" w:rsidRDefault="00452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3D25" w14:textId="77777777" w:rsidR="00061F1D" w:rsidRDefault="00061F1D" w:rsidP="00701EEC">
      <w:pPr>
        <w:spacing w:after="0" w:line="240" w:lineRule="auto"/>
      </w:pPr>
      <w:r>
        <w:separator/>
      </w:r>
    </w:p>
  </w:footnote>
  <w:footnote w:type="continuationSeparator" w:id="0">
    <w:p w14:paraId="5F71BED1" w14:textId="77777777" w:rsidR="00061F1D" w:rsidRDefault="00061F1D" w:rsidP="0070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2720" w14:textId="77777777" w:rsidR="0045292E" w:rsidRDefault="00452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8E92" w14:textId="71B3104C" w:rsidR="008B1561" w:rsidRPr="008B1561" w:rsidRDefault="008B1561" w:rsidP="008B1561">
    <w:pPr>
      <w:pStyle w:val="Header"/>
      <w:jc w:val="right"/>
      <w:rPr>
        <w:b/>
        <w:b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F810" w14:textId="77777777" w:rsidR="0045292E" w:rsidRDefault="00452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8139FA"/>
    <w:multiLevelType w:val="hybridMultilevel"/>
    <w:tmpl w:val="EFEE61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900C5"/>
    <w:multiLevelType w:val="hybridMultilevel"/>
    <w:tmpl w:val="CAB0668E"/>
    <w:lvl w:ilvl="0" w:tplc="08090001">
      <w:start w:val="1"/>
      <w:numFmt w:val="bullet"/>
      <w:lvlText w:val=""/>
      <w:lvlJc w:val="left"/>
      <w:pPr>
        <w:ind w:left="815" w:hanging="360"/>
      </w:pPr>
      <w:rPr>
        <w:rFonts w:ascii="Symbol" w:hAnsi="Symbol" w:hint="default"/>
      </w:rPr>
    </w:lvl>
    <w:lvl w:ilvl="1" w:tplc="97DC44AE">
      <w:numFmt w:val="bullet"/>
      <w:lvlText w:val="•"/>
      <w:lvlJc w:val="left"/>
      <w:pPr>
        <w:ind w:left="1895" w:hanging="720"/>
      </w:pPr>
      <w:rPr>
        <w:rFonts w:ascii="Arial" w:eastAsiaTheme="minorEastAsia" w:hAnsi="Arial" w:cs="Arial"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2" w15:restartNumberingAfterBreak="0">
    <w:nsid w:val="092C1B8E"/>
    <w:multiLevelType w:val="hybridMultilevel"/>
    <w:tmpl w:val="8D1E49C2"/>
    <w:lvl w:ilvl="0" w:tplc="B7D02EDE">
      <w:numFmt w:val="bullet"/>
      <w:lvlText w:val=""/>
      <w:lvlJc w:val="left"/>
      <w:pPr>
        <w:ind w:left="492" w:hanging="360"/>
      </w:pPr>
      <w:rPr>
        <w:rFonts w:ascii="Arial" w:eastAsiaTheme="minorEastAsia" w:hAnsi="Aria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731ACF"/>
    <w:multiLevelType w:val="hybridMultilevel"/>
    <w:tmpl w:val="422A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A27CF"/>
    <w:multiLevelType w:val="hybridMultilevel"/>
    <w:tmpl w:val="E5E04DDE"/>
    <w:lvl w:ilvl="0" w:tplc="27544E7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D222D"/>
    <w:multiLevelType w:val="hybridMultilevel"/>
    <w:tmpl w:val="BA04AF26"/>
    <w:lvl w:ilvl="0" w:tplc="B7D02EDE">
      <w:numFmt w:val="bullet"/>
      <w:lvlText w:val=""/>
      <w:lvlJc w:val="left"/>
      <w:pPr>
        <w:ind w:left="492" w:hanging="360"/>
      </w:pPr>
      <w:rPr>
        <w:rFonts w:ascii="Arial" w:eastAsiaTheme="minorEastAsia" w:hAnsi="Aria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2DC37EC"/>
    <w:multiLevelType w:val="hybridMultilevel"/>
    <w:tmpl w:val="31BC8028"/>
    <w:lvl w:ilvl="0" w:tplc="48E870A8">
      <w:numFmt w:val="bullet"/>
      <w:lvlText w:val="•"/>
      <w:lvlJc w:val="left"/>
      <w:pPr>
        <w:ind w:left="1185" w:hanging="360"/>
      </w:pPr>
      <w:rPr>
        <w:rFonts w:ascii="Arial" w:eastAsiaTheme="minorEastAsia" w:hAnsi="Aria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7332E1B"/>
    <w:multiLevelType w:val="hybridMultilevel"/>
    <w:tmpl w:val="0B7E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54E07"/>
    <w:multiLevelType w:val="hybridMultilevel"/>
    <w:tmpl w:val="44B41202"/>
    <w:lvl w:ilvl="0" w:tplc="08090001">
      <w:start w:val="1"/>
      <w:numFmt w:val="bullet"/>
      <w:lvlText w:val=""/>
      <w:lvlJc w:val="left"/>
      <w:pPr>
        <w:ind w:left="720" w:hanging="360"/>
      </w:pPr>
      <w:rPr>
        <w:rFonts w:ascii="Symbol" w:hAnsi="Symbol" w:hint="default"/>
      </w:rPr>
    </w:lvl>
    <w:lvl w:ilvl="1" w:tplc="2172614A">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931D5"/>
    <w:multiLevelType w:val="multilevel"/>
    <w:tmpl w:val="1B1EC2BA"/>
    <w:lvl w:ilvl="0">
      <w:start w:val="1"/>
      <w:numFmt w:val="decimal"/>
      <w:lvlText w:val="%1."/>
      <w:lvlJc w:val="left"/>
      <w:pPr>
        <w:ind w:left="720" w:hanging="360"/>
      </w:pPr>
    </w:lvl>
    <w:lvl w:ilvl="1">
      <w:start w:val="5"/>
      <w:numFmt w:val="decimal"/>
      <w:isLgl/>
      <w:lvlText w:val="%1.%2"/>
      <w:lvlJc w:val="left"/>
      <w:pPr>
        <w:ind w:left="1211" w:hanging="36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088" w:hanging="1800"/>
      </w:pPr>
    </w:lvl>
  </w:abstractNum>
  <w:abstractNum w:abstractNumId="10" w15:restartNumberingAfterBreak="0">
    <w:nsid w:val="2412058C"/>
    <w:multiLevelType w:val="hybridMultilevel"/>
    <w:tmpl w:val="0186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B0A6C"/>
    <w:multiLevelType w:val="hybridMultilevel"/>
    <w:tmpl w:val="E6BAEB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8853532"/>
    <w:multiLevelType w:val="hybridMultilevel"/>
    <w:tmpl w:val="E34A5242"/>
    <w:lvl w:ilvl="0" w:tplc="48E870A8">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82527"/>
    <w:multiLevelType w:val="hybridMultilevel"/>
    <w:tmpl w:val="0BAE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6B5B37"/>
    <w:multiLevelType w:val="hybridMultilevel"/>
    <w:tmpl w:val="0CFA3E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1D559B4"/>
    <w:multiLevelType w:val="hybridMultilevel"/>
    <w:tmpl w:val="1E2002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42A4AF2"/>
    <w:multiLevelType w:val="hybridMultilevel"/>
    <w:tmpl w:val="BF3E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30600A"/>
    <w:multiLevelType w:val="hybridMultilevel"/>
    <w:tmpl w:val="095C66B2"/>
    <w:lvl w:ilvl="0" w:tplc="BA4ED85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42834"/>
    <w:multiLevelType w:val="hybridMultilevel"/>
    <w:tmpl w:val="09BE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B723F"/>
    <w:multiLevelType w:val="hybridMultilevel"/>
    <w:tmpl w:val="7B1A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10CC9"/>
    <w:multiLevelType w:val="hybridMultilevel"/>
    <w:tmpl w:val="55FE6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7D378C"/>
    <w:multiLevelType w:val="multilevel"/>
    <w:tmpl w:val="4DD0A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2166FC"/>
    <w:multiLevelType w:val="hybridMultilevel"/>
    <w:tmpl w:val="3C60A358"/>
    <w:lvl w:ilvl="0" w:tplc="48E870A8">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9C13A6"/>
    <w:multiLevelType w:val="hybridMultilevel"/>
    <w:tmpl w:val="6BB67E72"/>
    <w:lvl w:ilvl="0" w:tplc="5D0C22B8">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43278"/>
    <w:multiLevelType w:val="hybridMultilevel"/>
    <w:tmpl w:val="AB0C8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072338A"/>
    <w:multiLevelType w:val="hybridMultilevel"/>
    <w:tmpl w:val="CC4AAF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27B6519"/>
    <w:multiLevelType w:val="hybridMultilevel"/>
    <w:tmpl w:val="54A0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B10A11"/>
    <w:multiLevelType w:val="hybridMultilevel"/>
    <w:tmpl w:val="B56EC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C35F46"/>
    <w:multiLevelType w:val="hybridMultilevel"/>
    <w:tmpl w:val="6F4898F2"/>
    <w:lvl w:ilvl="0" w:tplc="B7D02EDE">
      <w:numFmt w:val="bullet"/>
      <w:lvlText w:val=""/>
      <w:lvlJc w:val="left"/>
      <w:pPr>
        <w:ind w:left="426" w:hanging="360"/>
      </w:pPr>
      <w:rPr>
        <w:rFonts w:ascii="Arial" w:eastAsiaTheme="minorEastAsia" w:hAnsi="Arial" w:hint="default"/>
      </w:rPr>
    </w:lvl>
    <w:lvl w:ilvl="1" w:tplc="08090003" w:tentative="1">
      <w:start w:val="1"/>
      <w:numFmt w:val="bullet"/>
      <w:lvlText w:val="o"/>
      <w:lvlJc w:val="left"/>
      <w:pPr>
        <w:ind w:left="1146" w:hanging="360"/>
      </w:pPr>
      <w:rPr>
        <w:rFonts w:ascii="Courier New" w:hAnsi="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9" w15:restartNumberingAfterBreak="0">
    <w:nsid w:val="6BF42C27"/>
    <w:multiLevelType w:val="hybridMultilevel"/>
    <w:tmpl w:val="3F5C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16D5D"/>
    <w:multiLevelType w:val="hybridMultilevel"/>
    <w:tmpl w:val="CB30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804433">
    <w:abstractNumId w:val="0"/>
  </w:num>
  <w:num w:numId="2" w16cid:durableId="256600366">
    <w:abstractNumId w:val="15"/>
  </w:num>
  <w:num w:numId="3" w16cid:durableId="917402534">
    <w:abstractNumId w:val="11"/>
  </w:num>
  <w:num w:numId="4" w16cid:durableId="429662212">
    <w:abstractNumId w:val="28"/>
  </w:num>
  <w:num w:numId="5" w16cid:durableId="2115786856">
    <w:abstractNumId w:val="2"/>
  </w:num>
  <w:num w:numId="6" w16cid:durableId="1785080348">
    <w:abstractNumId w:val="5"/>
  </w:num>
  <w:num w:numId="7" w16cid:durableId="1604533349">
    <w:abstractNumId w:val="14"/>
  </w:num>
  <w:num w:numId="8" w16cid:durableId="2052337758">
    <w:abstractNumId w:val="25"/>
  </w:num>
  <w:num w:numId="9" w16cid:durableId="507867645">
    <w:abstractNumId w:val="1"/>
  </w:num>
  <w:num w:numId="10" w16cid:durableId="1380476549">
    <w:abstractNumId w:val="18"/>
  </w:num>
  <w:num w:numId="11" w16cid:durableId="2090735592">
    <w:abstractNumId w:val="25"/>
  </w:num>
  <w:num w:numId="12" w16cid:durableId="596669693">
    <w:abstractNumId w:val="0"/>
    <w:lvlOverride w:ilvl="0">
      <w:startOverride w:val="1"/>
    </w:lvlOverride>
    <w:lvlOverride w:ilvl="1"/>
    <w:lvlOverride w:ilvl="2"/>
    <w:lvlOverride w:ilvl="3"/>
    <w:lvlOverride w:ilvl="4"/>
    <w:lvlOverride w:ilvl="5"/>
    <w:lvlOverride w:ilvl="6"/>
    <w:lvlOverride w:ilvl="7"/>
    <w:lvlOverride w:ilvl="8"/>
  </w:num>
  <w:num w:numId="13" w16cid:durableId="1109396781">
    <w:abstractNumId w:val="30"/>
  </w:num>
  <w:num w:numId="14" w16cid:durableId="405539973">
    <w:abstractNumId w:val="26"/>
  </w:num>
  <w:num w:numId="15" w16cid:durableId="146213675">
    <w:abstractNumId w:val="24"/>
  </w:num>
  <w:num w:numId="16" w16cid:durableId="289439734">
    <w:abstractNumId w:val="3"/>
  </w:num>
  <w:num w:numId="17" w16cid:durableId="254633868">
    <w:abstractNumId w:val="10"/>
  </w:num>
  <w:num w:numId="18" w16cid:durableId="1694644354">
    <w:abstractNumId w:val="30"/>
  </w:num>
  <w:num w:numId="19" w16cid:durableId="1176577527">
    <w:abstractNumId w:val="21"/>
  </w:num>
  <w:num w:numId="20" w16cid:durableId="1476948130">
    <w:abstractNumId w:val="10"/>
  </w:num>
  <w:num w:numId="21" w16cid:durableId="10112514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551046">
    <w:abstractNumId w:val="20"/>
  </w:num>
  <w:num w:numId="23" w16cid:durableId="809130364">
    <w:abstractNumId w:val="22"/>
  </w:num>
  <w:num w:numId="24" w16cid:durableId="1292785944">
    <w:abstractNumId w:val="12"/>
  </w:num>
  <w:num w:numId="25" w16cid:durableId="169418894">
    <w:abstractNumId w:val="6"/>
  </w:num>
  <w:num w:numId="26" w16cid:durableId="1239709500">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1521645">
    <w:abstractNumId w:val="27"/>
  </w:num>
  <w:num w:numId="28" w16cid:durableId="573779530">
    <w:abstractNumId w:val="7"/>
  </w:num>
  <w:num w:numId="29" w16cid:durableId="410395816">
    <w:abstractNumId w:val="29"/>
  </w:num>
  <w:num w:numId="30" w16cid:durableId="1015502941">
    <w:abstractNumId w:val="13"/>
  </w:num>
  <w:num w:numId="31" w16cid:durableId="916594279">
    <w:abstractNumId w:val="8"/>
  </w:num>
  <w:num w:numId="32" w16cid:durableId="2075934542">
    <w:abstractNumId w:val="19"/>
  </w:num>
  <w:num w:numId="33" w16cid:durableId="1154443686">
    <w:abstractNumId w:val="17"/>
  </w:num>
  <w:num w:numId="34" w16cid:durableId="288053865">
    <w:abstractNumId w:val="16"/>
  </w:num>
  <w:num w:numId="35" w16cid:durableId="2056464327">
    <w:abstractNumId w:val="23"/>
  </w:num>
  <w:num w:numId="36" w16cid:durableId="1759673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54"/>
    <w:rsid w:val="00000D27"/>
    <w:rsid w:val="00003415"/>
    <w:rsid w:val="00012103"/>
    <w:rsid w:val="000209DC"/>
    <w:rsid w:val="00026AE3"/>
    <w:rsid w:val="00046AB4"/>
    <w:rsid w:val="00061F1D"/>
    <w:rsid w:val="00072FF8"/>
    <w:rsid w:val="0007389E"/>
    <w:rsid w:val="00083BEC"/>
    <w:rsid w:val="000841FD"/>
    <w:rsid w:val="00087DB7"/>
    <w:rsid w:val="00092AC8"/>
    <w:rsid w:val="000A3111"/>
    <w:rsid w:val="000B5B32"/>
    <w:rsid w:val="000B6F05"/>
    <w:rsid w:val="000C134A"/>
    <w:rsid w:val="000C4EB5"/>
    <w:rsid w:val="000C5CCE"/>
    <w:rsid w:val="000C5E4C"/>
    <w:rsid w:val="000D2B7C"/>
    <w:rsid w:val="000D57B4"/>
    <w:rsid w:val="000D6AA7"/>
    <w:rsid w:val="000E7AF2"/>
    <w:rsid w:val="000E7DBF"/>
    <w:rsid w:val="001004DF"/>
    <w:rsid w:val="00102E9B"/>
    <w:rsid w:val="001052AD"/>
    <w:rsid w:val="001067F9"/>
    <w:rsid w:val="00107E34"/>
    <w:rsid w:val="00114A34"/>
    <w:rsid w:val="00116021"/>
    <w:rsid w:val="00127DD4"/>
    <w:rsid w:val="001320D6"/>
    <w:rsid w:val="001324E1"/>
    <w:rsid w:val="00132AB6"/>
    <w:rsid w:val="00155982"/>
    <w:rsid w:val="001563B5"/>
    <w:rsid w:val="00156569"/>
    <w:rsid w:val="001573D3"/>
    <w:rsid w:val="00160FC6"/>
    <w:rsid w:val="00171F3E"/>
    <w:rsid w:val="00176C74"/>
    <w:rsid w:val="00182820"/>
    <w:rsid w:val="00184909"/>
    <w:rsid w:val="00195C09"/>
    <w:rsid w:val="001A13B5"/>
    <w:rsid w:val="001A60D7"/>
    <w:rsid w:val="001B1258"/>
    <w:rsid w:val="001B4FF5"/>
    <w:rsid w:val="001C0E74"/>
    <w:rsid w:val="001C2449"/>
    <w:rsid w:val="001D04A6"/>
    <w:rsid w:val="001D40A5"/>
    <w:rsid w:val="001F06D2"/>
    <w:rsid w:val="001F3B51"/>
    <w:rsid w:val="0020241A"/>
    <w:rsid w:val="00205811"/>
    <w:rsid w:val="0021347E"/>
    <w:rsid w:val="00214A70"/>
    <w:rsid w:val="00220580"/>
    <w:rsid w:val="00222A56"/>
    <w:rsid w:val="00224B60"/>
    <w:rsid w:val="00234125"/>
    <w:rsid w:val="0023449D"/>
    <w:rsid w:val="00236ABE"/>
    <w:rsid w:val="00240421"/>
    <w:rsid w:val="00246603"/>
    <w:rsid w:val="002470A4"/>
    <w:rsid w:val="00261594"/>
    <w:rsid w:val="00272628"/>
    <w:rsid w:val="00272B80"/>
    <w:rsid w:val="00281950"/>
    <w:rsid w:val="00287FD5"/>
    <w:rsid w:val="00292445"/>
    <w:rsid w:val="002944AF"/>
    <w:rsid w:val="00297694"/>
    <w:rsid w:val="002A5FF1"/>
    <w:rsid w:val="002B3C8C"/>
    <w:rsid w:val="002C00CF"/>
    <w:rsid w:val="002C36A7"/>
    <w:rsid w:val="002C445B"/>
    <w:rsid w:val="002D0848"/>
    <w:rsid w:val="002D2687"/>
    <w:rsid w:val="002D2F5E"/>
    <w:rsid w:val="002D3095"/>
    <w:rsid w:val="002F050E"/>
    <w:rsid w:val="002F115A"/>
    <w:rsid w:val="002F2F95"/>
    <w:rsid w:val="002F64E4"/>
    <w:rsid w:val="003035B6"/>
    <w:rsid w:val="00315C13"/>
    <w:rsid w:val="003160FE"/>
    <w:rsid w:val="003230B5"/>
    <w:rsid w:val="00324B2B"/>
    <w:rsid w:val="0032548E"/>
    <w:rsid w:val="00326484"/>
    <w:rsid w:val="0033300E"/>
    <w:rsid w:val="003344BB"/>
    <w:rsid w:val="003368D6"/>
    <w:rsid w:val="00341095"/>
    <w:rsid w:val="00342989"/>
    <w:rsid w:val="003513B1"/>
    <w:rsid w:val="0038218F"/>
    <w:rsid w:val="00394CCE"/>
    <w:rsid w:val="003A2E41"/>
    <w:rsid w:val="003A697F"/>
    <w:rsid w:val="003B00F0"/>
    <w:rsid w:val="003B1F2A"/>
    <w:rsid w:val="003B258A"/>
    <w:rsid w:val="003B73A2"/>
    <w:rsid w:val="003D033F"/>
    <w:rsid w:val="003D1408"/>
    <w:rsid w:val="003D19EE"/>
    <w:rsid w:val="003E6FAA"/>
    <w:rsid w:val="003F0CB5"/>
    <w:rsid w:val="003F0D31"/>
    <w:rsid w:val="003F15FB"/>
    <w:rsid w:val="003F70E6"/>
    <w:rsid w:val="0040176E"/>
    <w:rsid w:val="00401E2C"/>
    <w:rsid w:val="00403536"/>
    <w:rsid w:val="00412B21"/>
    <w:rsid w:val="00414833"/>
    <w:rsid w:val="004240B1"/>
    <w:rsid w:val="0042426C"/>
    <w:rsid w:val="00424318"/>
    <w:rsid w:val="004262F8"/>
    <w:rsid w:val="0043225C"/>
    <w:rsid w:val="00433FFB"/>
    <w:rsid w:val="004436E6"/>
    <w:rsid w:val="00443F18"/>
    <w:rsid w:val="0045292E"/>
    <w:rsid w:val="00452D9A"/>
    <w:rsid w:val="0045688C"/>
    <w:rsid w:val="0046045D"/>
    <w:rsid w:val="004679CE"/>
    <w:rsid w:val="004709BC"/>
    <w:rsid w:val="00472FCA"/>
    <w:rsid w:val="00473DC0"/>
    <w:rsid w:val="00474F4E"/>
    <w:rsid w:val="0048045D"/>
    <w:rsid w:val="004808CA"/>
    <w:rsid w:val="00482CBB"/>
    <w:rsid w:val="0048655C"/>
    <w:rsid w:val="00487201"/>
    <w:rsid w:val="00490B00"/>
    <w:rsid w:val="00491B1D"/>
    <w:rsid w:val="004922D9"/>
    <w:rsid w:val="004A1F4E"/>
    <w:rsid w:val="004A34B0"/>
    <w:rsid w:val="004B3AE0"/>
    <w:rsid w:val="004B5969"/>
    <w:rsid w:val="004C2AB6"/>
    <w:rsid w:val="004C394B"/>
    <w:rsid w:val="004C5DB1"/>
    <w:rsid w:val="004D179A"/>
    <w:rsid w:val="004D26F7"/>
    <w:rsid w:val="004D66E2"/>
    <w:rsid w:val="004D7966"/>
    <w:rsid w:val="004E1E45"/>
    <w:rsid w:val="004E6D1E"/>
    <w:rsid w:val="004F5C2A"/>
    <w:rsid w:val="00500575"/>
    <w:rsid w:val="00500BA1"/>
    <w:rsid w:val="00505798"/>
    <w:rsid w:val="00506A29"/>
    <w:rsid w:val="00507267"/>
    <w:rsid w:val="005111DD"/>
    <w:rsid w:val="00513224"/>
    <w:rsid w:val="00516E04"/>
    <w:rsid w:val="005239D0"/>
    <w:rsid w:val="005338DA"/>
    <w:rsid w:val="00535B7D"/>
    <w:rsid w:val="00541036"/>
    <w:rsid w:val="005462ED"/>
    <w:rsid w:val="005466D6"/>
    <w:rsid w:val="0055067E"/>
    <w:rsid w:val="00552D4D"/>
    <w:rsid w:val="00554DB1"/>
    <w:rsid w:val="00555803"/>
    <w:rsid w:val="005623A6"/>
    <w:rsid w:val="00563914"/>
    <w:rsid w:val="0057185A"/>
    <w:rsid w:val="00572C92"/>
    <w:rsid w:val="0057538E"/>
    <w:rsid w:val="005756EB"/>
    <w:rsid w:val="005802DB"/>
    <w:rsid w:val="00591231"/>
    <w:rsid w:val="005934F7"/>
    <w:rsid w:val="00595A5F"/>
    <w:rsid w:val="005A31DF"/>
    <w:rsid w:val="005A4C18"/>
    <w:rsid w:val="005A7FDA"/>
    <w:rsid w:val="005B01B6"/>
    <w:rsid w:val="005B036C"/>
    <w:rsid w:val="005B52D2"/>
    <w:rsid w:val="005C0C81"/>
    <w:rsid w:val="005D3102"/>
    <w:rsid w:val="005D7F2D"/>
    <w:rsid w:val="005E34F4"/>
    <w:rsid w:val="005E4790"/>
    <w:rsid w:val="005F30E7"/>
    <w:rsid w:val="005F5ED1"/>
    <w:rsid w:val="005F5FB6"/>
    <w:rsid w:val="00600B6A"/>
    <w:rsid w:val="00604016"/>
    <w:rsid w:val="00605088"/>
    <w:rsid w:val="00611C5B"/>
    <w:rsid w:val="006163F8"/>
    <w:rsid w:val="0061723D"/>
    <w:rsid w:val="0062346A"/>
    <w:rsid w:val="00630598"/>
    <w:rsid w:val="00636688"/>
    <w:rsid w:val="00636946"/>
    <w:rsid w:val="00643C15"/>
    <w:rsid w:val="006450EC"/>
    <w:rsid w:val="00654456"/>
    <w:rsid w:val="00657DB3"/>
    <w:rsid w:val="0066210F"/>
    <w:rsid w:val="00662F6B"/>
    <w:rsid w:val="00667FC5"/>
    <w:rsid w:val="00674E66"/>
    <w:rsid w:val="00675723"/>
    <w:rsid w:val="00683483"/>
    <w:rsid w:val="0068379F"/>
    <w:rsid w:val="006837D9"/>
    <w:rsid w:val="00683BF9"/>
    <w:rsid w:val="00684247"/>
    <w:rsid w:val="006956AB"/>
    <w:rsid w:val="006A28E5"/>
    <w:rsid w:val="006A45EA"/>
    <w:rsid w:val="006B2260"/>
    <w:rsid w:val="006B4181"/>
    <w:rsid w:val="006B51B8"/>
    <w:rsid w:val="006C151C"/>
    <w:rsid w:val="006C159C"/>
    <w:rsid w:val="006C7961"/>
    <w:rsid w:val="006D0578"/>
    <w:rsid w:val="006D553E"/>
    <w:rsid w:val="006D5762"/>
    <w:rsid w:val="006D5943"/>
    <w:rsid w:val="006E77AE"/>
    <w:rsid w:val="006F0316"/>
    <w:rsid w:val="00701EEC"/>
    <w:rsid w:val="00715094"/>
    <w:rsid w:val="00720D07"/>
    <w:rsid w:val="00721D02"/>
    <w:rsid w:val="00725116"/>
    <w:rsid w:val="00725FE4"/>
    <w:rsid w:val="0074214C"/>
    <w:rsid w:val="00751870"/>
    <w:rsid w:val="007606B9"/>
    <w:rsid w:val="0076187A"/>
    <w:rsid w:val="007637DF"/>
    <w:rsid w:val="00774362"/>
    <w:rsid w:val="00785FF9"/>
    <w:rsid w:val="007B280D"/>
    <w:rsid w:val="007C422C"/>
    <w:rsid w:val="007C6E07"/>
    <w:rsid w:val="007D7627"/>
    <w:rsid w:val="007D7D46"/>
    <w:rsid w:val="007E7638"/>
    <w:rsid w:val="007F1FB9"/>
    <w:rsid w:val="007F2EE6"/>
    <w:rsid w:val="007F482E"/>
    <w:rsid w:val="00801895"/>
    <w:rsid w:val="00806B0A"/>
    <w:rsid w:val="00807632"/>
    <w:rsid w:val="00820D47"/>
    <w:rsid w:val="008227C9"/>
    <w:rsid w:val="00823159"/>
    <w:rsid w:val="008341F2"/>
    <w:rsid w:val="008371AB"/>
    <w:rsid w:val="008472B8"/>
    <w:rsid w:val="008507B8"/>
    <w:rsid w:val="00854E99"/>
    <w:rsid w:val="00871BFF"/>
    <w:rsid w:val="00872E12"/>
    <w:rsid w:val="008814CC"/>
    <w:rsid w:val="00881FFD"/>
    <w:rsid w:val="008828F5"/>
    <w:rsid w:val="00882EA8"/>
    <w:rsid w:val="008838E4"/>
    <w:rsid w:val="00890B57"/>
    <w:rsid w:val="00894C1F"/>
    <w:rsid w:val="00897ECD"/>
    <w:rsid w:val="008A10FD"/>
    <w:rsid w:val="008A3D54"/>
    <w:rsid w:val="008B1561"/>
    <w:rsid w:val="008C5335"/>
    <w:rsid w:val="008C72AD"/>
    <w:rsid w:val="008D32BD"/>
    <w:rsid w:val="008D3327"/>
    <w:rsid w:val="008D4877"/>
    <w:rsid w:val="008E36FE"/>
    <w:rsid w:val="008E3975"/>
    <w:rsid w:val="008E6441"/>
    <w:rsid w:val="008F2C33"/>
    <w:rsid w:val="008F30DF"/>
    <w:rsid w:val="008F59EA"/>
    <w:rsid w:val="0090028D"/>
    <w:rsid w:val="00903161"/>
    <w:rsid w:val="0090317D"/>
    <w:rsid w:val="00906860"/>
    <w:rsid w:val="00910788"/>
    <w:rsid w:val="00911E51"/>
    <w:rsid w:val="00921A43"/>
    <w:rsid w:val="00922285"/>
    <w:rsid w:val="00923BED"/>
    <w:rsid w:val="00925D2A"/>
    <w:rsid w:val="00936C6D"/>
    <w:rsid w:val="0094261C"/>
    <w:rsid w:val="00943CA1"/>
    <w:rsid w:val="00944623"/>
    <w:rsid w:val="00944CB0"/>
    <w:rsid w:val="00957615"/>
    <w:rsid w:val="0097104F"/>
    <w:rsid w:val="009761C4"/>
    <w:rsid w:val="00977772"/>
    <w:rsid w:val="009824F2"/>
    <w:rsid w:val="00983386"/>
    <w:rsid w:val="009858B0"/>
    <w:rsid w:val="00987735"/>
    <w:rsid w:val="009902BC"/>
    <w:rsid w:val="0099372B"/>
    <w:rsid w:val="0099469A"/>
    <w:rsid w:val="009952CB"/>
    <w:rsid w:val="00996339"/>
    <w:rsid w:val="009A01E9"/>
    <w:rsid w:val="009A0AFB"/>
    <w:rsid w:val="009A1287"/>
    <w:rsid w:val="009A502C"/>
    <w:rsid w:val="009B15FF"/>
    <w:rsid w:val="009B18B8"/>
    <w:rsid w:val="009D27C3"/>
    <w:rsid w:val="009F0E15"/>
    <w:rsid w:val="009F1DCE"/>
    <w:rsid w:val="009F32A6"/>
    <w:rsid w:val="00A04C34"/>
    <w:rsid w:val="00A13F1F"/>
    <w:rsid w:val="00A20854"/>
    <w:rsid w:val="00A22C48"/>
    <w:rsid w:val="00A30AAC"/>
    <w:rsid w:val="00A402B1"/>
    <w:rsid w:val="00A415ED"/>
    <w:rsid w:val="00A41AC5"/>
    <w:rsid w:val="00A41D38"/>
    <w:rsid w:val="00A47E8A"/>
    <w:rsid w:val="00A70C9F"/>
    <w:rsid w:val="00A818A7"/>
    <w:rsid w:val="00A93FD7"/>
    <w:rsid w:val="00AA412D"/>
    <w:rsid w:val="00AB28DE"/>
    <w:rsid w:val="00AB2FF3"/>
    <w:rsid w:val="00AB398B"/>
    <w:rsid w:val="00AB6EE0"/>
    <w:rsid w:val="00AB791B"/>
    <w:rsid w:val="00AC5FE5"/>
    <w:rsid w:val="00AC635F"/>
    <w:rsid w:val="00AE1B33"/>
    <w:rsid w:val="00AE223E"/>
    <w:rsid w:val="00AE48DD"/>
    <w:rsid w:val="00AE5BF1"/>
    <w:rsid w:val="00AF006B"/>
    <w:rsid w:val="00AF0AD5"/>
    <w:rsid w:val="00AF3066"/>
    <w:rsid w:val="00AF5F43"/>
    <w:rsid w:val="00B00ACF"/>
    <w:rsid w:val="00B01F1D"/>
    <w:rsid w:val="00B026DA"/>
    <w:rsid w:val="00B279FA"/>
    <w:rsid w:val="00B303D9"/>
    <w:rsid w:val="00B479A0"/>
    <w:rsid w:val="00B61B69"/>
    <w:rsid w:val="00B672B4"/>
    <w:rsid w:val="00B71EC5"/>
    <w:rsid w:val="00B7558D"/>
    <w:rsid w:val="00B759AD"/>
    <w:rsid w:val="00B776F2"/>
    <w:rsid w:val="00B85BA6"/>
    <w:rsid w:val="00B94BD3"/>
    <w:rsid w:val="00B95CE7"/>
    <w:rsid w:val="00BA1035"/>
    <w:rsid w:val="00BB2498"/>
    <w:rsid w:val="00BB71B9"/>
    <w:rsid w:val="00BC76B5"/>
    <w:rsid w:val="00BD206C"/>
    <w:rsid w:val="00BD38AF"/>
    <w:rsid w:val="00BE3CC1"/>
    <w:rsid w:val="00BE6761"/>
    <w:rsid w:val="00BF01C1"/>
    <w:rsid w:val="00C004FF"/>
    <w:rsid w:val="00C0364F"/>
    <w:rsid w:val="00C06AAD"/>
    <w:rsid w:val="00C14CCA"/>
    <w:rsid w:val="00C1559E"/>
    <w:rsid w:val="00C41061"/>
    <w:rsid w:val="00C43F28"/>
    <w:rsid w:val="00C50B97"/>
    <w:rsid w:val="00C56EFF"/>
    <w:rsid w:val="00C64AE6"/>
    <w:rsid w:val="00C64B09"/>
    <w:rsid w:val="00C9050C"/>
    <w:rsid w:val="00C93816"/>
    <w:rsid w:val="00C9766F"/>
    <w:rsid w:val="00CA15A4"/>
    <w:rsid w:val="00CA557F"/>
    <w:rsid w:val="00CA5E80"/>
    <w:rsid w:val="00CB0D45"/>
    <w:rsid w:val="00CB2D6D"/>
    <w:rsid w:val="00CB52C9"/>
    <w:rsid w:val="00CB52D6"/>
    <w:rsid w:val="00CC1A68"/>
    <w:rsid w:val="00CC3B17"/>
    <w:rsid w:val="00CC4E47"/>
    <w:rsid w:val="00CC6874"/>
    <w:rsid w:val="00CD379E"/>
    <w:rsid w:val="00CD3EE4"/>
    <w:rsid w:val="00CD460D"/>
    <w:rsid w:val="00CD56FE"/>
    <w:rsid w:val="00CD6D05"/>
    <w:rsid w:val="00CE1899"/>
    <w:rsid w:val="00CF6C84"/>
    <w:rsid w:val="00D01B18"/>
    <w:rsid w:val="00D02094"/>
    <w:rsid w:val="00D03033"/>
    <w:rsid w:val="00D0453E"/>
    <w:rsid w:val="00D10674"/>
    <w:rsid w:val="00D252DC"/>
    <w:rsid w:val="00D37FF5"/>
    <w:rsid w:val="00D40E2B"/>
    <w:rsid w:val="00D459BF"/>
    <w:rsid w:val="00D56269"/>
    <w:rsid w:val="00D731C8"/>
    <w:rsid w:val="00D73643"/>
    <w:rsid w:val="00D75639"/>
    <w:rsid w:val="00D8515E"/>
    <w:rsid w:val="00D85515"/>
    <w:rsid w:val="00D92C5E"/>
    <w:rsid w:val="00D94E0F"/>
    <w:rsid w:val="00D96B80"/>
    <w:rsid w:val="00DA3912"/>
    <w:rsid w:val="00DA60B9"/>
    <w:rsid w:val="00DB0E9E"/>
    <w:rsid w:val="00DD432C"/>
    <w:rsid w:val="00DE2446"/>
    <w:rsid w:val="00DE4CD6"/>
    <w:rsid w:val="00DE64A5"/>
    <w:rsid w:val="00DF0E87"/>
    <w:rsid w:val="00DF4E3D"/>
    <w:rsid w:val="00E06016"/>
    <w:rsid w:val="00E3127A"/>
    <w:rsid w:val="00E35DEF"/>
    <w:rsid w:val="00E416A7"/>
    <w:rsid w:val="00E45160"/>
    <w:rsid w:val="00E456E2"/>
    <w:rsid w:val="00E46DCA"/>
    <w:rsid w:val="00E670CE"/>
    <w:rsid w:val="00E849C9"/>
    <w:rsid w:val="00E85165"/>
    <w:rsid w:val="00E86C48"/>
    <w:rsid w:val="00E91AA5"/>
    <w:rsid w:val="00E91F6E"/>
    <w:rsid w:val="00E977B8"/>
    <w:rsid w:val="00EA081D"/>
    <w:rsid w:val="00EA161E"/>
    <w:rsid w:val="00EA2976"/>
    <w:rsid w:val="00EB3A12"/>
    <w:rsid w:val="00EC70FB"/>
    <w:rsid w:val="00EE3702"/>
    <w:rsid w:val="00EE3AD6"/>
    <w:rsid w:val="00EE42CC"/>
    <w:rsid w:val="00EE4C6F"/>
    <w:rsid w:val="00EF318D"/>
    <w:rsid w:val="00F0173D"/>
    <w:rsid w:val="00F1260C"/>
    <w:rsid w:val="00F16DF1"/>
    <w:rsid w:val="00F22589"/>
    <w:rsid w:val="00F2418E"/>
    <w:rsid w:val="00F31A69"/>
    <w:rsid w:val="00F330C8"/>
    <w:rsid w:val="00F478AC"/>
    <w:rsid w:val="00F57065"/>
    <w:rsid w:val="00F57DE8"/>
    <w:rsid w:val="00F67551"/>
    <w:rsid w:val="00F77750"/>
    <w:rsid w:val="00F809FF"/>
    <w:rsid w:val="00F82BDF"/>
    <w:rsid w:val="00FA2CC5"/>
    <w:rsid w:val="00FB11F1"/>
    <w:rsid w:val="00FC10A6"/>
    <w:rsid w:val="00FC5951"/>
    <w:rsid w:val="00FC5A97"/>
    <w:rsid w:val="00FD1207"/>
    <w:rsid w:val="00FD15F9"/>
    <w:rsid w:val="00FE76D5"/>
    <w:rsid w:val="00FF0FBB"/>
    <w:rsid w:val="00FF252B"/>
    <w:rsid w:val="00FF51C5"/>
    <w:rsid w:val="00FF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782B6"/>
  <w14:defaultImageDpi w14:val="0"/>
  <w15:docId w15:val="{55EA451D-B757-4528-8521-8CABBF52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41"/>
    <w:pPr>
      <w:spacing w:before="200" w:line="360" w:lineRule="auto"/>
    </w:pPr>
    <w:rPr>
      <w:rFonts w:ascii="Arial" w:hAnsi="Arial"/>
      <w:sz w:val="24"/>
    </w:rPr>
  </w:style>
  <w:style w:type="paragraph" w:styleId="Heading1">
    <w:name w:val="heading 1"/>
    <w:basedOn w:val="Normal"/>
    <w:next w:val="Normal"/>
    <w:link w:val="Heading1Char"/>
    <w:uiPriority w:val="9"/>
    <w:qFormat/>
    <w:rsid w:val="00CC4E47"/>
    <w:pPr>
      <w:keepNext/>
      <w:spacing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654456"/>
    <w:pPr>
      <w:keepNext/>
      <w:spacing w:after="6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3F70E6"/>
    <w:pPr>
      <w:keepNext/>
      <w:spacing w:after="60"/>
      <w:outlineLvl w:val="2"/>
    </w:pPr>
    <w:rPr>
      <w:rFonts w:eastAsiaTheme="majorEastAs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4E47"/>
    <w:rPr>
      <w:rFonts w:ascii="Arial" w:eastAsiaTheme="majorEastAsia" w:hAnsi="Arial"/>
      <w:b/>
      <w:bCs/>
      <w:kern w:val="32"/>
      <w:sz w:val="32"/>
      <w:szCs w:val="32"/>
    </w:rPr>
  </w:style>
  <w:style w:type="character" w:customStyle="1" w:styleId="Heading2Char">
    <w:name w:val="Heading 2 Char"/>
    <w:basedOn w:val="DefaultParagraphFont"/>
    <w:link w:val="Heading2"/>
    <w:uiPriority w:val="9"/>
    <w:locked/>
    <w:rsid w:val="00654456"/>
    <w:rPr>
      <w:rFonts w:ascii="Arial" w:eastAsiaTheme="majorEastAsia" w:hAnsi="Arial"/>
      <w:b/>
      <w:bCs/>
      <w:iCs/>
      <w:sz w:val="28"/>
      <w:szCs w:val="28"/>
    </w:rPr>
  </w:style>
  <w:style w:type="character" w:customStyle="1" w:styleId="Heading3Char">
    <w:name w:val="Heading 3 Char"/>
    <w:basedOn w:val="DefaultParagraphFont"/>
    <w:link w:val="Heading3"/>
    <w:uiPriority w:val="9"/>
    <w:locked/>
    <w:rsid w:val="003F70E6"/>
    <w:rPr>
      <w:rFonts w:ascii="Arial" w:eastAsiaTheme="majorEastAsia" w:hAnsi="Arial"/>
      <w:b/>
      <w:bCs/>
      <w:sz w:val="26"/>
      <w:szCs w:val="26"/>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2">
    <w:name w:val="CM2"/>
    <w:basedOn w:val="Default"/>
    <w:next w:val="Default"/>
    <w:uiPriority w:val="99"/>
    <w:pPr>
      <w:spacing w:line="493"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3">
    <w:name w:val="CM3"/>
    <w:basedOn w:val="Default"/>
    <w:next w:val="Default"/>
    <w:uiPriority w:val="99"/>
    <w:pPr>
      <w:spacing w:line="380" w:lineRule="atLeast"/>
    </w:pPr>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5">
    <w:name w:val="CM5"/>
    <w:basedOn w:val="Default"/>
    <w:next w:val="Default"/>
    <w:uiPriority w:val="99"/>
    <w:pPr>
      <w:spacing w:line="383" w:lineRule="atLeast"/>
    </w:pPr>
    <w:rPr>
      <w:color w:val="auto"/>
    </w:rPr>
  </w:style>
  <w:style w:type="paragraph" w:customStyle="1" w:styleId="CM15">
    <w:name w:val="CM1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styleId="BalloonText">
    <w:name w:val="Balloon Text"/>
    <w:basedOn w:val="Normal"/>
    <w:link w:val="BalloonTextChar"/>
    <w:uiPriority w:val="99"/>
    <w:semiHidden/>
    <w:unhideWhenUsed/>
    <w:rsid w:val="00A2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0854"/>
    <w:rPr>
      <w:rFonts w:ascii="Tahoma" w:hAnsi="Tahoma" w:cs="Tahoma"/>
      <w:sz w:val="16"/>
      <w:szCs w:val="16"/>
    </w:rPr>
  </w:style>
  <w:style w:type="paragraph" w:styleId="Header">
    <w:name w:val="header"/>
    <w:basedOn w:val="Normal"/>
    <w:link w:val="HeaderChar"/>
    <w:uiPriority w:val="99"/>
    <w:unhideWhenUsed/>
    <w:rsid w:val="00701EEC"/>
    <w:pPr>
      <w:tabs>
        <w:tab w:val="center" w:pos="4513"/>
        <w:tab w:val="right" w:pos="9026"/>
      </w:tabs>
    </w:pPr>
  </w:style>
  <w:style w:type="character" w:customStyle="1" w:styleId="HeaderChar">
    <w:name w:val="Header Char"/>
    <w:basedOn w:val="DefaultParagraphFont"/>
    <w:link w:val="Header"/>
    <w:uiPriority w:val="99"/>
    <w:locked/>
    <w:rsid w:val="00701EEC"/>
    <w:rPr>
      <w:rFonts w:cs="Times New Roman"/>
    </w:rPr>
  </w:style>
  <w:style w:type="paragraph" w:styleId="Footer">
    <w:name w:val="footer"/>
    <w:basedOn w:val="Normal"/>
    <w:link w:val="FooterChar"/>
    <w:uiPriority w:val="99"/>
    <w:unhideWhenUsed/>
    <w:rsid w:val="00701EEC"/>
    <w:pPr>
      <w:tabs>
        <w:tab w:val="center" w:pos="4513"/>
        <w:tab w:val="right" w:pos="9026"/>
      </w:tabs>
    </w:pPr>
  </w:style>
  <w:style w:type="character" w:customStyle="1" w:styleId="FooterChar">
    <w:name w:val="Footer Char"/>
    <w:basedOn w:val="DefaultParagraphFont"/>
    <w:link w:val="Footer"/>
    <w:uiPriority w:val="99"/>
    <w:locked/>
    <w:rsid w:val="00701EEC"/>
    <w:rPr>
      <w:rFonts w:cs="Times New Roman"/>
    </w:rPr>
  </w:style>
  <w:style w:type="paragraph" w:styleId="TOCHeading">
    <w:name w:val="TOC Heading"/>
    <w:basedOn w:val="Heading1"/>
    <w:next w:val="Normal"/>
    <w:uiPriority w:val="39"/>
    <w:unhideWhenUsed/>
    <w:qFormat/>
    <w:rsid w:val="004E6D1E"/>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4E6D1E"/>
  </w:style>
  <w:style w:type="paragraph" w:styleId="TOC2">
    <w:name w:val="toc 2"/>
    <w:basedOn w:val="Normal"/>
    <w:next w:val="Normal"/>
    <w:autoRedefine/>
    <w:uiPriority w:val="39"/>
    <w:unhideWhenUsed/>
    <w:rsid w:val="004E6D1E"/>
    <w:pPr>
      <w:ind w:left="220"/>
    </w:pPr>
  </w:style>
  <w:style w:type="paragraph" w:styleId="TOC3">
    <w:name w:val="toc 3"/>
    <w:basedOn w:val="Normal"/>
    <w:next w:val="Normal"/>
    <w:autoRedefine/>
    <w:uiPriority w:val="39"/>
    <w:unhideWhenUsed/>
    <w:rsid w:val="004E6D1E"/>
    <w:pPr>
      <w:ind w:left="440"/>
    </w:pPr>
  </w:style>
  <w:style w:type="character" w:styleId="Hyperlink">
    <w:name w:val="Hyperlink"/>
    <w:basedOn w:val="DefaultParagraphFont"/>
    <w:uiPriority w:val="99"/>
    <w:unhideWhenUsed/>
    <w:rsid w:val="004E6D1E"/>
    <w:rPr>
      <w:rFonts w:cs="Times New Roman"/>
      <w:color w:val="0000FF"/>
      <w:u w:val="single"/>
    </w:rPr>
  </w:style>
  <w:style w:type="paragraph" w:styleId="Caption">
    <w:name w:val="caption"/>
    <w:basedOn w:val="Normal"/>
    <w:next w:val="Normal"/>
    <w:uiPriority w:val="35"/>
    <w:unhideWhenUsed/>
    <w:qFormat/>
    <w:rsid w:val="007D7D46"/>
    <w:rPr>
      <w:b/>
      <w:bCs/>
      <w:sz w:val="20"/>
      <w:szCs w:val="20"/>
    </w:rPr>
  </w:style>
  <w:style w:type="paragraph" w:styleId="TableofFigures">
    <w:name w:val="table of figures"/>
    <w:basedOn w:val="Normal"/>
    <w:next w:val="Normal"/>
    <w:uiPriority w:val="99"/>
    <w:unhideWhenUsed/>
    <w:rsid w:val="007D7D46"/>
  </w:style>
  <w:style w:type="character" w:styleId="FollowedHyperlink">
    <w:name w:val="FollowedHyperlink"/>
    <w:basedOn w:val="DefaultParagraphFont"/>
    <w:uiPriority w:val="99"/>
    <w:semiHidden/>
    <w:unhideWhenUsed/>
    <w:rsid w:val="00CD3EE4"/>
    <w:rPr>
      <w:rFonts w:cs="Times New Roman"/>
      <w:color w:val="800080" w:themeColor="followedHyperlink"/>
      <w:u w:val="single"/>
    </w:rPr>
  </w:style>
  <w:style w:type="character" w:styleId="CommentReference">
    <w:name w:val="annotation reference"/>
    <w:basedOn w:val="DefaultParagraphFont"/>
    <w:uiPriority w:val="99"/>
    <w:semiHidden/>
    <w:unhideWhenUsed/>
    <w:rsid w:val="003D033F"/>
    <w:rPr>
      <w:sz w:val="16"/>
      <w:szCs w:val="16"/>
    </w:rPr>
  </w:style>
  <w:style w:type="paragraph" w:styleId="CommentText">
    <w:name w:val="annotation text"/>
    <w:basedOn w:val="Normal"/>
    <w:link w:val="CommentTextChar"/>
    <w:uiPriority w:val="99"/>
    <w:unhideWhenUsed/>
    <w:rsid w:val="003D033F"/>
    <w:pPr>
      <w:spacing w:line="240" w:lineRule="auto"/>
    </w:pPr>
    <w:rPr>
      <w:sz w:val="20"/>
      <w:szCs w:val="20"/>
    </w:rPr>
  </w:style>
  <w:style w:type="character" w:customStyle="1" w:styleId="CommentTextChar">
    <w:name w:val="Comment Text Char"/>
    <w:basedOn w:val="DefaultParagraphFont"/>
    <w:link w:val="CommentText"/>
    <w:uiPriority w:val="99"/>
    <w:rsid w:val="003D033F"/>
    <w:rPr>
      <w:sz w:val="20"/>
      <w:szCs w:val="20"/>
    </w:rPr>
  </w:style>
  <w:style w:type="paragraph" w:styleId="CommentSubject">
    <w:name w:val="annotation subject"/>
    <w:basedOn w:val="CommentText"/>
    <w:next w:val="CommentText"/>
    <w:link w:val="CommentSubjectChar"/>
    <w:uiPriority w:val="99"/>
    <w:semiHidden/>
    <w:unhideWhenUsed/>
    <w:rsid w:val="003D033F"/>
    <w:rPr>
      <w:b/>
      <w:bCs/>
    </w:rPr>
  </w:style>
  <w:style w:type="character" w:customStyle="1" w:styleId="CommentSubjectChar">
    <w:name w:val="Comment Subject Char"/>
    <w:basedOn w:val="CommentTextChar"/>
    <w:link w:val="CommentSubject"/>
    <w:uiPriority w:val="99"/>
    <w:semiHidden/>
    <w:rsid w:val="003D033F"/>
    <w:rPr>
      <w:b/>
      <w:bCs/>
      <w:sz w:val="20"/>
      <w:szCs w:val="20"/>
    </w:rPr>
  </w:style>
  <w:style w:type="character" w:styleId="Emphasis">
    <w:name w:val="Emphasis"/>
    <w:uiPriority w:val="20"/>
    <w:qFormat/>
    <w:rsid w:val="00662F6B"/>
    <w:rPr>
      <w:i/>
      <w:iCs/>
    </w:rPr>
  </w:style>
  <w:style w:type="paragraph" w:styleId="ListParagraph">
    <w:name w:val="List Paragraph"/>
    <w:basedOn w:val="Normal"/>
    <w:uiPriority w:val="34"/>
    <w:qFormat/>
    <w:rsid w:val="008A3D54"/>
    <w:pPr>
      <w:ind w:left="720"/>
      <w:contextualSpacing/>
    </w:pPr>
  </w:style>
  <w:style w:type="paragraph" w:styleId="Title">
    <w:name w:val="Title"/>
    <w:basedOn w:val="Normal"/>
    <w:next w:val="Normal"/>
    <w:link w:val="TitleChar"/>
    <w:uiPriority w:val="10"/>
    <w:qFormat/>
    <w:rsid w:val="00CC4E47"/>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CC4E47"/>
    <w:rPr>
      <w:rFonts w:ascii="Arial" w:eastAsiaTheme="majorEastAsia" w:hAnsi="Arial" w:cstheme="majorBidi"/>
      <w:b/>
      <w:spacing w:val="-10"/>
      <w:kern w:val="28"/>
      <w:sz w:val="56"/>
      <w:szCs w:val="56"/>
    </w:rPr>
  </w:style>
  <w:style w:type="paragraph" w:styleId="IntenseQuote">
    <w:name w:val="Intense Quote"/>
    <w:basedOn w:val="Normal"/>
    <w:next w:val="Normal"/>
    <w:link w:val="IntenseQuoteChar"/>
    <w:uiPriority w:val="30"/>
    <w:qFormat/>
    <w:rsid w:val="00CC4E47"/>
    <w:pPr>
      <w:pBdr>
        <w:top w:val="single" w:sz="4" w:space="10" w:color="4F81BD" w:themeColor="accent1"/>
        <w:bottom w:val="single" w:sz="4" w:space="10" w:color="4F81BD" w:themeColor="accent1"/>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CC4E47"/>
    <w:rPr>
      <w:rFonts w:ascii="Arial" w:hAnsi="Arial"/>
      <w:iCs/>
      <w:sz w:val="24"/>
    </w:rPr>
  </w:style>
  <w:style w:type="character" w:customStyle="1" w:styleId="UnresolvedMention1">
    <w:name w:val="Unresolved Mention1"/>
    <w:basedOn w:val="DefaultParagraphFont"/>
    <w:uiPriority w:val="99"/>
    <w:semiHidden/>
    <w:unhideWhenUsed/>
    <w:rsid w:val="0055067E"/>
    <w:rPr>
      <w:color w:val="605E5C"/>
      <w:shd w:val="clear" w:color="auto" w:fill="E1DFDD"/>
    </w:rPr>
  </w:style>
  <w:style w:type="character" w:styleId="UnresolvedMention">
    <w:name w:val="Unresolved Mention"/>
    <w:basedOn w:val="DefaultParagraphFont"/>
    <w:uiPriority w:val="99"/>
    <w:semiHidden/>
    <w:unhideWhenUsed/>
    <w:rsid w:val="00636688"/>
    <w:rPr>
      <w:color w:val="605E5C"/>
      <w:shd w:val="clear" w:color="auto" w:fill="E1DFDD"/>
    </w:rPr>
  </w:style>
  <w:style w:type="paragraph" w:styleId="NoSpacing">
    <w:name w:val="No Spacing"/>
    <w:uiPriority w:val="1"/>
    <w:qFormat/>
    <w:rsid w:val="0045688C"/>
    <w:pPr>
      <w:spacing w:after="0" w:line="240" w:lineRule="auto"/>
    </w:pPr>
    <w:rPr>
      <w:rFonts w:ascii="Arial" w:hAnsi="Arial"/>
    </w:rPr>
  </w:style>
  <w:style w:type="table" w:styleId="TableGrid">
    <w:name w:val="Table Grid"/>
    <w:basedOn w:val="TableNormal"/>
    <w:uiPriority w:val="59"/>
    <w:rsid w:val="00A7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176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02046">
      <w:bodyDiv w:val="1"/>
      <w:marLeft w:val="0"/>
      <w:marRight w:val="0"/>
      <w:marTop w:val="0"/>
      <w:marBottom w:val="0"/>
      <w:divBdr>
        <w:top w:val="none" w:sz="0" w:space="0" w:color="auto"/>
        <w:left w:val="none" w:sz="0" w:space="0" w:color="auto"/>
        <w:bottom w:val="none" w:sz="0" w:space="0" w:color="auto"/>
        <w:right w:val="none" w:sz="0" w:space="0" w:color="auto"/>
      </w:divBdr>
    </w:div>
    <w:div w:id="397631163">
      <w:bodyDiv w:val="1"/>
      <w:marLeft w:val="0"/>
      <w:marRight w:val="0"/>
      <w:marTop w:val="0"/>
      <w:marBottom w:val="0"/>
      <w:divBdr>
        <w:top w:val="none" w:sz="0" w:space="0" w:color="auto"/>
        <w:left w:val="none" w:sz="0" w:space="0" w:color="auto"/>
        <w:bottom w:val="none" w:sz="0" w:space="0" w:color="auto"/>
        <w:right w:val="none" w:sz="0" w:space="0" w:color="auto"/>
      </w:divBdr>
    </w:div>
    <w:div w:id="477847509">
      <w:bodyDiv w:val="1"/>
      <w:marLeft w:val="0"/>
      <w:marRight w:val="0"/>
      <w:marTop w:val="0"/>
      <w:marBottom w:val="0"/>
      <w:divBdr>
        <w:top w:val="none" w:sz="0" w:space="0" w:color="auto"/>
        <w:left w:val="none" w:sz="0" w:space="0" w:color="auto"/>
        <w:bottom w:val="none" w:sz="0" w:space="0" w:color="auto"/>
        <w:right w:val="none" w:sz="0" w:space="0" w:color="auto"/>
      </w:divBdr>
    </w:div>
    <w:div w:id="581448389">
      <w:bodyDiv w:val="1"/>
      <w:marLeft w:val="0"/>
      <w:marRight w:val="0"/>
      <w:marTop w:val="0"/>
      <w:marBottom w:val="0"/>
      <w:divBdr>
        <w:top w:val="none" w:sz="0" w:space="0" w:color="auto"/>
        <w:left w:val="none" w:sz="0" w:space="0" w:color="auto"/>
        <w:bottom w:val="none" w:sz="0" w:space="0" w:color="auto"/>
        <w:right w:val="none" w:sz="0" w:space="0" w:color="auto"/>
      </w:divBdr>
    </w:div>
    <w:div w:id="871108919">
      <w:bodyDiv w:val="1"/>
      <w:marLeft w:val="0"/>
      <w:marRight w:val="0"/>
      <w:marTop w:val="0"/>
      <w:marBottom w:val="0"/>
      <w:divBdr>
        <w:top w:val="none" w:sz="0" w:space="0" w:color="auto"/>
        <w:left w:val="none" w:sz="0" w:space="0" w:color="auto"/>
        <w:bottom w:val="none" w:sz="0" w:space="0" w:color="auto"/>
        <w:right w:val="none" w:sz="0" w:space="0" w:color="auto"/>
      </w:divBdr>
    </w:div>
    <w:div w:id="974214020">
      <w:bodyDiv w:val="1"/>
      <w:marLeft w:val="0"/>
      <w:marRight w:val="0"/>
      <w:marTop w:val="0"/>
      <w:marBottom w:val="0"/>
      <w:divBdr>
        <w:top w:val="none" w:sz="0" w:space="0" w:color="auto"/>
        <w:left w:val="none" w:sz="0" w:space="0" w:color="auto"/>
        <w:bottom w:val="none" w:sz="0" w:space="0" w:color="auto"/>
        <w:right w:val="none" w:sz="0" w:space="0" w:color="auto"/>
      </w:divBdr>
    </w:div>
    <w:div w:id="982201287">
      <w:bodyDiv w:val="1"/>
      <w:marLeft w:val="0"/>
      <w:marRight w:val="0"/>
      <w:marTop w:val="0"/>
      <w:marBottom w:val="0"/>
      <w:divBdr>
        <w:top w:val="none" w:sz="0" w:space="0" w:color="auto"/>
        <w:left w:val="none" w:sz="0" w:space="0" w:color="auto"/>
        <w:bottom w:val="none" w:sz="0" w:space="0" w:color="auto"/>
        <w:right w:val="none" w:sz="0" w:space="0" w:color="auto"/>
      </w:divBdr>
    </w:div>
    <w:div w:id="1231961221">
      <w:bodyDiv w:val="1"/>
      <w:marLeft w:val="0"/>
      <w:marRight w:val="0"/>
      <w:marTop w:val="0"/>
      <w:marBottom w:val="0"/>
      <w:divBdr>
        <w:top w:val="none" w:sz="0" w:space="0" w:color="auto"/>
        <w:left w:val="none" w:sz="0" w:space="0" w:color="auto"/>
        <w:bottom w:val="none" w:sz="0" w:space="0" w:color="auto"/>
        <w:right w:val="none" w:sz="0" w:space="0" w:color="auto"/>
      </w:divBdr>
    </w:div>
    <w:div w:id="1443109775">
      <w:bodyDiv w:val="1"/>
      <w:marLeft w:val="0"/>
      <w:marRight w:val="0"/>
      <w:marTop w:val="0"/>
      <w:marBottom w:val="0"/>
      <w:divBdr>
        <w:top w:val="none" w:sz="0" w:space="0" w:color="auto"/>
        <w:left w:val="none" w:sz="0" w:space="0" w:color="auto"/>
        <w:bottom w:val="none" w:sz="0" w:space="0" w:color="auto"/>
        <w:right w:val="none" w:sz="0" w:space="0" w:color="auto"/>
      </w:divBdr>
    </w:div>
    <w:div w:id="1584214847">
      <w:bodyDiv w:val="1"/>
      <w:marLeft w:val="0"/>
      <w:marRight w:val="0"/>
      <w:marTop w:val="0"/>
      <w:marBottom w:val="0"/>
      <w:divBdr>
        <w:top w:val="none" w:sz="0" w:space="0" w:color="auto"/>
        <w:left w:val="none" w:sz="0" w:space="0" w:color="auto"/>
        <w:bottom w:val="none" w:sz="0" w:space="0" w:color="auto"/>
        <w:right w:val="none" w:sz="0" w:space="0" w:color="auto"/>
      </w:divBdr>
    </w:div>
    <w:div w:id="1772311256">
      <w:bodyDiv w:val="1"/>
      <w:marLeft w:val="0"/>
      <w:marRight w:val="0"/>
      <w:marTop w:val="0"/>
      <w:marBottom w:val="0"/>
      <w:divBdr>
        <w:top w:val="none" w:sz="0" w:space="0" w:color="auto"/>
        <w:left w:val="none" w:sz="0" w:space="0" w:color="auto"/>
        <w:bottom w:val="none" w:sz="0" w:space="0" w:color="auto"/>
        <w:right w:val="none" w:sz="0" w:space="0" w:color="auto"/>
      </w:divBdr>
    </w:div>
    <w:div w:id="1818915751">
      <w:bodyDiv w:val="1"/>
      <w:marLeft w:val="0"/>
      <w:marRight w:val="0"/>
      <w:marTop w:val="0"/>
      <w:marBottom w:val="0"/>
      <w:divBdr>
        <w:top w:val="none" w:sz="0" w:space="0" w:color="auto"/>
        <w:left w:val="none" w:sz="0" w:space="0" w:color="auto"/>
        <w:bottom w:val="none" w:sz="0" w:space="0" w:color="auto"/>
        <w:right w:val="none" w:sz="0" w:space="0" w:color="auto"/>
      </w:divBdr>
    </w:div>
    <w:div w:id="19706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ncsfirerescue.org.uk/about-us/performa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ancsfirerescue.org.uk/about/publica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sfirerescue.org.uk/about/publications" TargetMode="External"/><Relationship Id="rId5" Type="http://schemas.openxmlformats.org/officeDocument/2006/relationships/webSettings" Target="webSettings.xml"/><Relationship Id="rId15" Type="http://schemas.openxmlformats.org/officeDocument/2006/relationships/hyperlink" Target="https://www.lancsfirerescue.org.uk/assets/documents/lancashire-fire-and-rescue-service-report-2021-22.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fa.lancsfirerescue.org.uk/" TargetMode="External"/><Relationship Id="rId14" Type="http://schemas.openxmlformats.org/officeDocument/2006/relationships/hyperlink" Target="https://www.lancsfirerescue.org.uk/about/publications/consultation-strateg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1945-81A4-4AB6-B883-806D60DC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4797</Words>
  <Characters>28706</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DOCUMENTS</dc:subject>
  <dc:creator>SHQ - Edney, Richard</dc:creator>
  <cp:lastModifiedBy>SHQ - Hunter, Samantha</cp:lastModifiedBy>
  <cp:revision>6</cp:revision>
  <cp:lastPrinted>2024-11-28T14:55:00Z</cp:lastPrinted>
  <dcterms:created xsi:type="dcterms:W3CDTF">2025-01-24T12:55:00Z</dcterms:created>
  <dcterms:modified xsi:type="dcterms:W3CDTF">2025-02-21T10:17:00Z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3387c-e88f-4a86-a123-99d6bb6c222a_Enabled">
    <vt:lpwstr>true</vt:lpwstr>
  </property>
  <property fmtid="{D5CDD505-2E9C-101B-9397-08002B2CF9AE}" pid="3" name="MSIP_Label_9d23387c-e88f-4a86-a123-99d6bb6c222a_SetDate">
    <vt:lpwstr>2025-01-10T10:48:58Z</vt:lpwstr>
  </property>
  <property fmtid="{D5CDD505-2E9C-101B-9397-08002B2CF9AE}" pid="4" name="MSIP_Label_9d23387c-e88f-4a86-a123-99d6bb6c222a_Method">
    <vt:lpwstr>Privileged</vt:lpwstr>
  </property>
  <property fmtid="{D5CDD505-2E9C-101B-9397-08002B2CF9AE}" pid="5" name="MSIP_Label_9d23387c-e88f-4a86-a123-99d6bb6c222a_Name">
    <vt:lpwstr>OFFICIAL</vt:lpwstr>
  </property>
  <property fmtid="{D5CDD505-2E9C-101B-9397-08002B2CF9AE}" pid="6" name="MSIP_Label_9d23387c-e88f-4a86-a123-99d6bb6c222a_SiteId">
    <vt:lpwstr>f3108379-ec3f-4459-9a6d-f531e8ec0724</vt:lpwstr>
  </property>
  <property fmtid="{D5CDD505-2E9C-101B-9397-08002B2CF9AE}" pid="7" name="MSIP_Label_9d23387c-e88f-4a86-a123-99d6bb6c222a_ActionId">
    <vt:lpwstr>50bce958-693b-4769-b950-ef26d8bcc053</vt:lpwstr>
  </property>
  <property fmtid="{D5CDD505-2E9C-101B-9397-08002B2CF9AE}" pid="8" name="MSIP_Label_9d23387c-e88f-4a86-a123-99d6bb6c222a_ContentBits">
    <vt:lpwstr>0</vt:lpwstr>
  </property>
</Properties>
</file>