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8AFA" w14:textId="05BF0B0E" w:rsidR="00B6439B" w:rsidRPr="006874FD" w:rsidRDefault="00813B2E" w:rsidP="006874FD">
      <w:pPr>
        <w:pStyle w:val="Heading1"/>
        <w:rPr>
          <w:rStyle w:val="normaltextrun"/>
          <w:b/>
          <w:bCs/>
        </w:rPr>
      </w:pPr>
      <w:r w:rsidRPr="006874FD">
        <w:rPr>
          <w:rStyle w:val="normaltextrun"/>
          <w:b/>
          <w:bCs/>
        </w:rPr>
        <w:t>Lancashire Combined Fire Authority</w:t>
      </w:r>
    </w:p>
    <w:p w14:paraId="557483DE" w14:textId="62C77EF0" w:rsidR="006874FD" w:rsidRPr="006874FD" w:rsidRDefault="00813B2E" w:rsidP="006874FD">
      <w:pPr>
        <w:pStyle w:val="Heading1"/>
        <w:rPr>
          <w:rStyle w:val="normaltextrun"/>
          <w:b/>
          <w:bCs/>
        </w:rPr>
      </w:pPr>
      <w:r w:rsidRPr="006874FD">
        <w:rPr>
          <w:rStyle w:val="normaltextrun"/>
          <w:b/>
          <w:bCs/>
        </w:rPr>
        <w:t>Productivity and Efficiency Plan</w:t>
      </w:r>
      <w:r w:rsidR="00B6439B" w:rsidRPr="006874FD">
        <w:rPr>
          <w:rStyle w:val="normaltextrun"/>
          <w:b/>
          <w:bCs/>
        </w:rPr>
        <w:t xml:space="preserve"> </w:t>
      </w:r>
      <w:r w:rsidR="009C4FF0" w:rsidRPr="006874FD">
        <w:rPr>
          <w:rStyle w:val="normaltextrun"/>
          <w:b/>
          <w:bCs/>
        </w:rPr>
        <w:t>2024/25</w:t>
      </w:r>
    </w:p>
    <w:p w14:paraId="1A5DA544" w14:textId="77777777" w:rsidR="006874FD" w:rsidRDefault="006874FD">
      <w:pPr>
        <w:rPr>
          <w:rStyle w:val="normaltextrun"/>
          <w:rFonts w:asciiTheme="majorHAnsi" w:eastAsiaTheme="majorEastAsia" w:hAnsiTheme="majorHAnsi" w:cstheme="majorBidi"/>
          <w:sz w:val="32"/>
          <w:szCs w:val="32"/>
        </w:rPr>
      </w:pPr>
      <w:r>
        <w:rPr>
          <w:rStyle w:val="normaltextrun"/>
        </w:rPr>
        <w:br w:type="page"/>
      </w:r>
    </w:p>
    <w:p w14:paraId="3634C47D" w14:textId="62DECCB1" w:rsidR="002F29AC" w:rsidRPr="006874FD" w:rsidRDefault="002F29AC" w:rsidP="006874FD">
      <w:pPr>
        <w:pStyle w:val="Heading1"/>
        <w:rPr>
          <w:rStyle w:val="normaltextrun"/>
          <w:b/>
          <w:bCs/>
        </w:rPr>
      </w:pPr>
      <w:r w:rsidRPr="006874FD">
        <w:rPr>
          <w:rStyle w:val="normaltextrun"/>
          <w:b/>
          <w:bCs/>
        </w:rPr>
        <w:lastRenderedPageBreak/>
        <w:t>Section 1</w:t>
      </w:r>
      <w:r w:rsidR="009B12AB" w:rsidRPr="006874FD">
        <w:rPr>
          <w:rStyle w:val="normaltextrun"/>
          <w:b/>
          <w:bCs/>
        </w:rPr>
        <w:t>: Primary information</w:t>
      </w:r>
    </w:p>
    <w:p w14:paraId="1FC66047" w14:textId="77777777" w:rsidR="006874FD" w:rsidRDefault="002F29AC" w:rsidP="006874FD">
      <w:pPr>
        <w:pStyle w:val="Heading2"/>
        <w:rPr>
          <w:rStyle w:val="normaltextrun"/>
          <w:b/>
          <w:bCs/>
          <w:color w:val="auto"/>
        </w:rPr>
      </w:pPr>
      <w:r w:rsidRPr="006874FD">
        <w:rPr>
          <w:rStyle w:val="normaltextrun"/>
          <w:b/>
          <w:bCs/>
          <w:color w:val="auto"/>
        </w:rPr>
        <w:t>Budget</w:t>
      </w:r>
    </w:p>
    <w:p w14:paraId="4251B5F6" w14:textId="70A25C93" w:rsidR="002F29AC" w:rsidRPr="006874FD" w:rsidRDefault="003C5450" w:rsidP="006874FD">
      <w:pPr>
        <w:rPr>
          <w:sz w:val="24"/>
          <w:szCs w:val="24"/>
        </w:rPr>
      </w:pPr>
      <w:r w:rsidRPr="006874FD">
        <w:rPr>
          <w:sz w:val="24"/>
          <w:szCs w:val="24"/>
        </w:rPr>
        <w:t>Lancashire Combined Fire</w:t>
      </w:r>
      <w:r w:rsidR="002F29AC" w:rsidRPr="006874FD">
        <w:rPr>
          <w:sz w:val="24"/>
          <w:szCs w:val="24"/>
        </w:rPr>
        <w:t xml:space="preserve"> Authority </w:t>
      </w:r>
      <w:r w:rsidRPr="006874FD">
        <w:rPr>
          <w:sz w:val="24"/>
          <w:szCs w:val="24"/>
        </w:rPr>
        <w:t xml:space="preserve">(LCFA) </w:t>
      </w:r>
      <w:r w:rsidR="002F29AC" w:rsidRPr="006874FD">
        <w:rPr>
          <w:sz w:val="24"/>
          <w:szCs w:val="24"/>
        </w:rPr>
        <w:t xml:space="preserve">agreed a net budget of </w:t>
      </w:r>
      <w:r w:rsidR="5C866C5D" w:rsidRPr="006874FD">
        <w:rPr>
          <w:sz w:val="24"/>
          <w:szCs w:val="24"/>
        </w:rPr>
        <w:t>75</w:t>
      </w:r>
      <w:r w:rsidR="002F29AC" w:rsidRPr="006874FD">
        <w:rPr>
          <w:sz w:val="24"/>
          <w:szCs w:val="24"/>
        </w:rPr>
        <w:t xml:space="preserve">.2m for </w:t>
      </w:r>
      <w:r w:rsidR="1842C751" w:rsidRPr="006874FD">
        <w:rPr>
          <w:sz w:val="24"/>
          <w:szCs w:val="24"/>
        </w:rPr>
        <w:t>20</w:t>
      </w:r>
      <w:r w:rsidR="002F29AC" w:rsidRPr="006874FD">
        <w:rPr>
          <w:sz w:val="24"/>
          <w:szCs w:val="24"/>
        </w:rPr>
        <w:t>2</w:t>
      </w:r>
      <w:r w:rsidR="3BD8DEF6" w:rsidRPr="006874FD">
        <w:rPr>
          <w:sz w:val="24"/>
          <w:szCs w:val="24"/>
        </w:rPr>
        <w:t>4</w:t>
      </w:r>
      <w:r w:rsidR="002F29AC" w:rsidRPr="006874FD">
        <w:rPr>
          <w:sz w:val="24"/>
          <w:szCs w:val="24"/>
        </w:rPr>
        <w:t>/2</w:t>
      </w:r>
      <w:r w:rsidR="5AC5A848" w:rsidRPr="006874FD">
        <w:rPr>
          <w:sz w:val="24"/>
          <w:szCs w:val="24"/>
        </w:rPr>
        <w:t>5</w:t>
      </w:r>
      <w:r w:rsidR="0000237A" w:rsidRPr="006874FD">
        <w:rPr>
          <w:sz w:val="24"/>
          <w:szCs w:val="24"/>
        </w:rPr>
        <w:t xml:space="preserve"> and is broken down below:</w:t>
      </w:r>
      <w:r w:rsidR="002F29AC" w:rsidRPr="006874FD">
        <w:rPr>
          <w:sz w:val="24"/>
          <w:szCs w:val="24"/>
        </w:rPr>
        <w:t xml:space="preserve"> </w:t>
      </w:r>
    </w:p>
    <w:tbl>
      <w:tblPr>
        <w:tblStyle w:val="TableGrid"/>
        <w:tblW w:w="0" w:type="auto"/>
        <w:tblInd w:w="-5" w:type="dxa"/>
        <w:tblLayout w:type="fixed"/>
        <w:tblLook w:val="04A0" w:firstRow="1" w:lastRow="0" w:firstColumn="1" w:lastColumn="0" w:noHBand="0" w:noVBand="1"/>
      </w:tblPr>
      <w:tblGrid>
        <w:gridCol w:w="4520"/>
        <w:gridCol w:w="1576"/>
      </w:tblGrid>
      <w:tr w:rsidR="002F29AC" w:rsidRPr="001762E0" w14:paraId="0D4EE045" w14:textId="77777777" w:rsidTr="00C05E6B">
        <w:tc>
          <w:tcPr>
            <w:tcW w:w="4520" w:type="dxa"/>
          </w:tcPr>
          <w:p w14:paraId="4C6702D0" w14:textId="77777777" w:rsidR="002F29AC" w:rsidRPr="001762E0" w:rsidRDefault="002F29AC" w:rsidP="001762E0">
            <w:pPr>
              <w:pStyle w:val="NoSpacing"/>
              <w:rPr>
                <w:b/>
                <w:bCs/>
                <w:sz w:val="24"/>
                <w:szCs w:val="24"/>
              </w:rPr>
            </w:pPr>
          </w:p>
        </w:tc>
        <w:tc>
          <w:tcPr>
            <w:tcW w:w="1576" w:type="dxa"/>
          </w:tcPr>
          <w:p w14:paraId="26E3D429" w14:textId="55A5072A" w:rsidR="002F29AC" w:rsidRPr="001762E0" w:rsidRDefault="526D83C1" w:rsidP="001762E0">
            <w:pPr>
              <w:pStyle w:val="NoSpacing"/>
              <w:jc w:val="center"/>
              <w:rPr>
                <w:b/>
                <w:bCs/>
                <w:sz w:val="24"/>
                <w:szCs w:val="24"/>
              </w:rPr>
            </w:pPr>
            <w:r w:rsidRPr="001762E0">
              <w:rPr>
                <w:b/>
                <w:bCs/>
                <w:sz w:val="24"/>
                <w:szCs w:val="24"/>
              </w:rPr>
              <w:t>£m</w:t>
            </w:r>
          </w:p>
        </w:tc>
      </w:tr>
      <w:tr w:rsidR="002F29AC" w:rsidRPr="001762E0" w14:paraId="76AF0BFF" w14:textId="77777777" w:rsidTr="00C05E6B">
        <w:tc>
          <w:tcPr>
            <w:tcW w:w="4520" w:type="dxa"/>
          </w:tcPr>
          <w:p w14:paraId="25FE7376" w14:textId="77777777" w:rsidR="002F29AC" w:rsidRPr="001762E0" w:rsidRDefault="002F29AC" w:rsidP="001762E0">
            <w:pPr>
              <w:pStyle w:val="NoSpacing"/>
              <w:rPr>
                <w:sz w:val="24"/>
                <w:szCs w:val="24"/>
              </w:rPr>
            </w:pPr>
            <w:r w:rsidRPr="001762E0">
              <w:rPr>
                <w:sz w:val="24"/>
                <w:szCs w:val="24"/>
              </w:rPr>
              <w:t xml:space="preserve"> Employee </w:t>
            </w:r>
          </w:p>
        </w:tc>
        <w:tc>
          <w:tcPr>
            <w:tcW w:w="1576" w:type="dxa"/>
          </w:tcPr>
          <w:p w14:paraId="2DA038C8" w14:textId="2FDA35B7" w:rsidR="002F29AC" w:rsidRPr="001762E0" w:rsidRDefault="002F29AC" w:rsidP="001762E0">
            <w:pPr>
              <w:pStyle w:val="NoSpacing"/>
              <w:jc w:val="center"/>
              <w:rPr>
                <w:sz w:val="24"/>
                <w:szCs w:val="24"/>
              </w:rPr>
            </w:pPr>
            <w:r w:rsidRPr="001762E0">
              <w:rPr>
                <w:sz w:val="24"/>
                <w:szCs w:val="24"/>
              </w:rPr>
              <w:t>5</w:t>
            </w:r>
            <w:r w:rsidR="009E3BE9" w:rsidRPr="001762E0">
              <w:rPr>
                <w:sz w:val="24"/>
                <w:szCs w:val="24"/>
              </w:rPr>
              <w:t>7.1</w:t>
            </w:r>
          </w:p>
        </w:tc>
      </w:tr>
      <w:tr w:rsidR="002F29AC" w:rsidRPr="001762E0" w14:paraId="3D28A56D" w14:textId="77777777" w:rsidTr="00C05E6B">
        <w:tc>
          <w:tcPr>
            <w:tcW w:w="4520" w:type="dxa"/>
          </w:tcPr>
          <w:p w14:paraId="346C3072" w14:textId="77777777" w:rsidR="002F29AC" w:rsidRPr="001762E0" w:rsidRDefault="002F29AC" w:rsidP="001762E0">
            <w:pPr>
              <w:pStyle w:val="NoSpacing"/>
              <w:rPr>
                <w:sz w:val="24"/>
                <w:szCs w:val="24"/>
              </w:rPr>
            </w:pPr>
            <w:r w:rsidRPr="001762E0">
              <w:rPr>
                <w:sz w:val="24"/>
                <w:szCs w:val="24"/>
              </w:rPr>
              <w:t xml:space="preserve"> Premises </w:t>
            </w:r>
          </w:p>
        </w:tc>
        <w:tc>
          <w:tcPr>
            <w:tcW w:w="1576" w:type="dxa"/>
          </w:tcPr>
          <w:p w14:paraId="358B542A" w14:textId="2A6ABCC3" w:rsidR="002F29AC" w:rsidRPr="001762E0" w:rsidRDefault="009E3BE9" w:rsidP="001762E0">
            <w:pPr>
              <w:pStyle w:val="NoSpacing"/>
              <w:jc w:val="center"/>
              <w:rPr>
                <w:sz w:val="24"/>
                <w:szCs w:val="24"/>
              </w:rPr>
            </w:pPr>
            <w:r w:rsidRPr="001762E0">
              <w:rPr>
                <w:sz w:val="24"/>
                <w:szCs w:val="24"/>
              </w:rPr>
              <w:t>6.2</w:t>
            </w:r>
          </w:p>
        </w:tc>
      </w:tr>
      <w:tr w:rsidR="002F29AC" w:rsidRPr="001762E0" w14:paraId="3613B727" w14:textId="77777777" w:rsidTr="00C05E6B">
        <w:tc>
          <w:tcPr>
            <w:tcW w:w="4520" w:type="dxa"/>
          </w:tcPr>
          <w:p w14:paraId="5B5F1C17" w14:textId="77777777" w:rsidR="002F29AC" w:rsidRPr="001762E0" w:rsidRDefault="002F29AC" w:rsidP="001762E0">
            <w:pPr>
              <w:pStyle w:val="NoSpacing"/>
              <w:rPr>
                <w:sz w:val="24"/>
                <w:szCs w:val="24"/>
              </w:rPr>
            </w:pPr>
            <w:r w:rsidRPr="001762E0">
              <w:rPr>
                <w:sz w:val="24"/>
                <w:szCs w:val="24"/>
              </w:rPr>
              <w:t xml:space="preserve"> Transport </w:t>
            </w:r>
          </w:p>
        </w:tc>
        <w:tc>
          <w:tcPr>
            <w:tcW w:w="1576" w:type="dxa"/>
          </w:tcPr>
          <w:p w14:paraId="6AC581DC" w14:textId="16506F69" w:rsidR="002F29AC" w:rsidRPr="001762E0" w:rsidRDefault="002F29AC" w:rsidP="001762E0">
            <w:pPr>
              <w:pStyle w:val="NoSpacing"/>
              <w:jc w:val="center"/>
              <w:rPr>
                <w:sz w:val="24"/>
                <w:szCs w:val="24"/>
              </w:rPr>
            </w:pPr>
            <w:r w:rsidRPr="001762E0">
              <w:rPr>
                <w:sz w:val="24"/>
                <w:szCs w:val="24"/>
              </w:rPr>
              <w:t>2.</w:t>
            </w:r>
            <w:r w:rsidR="009E3BE9" w:rsidRPr="001762E0">
              <w:rPr>
                <w:sz w:val="24"/>
                <w:szCs w:val="24"/>
              </w:rPr>
              <w:t>6</w:t>
            </w:r>
          </w:p>
        </w:tc>
      </w:tr>
      <w:tr w:rsidR="002F29AC" w:rsidRPr="001762E0" w14:paraId="537A7E02" w14:textId="77777777" w:rsidTr="00C05E6B">
        <w:tc>
          <w:tcPr>
            <w:tcW w:w="4520" w:type="dxa"/>
          </w:tcPr>
          <w:p w14:paraId="2D66321B" w14:textId="77777777" w:rsidR="002F29AC" w:rsidRPr="001762E0" w:rsidRDefault="002F29AC" w:rsidP="001762E0">
            <w:pPr>
              <w:pStyle w:val="NoSpacing"/>
              <w:rPr>
                <w:sz w:val="24"/>
                <w:szCs w:val="24"/>
              </w:rPr>
            </w:pPr>
            <w:r w:rsidRPr="001762E0">
              <w:rPr>
                <w:sz w:val="24"/>
                <w:szCs w:val="24"/>
              </w:rPr>
              <w:t xml:space="preserve"> Supplies &amp; Services </w:t>
            </w:r>
          </w:p>
        </w:tc>
        <w:tc>
          <w:tcPr>
            <w:tcW w:w="1576" w:type="dxa"/>
          </w:tcPr>
          <w:p w14:paraId="449CEE9B" w14:textId="3ED42AD7" w:rsidR="002F29AC" w:rsidRPr="001762E0" w:rsidRDefault="002F29AC" w:rsidP="001762E0">
            <w:pPr>
              <w:pStyle w:val="NoSpacing"/>
              <w:jc w:val="center"/>
              <w:rPr>
                <w:sz w:val="24"/>
                <w:szCs w:val="24"/>
              </w:rPr>
            </w:pPr>
            <w:r w:rsidRPr="001762E0">
              <w:rPr>
                <w:sz w:val="24"/>
                <w:szCs w:val="24"/>
              </w:rPr>
              <w:t>8.</w:t>
            </w:r>
            <w:r w:rsidR="009E3BE9" w:rsidRPr="001762E0">
              <w:rPr>
                <w:sz w:val="24"/>
                <w:szCs w:val="24"/>
              </w:rPr>
              <w:t>7</w:t>
            </w:r>
          </w:p>
        </w:tc>
      </w:tr>
      <w:tr w:rsidR="002F29AC" w:rsidRPr="001762E0" w14:paraId="4286DD7F" w14:textId="77777777" w:rsidTr="00C05E6B">
        <w:tc>
          <w:tcPr>
            <w:tcW w:w="4520" w:type="dxa"/>
          </w:tcPr>
          <w:p w14:paraId="1D40FA6E" w14:textId="6242B4C8" w:rsidR="002F29AC" w:rsidRPr="001762E0" w:rsidRDefault="002F29AC" w:rsidP="001762E0">
            <w:pPr>
              <w:pStyle w:val="NoSpacing"/>
              <w:rPr>
                <w:sz w:val="24"/>
                <w:szCs w:val="24"/>
              </w:rPr>
            </w:pPr>
            <w:r w:rsidRPr="001762E0">
              <w:rPr>
                <w:sz w:val="24"/>
                <w:szCs w:val="24"/>
              </w:rPr>
              <w:t xml:space="preserve"> Other (inc</w:t>
            </w:r>
            <w:r w:rsidR="001762E0">
              <w:rPr>
                <w:sz w:val="24"/>
                <w:szCs w:val="24"/>
              </w:rPr>
              <w:t>luding</w:t>
            </w:r>
            <w:r w:rsidRPr="001762E0">
              <w:rPr>
                <w:sz w:val="24"/>
                <w:szCs w:val="24"/>
              </w:rPr>
              <w:t xml:space="preserve"> Capital Financing Costs)</w:t>
            </w:r>
          </w:p>
        </w:tc>
        <w:tc>
          <w:tcPr>
            <w:tcW w:w="1576" w:type="dxa"/>
          </w:tcPr>
          <w:p w14:paraId="60D4106C" w14:textId="19C2FF86" w:rsidR="002F29AC" w:rsidRPr="001762E0" w:rsidRDefault="009E3BE9" w:rsidP="001762E0">
            <w:pPr>
              <w:pStyle w:val="NoSpacing"/>
              <w:jc w:val="center"/>
              <w:rPr>
                <w:sz w:val="24"/>
                <w:szCs w:val="24"/>
              </w:rPr>
            </w:pPr>
            <w:r w:rsidRPr="001762E0">
              <w:rPr>
                <w:sz w:val="24"/>
                <w:szCs w:val="24"/>
              </w:rPr>
              <w:t>4.0</w:t>
            </w:r>
          </w:p>
        </w:tc>
      </w:tr>
      <w:tr w:rsidR="002F29AC" w:rsidRPr="001762E0" w14:paraId="0DA5CCF0" w14:textId="77777777" w:rsidTr="00C05E6B">
        <w:tc>
          <w:tcPr>
            <w:tcW w:w="4520" w:type="dxa"/>
          </w:tcPr>
          <w:p w14:paraId="4AEC17F2" w14:textId="77777777" w:rsidR="002F29AC" w:rsidRPr="001762E0" w:rsidRDefault="002F29AC" w:rsidP="001762E0">
            <w:pPr>
              <w:pStyle w:val="NoSpacing"/>
              <w:rPr>
                <w:sz w:val="24"/>
                <w:szCs w:val="24"/>
              </w:rPr>
            </w:pPr>
            <w:r w:rsidRPr="001762E0">
              <w:rPr>
                <w:sz w:val="24"/>
                <w:szCs w:val="24"/>
              </w:rPr>
              <w:t xml:space="preserve"> Income </w:t>
            </w:r>
          </w:p>
        </w:tc>
        <w:tc>
          <w:tcPr>
            <w:tcW w:w="1576" w:type="dxa"/>
          </w:tcPr>
          <w:p w14:paraId="5E5F6B57" w14:textId="1C6B294A" w:rsidR="002F29AC" w:rsidRPr="001762E0" w:rsidRDefault="002F29AC" w:rsidP="001762E0">
            <w:pPr>
              <w:pStyle w:val="NoSpacing"/>
              <w:jc w:val="center"/>
              <w:rPr>
                <w:sz w:val="24"/>
                <w:szCs w:val="24"/>
              </w:rPr>
            </w:pPr>
            <w:r w:rsidRPr="001762E0">
              <w:rPr>
                <w:sz w:val="24"/>
                <w:szCs w:val="24"/>
              </w:rPr>
              <w:t>(</w:t>
            </w:r>
            <w:r w:rsidR="009E3BE9" w:rsidRPr="001762E0">
              <w:rPr>
                <w:sz w:val="24"/>
                <w:szCs w:val="24"/>
              </w:rPr>
              <w:t>3.4</w:t>
            </w:r>
            <w:r w:rsidRPr="001762E0">
              <w:rPr>
                <w:sz w:val="24"/>
                <w:szCs w:val="24"/>
              </w:rPr>
              <w:t>)</w:t>
            </w:r>
          </w:p>
        </w:tc>
      </w:tr>
      <w:tr w:rsidR="002F29AC" w:rsidRPr="001762E0" w14:paraId="5B92BB00" w14:textId="77777777" w:rsidTr="00C05E6B">
        <w:tc>
          <w:tcPr>
            <w:tcW w:w="4520" w:type="dxa"/>
          </w:tcPr>
          <w:p w14:paraId="4D19B36D" w14:textId="77777777" w:rsidR="002F29AC" w:rsidRPr="001762E0" w:rsidRDefault="002F29AC" w:rsidP="001762E0">
            <w:pPr>
              <w:pStyle w:val="NoSpacing"/>
              <w:rPr>
                <w:b/>
                <w:bCs/>
                <w:sz w:val="24"/>
                <w:szCs w:val="24"/>
              </w:rPr>
            </w:pPr>
            <w:r w:rsidRPr="001762E0">
              <w:rPr>
                <w:b/>
                <w:bCs/>
                <w:sz w:val="24"/>
                <w:szCs w:val="24"/>
              </w:rPr>
              <w:t xml:space="preserve"> Net Budget Requirement </w:t>
            </w:r>
          </w:p>
        </w:tc>
        <w:tc>
          <w:tcPr>
            <w:tcW w:w="1576" w:type="dxa"/>
          </w:tcPr>
          <w:p w14:paraId="6E054771" w14:textId="5E3BA42D" w:rsidR="002F29AC" w:rsidRPr="001762E0" w:rsidRDefault="009E3BE9" w:rsidP="001762E0">
            <w:pPr>
              <w:pStyle w:val="NoSpacing"/>
              <w:jc w:val="center"/>
              <w:rPr>
                <w:b/>
                <w:bCs/>
                <w:sz w:val="24"/>
                <w:szCs w:val="24"/>
              </w:rPr>
            </w:pPr>
            <w:r w:rsidRPr="001762E0">
              <w:rPr>
                <w:b/>
                <w:bCs/>
                <w:sz w:val="24"/>
                <w:szCs w:val="24"/>
              </w:rPr>
              <w:t>75.2</w:t>
            </w:r>
          </w:p>
        </w:tc>
      </w:tr>
    </w:tbl>
    <w:p w14:paraId="19CCC9B0" w14:textId="188CD343" w:rsidR="002F29AC" w:rsidRPr="001762E0" w:rsidRDefault="002F29AC" w:rsidP="001762E0">
      <w:pPr>
        <w:rPr>
          <w:sz w:val="24"/>
          <w:szCs w:val="24"/>
        </w:rPr>
      </w:pPr>
    </w:p>
    <w:tbl>
      <w:tblPr>
        <w:tblStyle w:val="TableGrid"/>
        <w:tblW w:w="0" w:type="auto"/>
        <w:tblInd w:w="-5" w:type="dxa"/>
        <w:tblLayout w:type="fixed"/>
        <w:tblLook w:val="04A0" w:firstRow="1" w:lastRow="0" w:firstColumn="1" w:lastColumn="0" w:noHBand="0" w:noVBand="1"/>
      </w:tblPr>
      <w:tblGrid>
        <w:gridCol w:w="4520"/>
        <w:gridCol w:w="1576"/>
      </w:tblGrid>
      <w:tr w:rsidR="002F29AC" w:rsidRPr="001762E0" w14:paraId="7B76CD0A" w14:textId="77777777" w:rsidTr="00C05E6B">
        <w:tc>
          <w:tcPr>
            <w:tcW w:w="4520" w:type="dxa"/>
          </w:tcPr>
          <w:p w14:paraId="32433EA8" w14:textId="106F181A" w:rsidR="002F29AC" w:rsidRPr="001762E0" w:rsidRDefault="001762E0" w:rsidP="001762E0">
            <w:pPr>
              <w:rPr>
                <w:b/>
                <w:bCs/>
                <w:sz w:val="24"/>
                <w:szCs w:val="24"/>
              </w:rPr>
            </w:pPr>
            <w:r w:rsidRPr="001762E0">
              <w:rPr>
                <w:b/>
                <w:bCs/>
                <w:sz w:val="24"/>
                <w:szCs w:val="24"/>
              </w:rPr>
              <w:t>The budget will be met from:</w:t>
            </w:r>
          </w:p>
        </w:tc>
        <w:tc>
          <w:tcPr>
            <w:tcW w:w="1576" w:type="dxa"/>
          </w:tcPr>
          <w:p w14:paraId="58C7939D" w14:textId="3E1A787B" w:rsidR="002F29AC" w:rsidRPr="001762E0" w:rsidRDefault="001762E0" w:rsidP="001762E0">
            <w:pPr>
              <w:pStyle w:val="NoSpacing"/>
              <w:jc w:val="center"/>
              <w:rPr>
                <w:b/>
                <w:bCs/>
                <w:sz w:val="24"/>
                <w:szCs w:val="24"/>
              </w:rPr>
            </w:pPr>
            <w:r>
              <w:rPr>
                <w:b/>
                <w:bCs/>
                <w:sz w:val="24"/>
                <w:szCs w:val="24"/>
              </w:rPr>
              <w:t>£m</w:t>
            </w:r>
          </w:p>
        </w:tc>
      </w:tr>
      <w:tr w:rsidR="001762E0" w:rsidRPr="002F29AC" w14:paraId="677F3B93" w14:textId="77777777" w:rsidTr="00C05E6B">
        <w:tc>
          <w:tcPr>
            <w:tcW w:w="4520" w:type="dxa"/>
          </w:tcPr>
          <w:p w14:paraId="6E840EAB" w14:textId="2D01F898" w:rsidR="001762E0" w:rsidRPr="001762E0" w:rsidRDefault="001762E0" w:rsidP="001762E0">
            <w:pPr>
              <w:pStyle w:val="NoSpacing"/>
              <w:rPr>
                <w:sz w:val="24"/>
                <w:szCs w:val="24"/>
              </w:rPr>
            </w:pPr>
            <w:r w:rsidRPr="001762E0">
              <w:rPr>
                <w:sz w:val="24"/>
                <w:szCs w:val="24"/>
              </w:rPr>
              <w:t>Revenue Support Grant</w:t>
            </w:r>
          </w:p>
        </w:tc>
        <w:tc>
          <w:tcPr>
            <w:tcW w:w="1576" w:type="dxa"/>
          </w:tcPr>
          <w:p w14:paraId="5B33A64A" w14:textId="3FAA9E29" w:rsidR="001762E0" w:rsidRPr="001762E0" w:rsidRDefault="001762E0" w:rsidP="001762E0">
            <w:pPr>
              <w:pStyle w:val="NoSpacing"/>
              <w:jc w:val="center"/>
              <w:rPr>
                <w:sz w:val="24"/>
                <w:szCs w:val="24"/>
              </w:rPr>
            </w:pPr>
            <w:r w:rsidRPr="001762E0">
              <w:rPr>
                <w:sz w:val="24"/>
                <w:szCs w:val="24"/>
              </w:rPr>
              <w:t>13.5</w:t>
            </w:r>
          </w:p>
        </w:tc>
      </w:tr>
      <w:tr w:rsidR="002F29AC" w:rsidRPr="002F29AC" w14:paraId="476B2F26" w14:textId="77777777" w:rsidTr="00C05E6B">
        <w:tc>
          <w:tcPr>
            <w:tcW w:w="4520" w:type="dxa"/>
          </w:tcPr>
          <w:p w14:paraId="5A5912EC" w14:textId="77777777" w:rsidR="002F29AC" w:rsidRPr="001762E0" w:rsidRDefault="002F29AC" w:rsidP="001762E0">
            <w:pPr>
              <w:pStyle w:val="NoSpacing"/>
              <w:rPr>
                <w:sz w:val="24"/>
                <w:szCs w:val="24"/>
              </w:rPr>
            </w:pPr>
            <w:r w:rsidRPr="001762E0">
              <w:rPr>
                <w:sz w:val="24"/>
                <w:szCs w:val="24"/>
              </w:rPr>
              <w:t>Locally Retained Business Rates</w:t>
            </w:r>
          </w:p>
        </w:tc>
        <w:tc>
          <w:tcPr>
            <w:tcW w:w="1576" w:type="dxa"/>
          </w:tcPr>
          <w:p w14:paraId="2637D821" w14:textId="4526C93F" w:rsidR="002F29AC" w:rsidRPr="001762E0" w:rsidRDefault="002F29AC" w:rsidP="001762E0">
            <w:pPr>
              <w:pStyle w:val="NoSpacing"/>
              <w:jc w:val="center"/>
              <w:rPr>
                <w:sz w:val="24"/>
                <w:szCs w:val="24"/>
              </w:rPr>
            </w:pPr>
            <w:r w:rsidRPr="001762E0">
              <w:rPr>
                <w:sz w:val="24"/>
                <w:szCs w:val="24"/>
              </w:rPr>
              <w:t>4.</w:t>
            </w:r>
            <w:r w:rsidR="009E3BE9" w:rsidRPr="001762E0">
              <w:rPr>
                <w:sz w:val="24"/>
                <w:szCs w:val="24"/>
              </w:rPr>
              <w:t>6</w:t>
            </w:r>
          </w:p>
        </w:tc>
      </w:tr>
      <w:tr w:rsidR="002F29AC" w:rsidRPr="002F29AC" w14:paraId="38C0776A" w14:textId="77777777" w:rsidTr="00C05E6B">
        <w:tc>
          <w:tcPr>
            <w:tcW w:w="4520" w:type="dxa"/>
          </w:tcPr>
          <w:p w14:paraId="364BA8E1" w14:textId="78BBA5B4" w:rsidR="002F29AC" w:rsidRPr="001762E0" w:rsidRDefault="009E3BE9" w:rsidP="001762E0">
            <w:pPr>
              <w:pStyle w:val="NoSpacing"/>
              <w:rPr>
                <w:sz w:val="24"/>
                <w:szCs w:val="24"/>
              </w:rPr>
            </w:pPr>
            <w:r w:rsidRPr="001762E0">
              <w:rPr>
                <w:sz w:val="24"/>
                <w:szCs w:val="24"/>
              </w:rPr>
              <w:t>Council Tax Precept</w:t>
            </w:r>
          </w:p>
        </w:tc>
        <w:tc>
          <w:tcPr>
            <w:tcW w:w="1576" w:type="dxa"/>
          </w:tcPr>
          <w:p w14:paraId="0F9A97DB" w14:textId="769E8D32" w:rsidR="002F29AC" w:rsidRPr="001762E0" w:rsidRDefault="009E3BE9" w:rsidP="001762E0">
            <w:pPr>
              <w:pStyle w:val="NoSpacing"/>
              <w:jc w:val="center"/>
              <w:rPr>
                <w:sz w:val="24"/>
                <w:szCs w:val="24"/>
              </w:rPr>
            </w:pPr>
            <w:r w:rsidRPr="001762E0">
              <w:rPr>
                <w:sz w:val="24"/>
                <w:szCs w:val="24"/>
              </w:rPr>
              <w:t>39.3</w:t>
            </w:r>
          </w:p>
        </w:tc>
      </w:tr>
      <w:tr w:rsidR="002F29AC" w:rsidRPr="002F29AC" w14:paraId="5562E30A" w14:textId="77777777" w:rsidTr="00C05E6B">
        <w:tc>
          <w:tcPr>
            <w:tcW w:w="4520" w:type="dxa"/>
          </w:tcPr>
          <w:p w14:paraId="4AB1E297" w14:textId="3B9BAFB9" w:rsidR="002F29AC" w:rsidRPr="001762E0" w:rsidRDefault="009E3BE9" w:rsidP="001762E0">
            <w:pPr>
              <w:pStyle w:val="NoSpacing"/>
              <w:rPr>
                <w:sz w:val="24"/>
                <w:szCs w:val="24"/>
              </w:rPr>
            </w:pPr>
            <w:r w:rsidRPr="001762E0">
              <w:rPr>
                <w:sz w:val="24"/>
                <w:szCs w:val="24"/>
              </w:rPr>
              <w:t xml:space="preserve">Grants </w:t>
            </w:r>
            <w:r w:rsidR="000D0FBC" w:rsidRPr="001762E0">
              <w:rPr>
                <w:sz w:val="24"/>
                <w:szCs w:val="24"/>
              </w:rPr>
              <w:t>*</w:t>
            </w:r>
          </w:p>
        </w:tc>
        <w:tc>
          <w:tcPr>
            <w:tcW w:w="1576" w:type="dxa"/>
          </w:tcPr>
          <w:p w14:paraId="254EA6D4" w14:textId="4FD1B5A5" w:rsidR="002F29AC" w:rsidRPr="001762E0" w:rsidRDefault="009E3BE9" w:rsidP="001762E0">
            <w:pPr>
              <w:pStyle w:val="NoSpacing"/>
              <w:jc w:val="center"/>
              <w:rPr>
                <w:sz w:val="24"/>
                <w:szCs w:val="24"/>
              </w:rPr>
            </w:pPr>
            <w:r w:rsidRPr="001762E0">
              <w:rPr>
                <w:sz w:val="24"/>
                <w:szCs w:val="24"/>
              </w:rPr>
              <w:t>17.6</w:t>
            </w:r>
          </w:p>
        </w:tc>
      </w:tr>
      <w:tr w:rsidR="009E3BE9" w:rsidRPr="002F29AC" w14:paraId="1CB5772F" w14:textId="77777777" w:rsidTr="00C05E6B">
        <w:tc>
          <w:tcPr>
            <w:tcW w:w="4520" w:type="dxa"/>
          </w:tcPr>
          <w:p w14:paraId="61C7AF9C" w14:textId="1AD5C816" w:rsidR="009E3BE9" w:rsidRPr="001762E0" w:rsidDel="009E3BE9" w:rsidRDefault="009E3BE9" w:rsidP="001762E0">
            <w:pPr>
              <w:pStyle w:val="NoSpacing"/>
              <w:rPr>
                <w:sz w:val="24"/>
                <w:szCs w:val="24"/>
              </w:rPr>
            </w:pPr>
            <w:r w:rsidRPr="001762E0">
              <w:rPr>
                <w:sz w:val="24"/>
                <w:szCs w:val="24"/>
              </w:rPr>
              <w:t>Other Income</w:t>
            </w:r>
            <w:r w:rsidR="000D0FBC" w:rsidRPr="001762E0">
              <w:rPr>
                <w:sz w:val="24"/>
                <w:szCs w:val="24"/>
              </w:rPr>
              <w:t xml:space="preserve"> **</w:t>
            </w:r>
          </w:p>
        </w:tc>
        <w:tc>
          <w:tcPr>
            <w:tcW w:w="1576" w:type="dxa"/>
          </w:tcPr>
          <w:p w14:paraId="44A8D9B9" w14:textId="37163588" w:rsidR="009E3BE9" w:rsidRPr="001762E0" w:rsidDel="002F29AC" w:rsidRDefault="009E3BE9" w:rsidP="001762E0">
            <w:pPr>
              <w:pStyle w:val="NoSpacing"/>
              <w:jc w:val="center"/>
              <w:rPr>
                <w:sz w:val="24"/>
                <w:szCs w:val="24"/>
              </w:rPr>
            </w:pPr>
            <w:r w:rsidRPr="001762E0">
              <w:rPr>
                <w:sz w:val="24"/>
                <w:szCs w:val="24"/>
              </w:rPr>
              <w:t>0.2</w:t>
            </w:r>
          </w:p>
        </w:tc>
      </w:tr>
      <w:tr w:rsidR="002F29AC" w:rsidRPr="001762E0" w14:paraId="169AE951" w14:textId="77777777" w:rsidTr="00C05E6B">
        <w:tc>
          <w:tcPr>
            <w:tcW w:w="4520" w:type="dxa"/>
          </w:tcPr>
          <w:p w14:paraId="4DACD02C" w14:textId="44A095D9" w:rsidR="002F29AC" w:rsidRPr="001762E0" w:rsidRDefault="001762E0" w:rsidP="001762E0">
            <w:pPr>
              <w:pStyle w:val="NoSpacing"/>
              <w:rPr>
                <w:b/>
                <w:bCs/>
                <w:sz w:val="24"/>
                <w:szCs w:val="24"/>
              </w:rPr>
            </w:pPr>
            <w:r>
              <w:rPr>
                <w:b/>
                <w:bCs/>
                <w:sz w:val="24"/>
                <w:szCs w:val="24"/>
              </w:rPr>
              <w:t>Total</w:t>
            </w:r>
          </w:p>
        </w:tc>
        <w:tc>
          <w:tcPr>
            <w:tcW w:w="1576" w:type="dxa"/>
          </w:tcPr>
          <w:p w14:paraId="79BB0425" w14:textId="6CFC0393" w:rsidR="002F29AC" w:rsidRPr="001762E0" w:rsidRDefault="009E3BE9" w:rsidP="001762E0">
            <w:pPr>
              <w:pStyle w:val="NoSpacing"/>
              <w:jc w:val="center"/>
              <w:rPr>
                <w:b/>
                <w:bCs/>
                <w:sz w:val="24"/>
                <w:szCs w:val="24"/>
              </w:rPr>
            </w:pPr>
            <w:r w:rsidRPr="001762E0">
              <w:rPr>
                <w:b/>
                <w:bCs/>
                <w:sz w:val="24"/>
                <w:szCs w:val="24"/>
              </w:rPr>
              <w:t>75.2</w:t>
            </w:r>
          </w:p>
        </w:tc>
      </w:tr>
    </w:tbl>
    <w:p w14:paraId="43B076A6" w14:textId="47BAA029" w:rsidR="000D0FBC" w:rsidRPr="006874FD" w:rsidRDefault="000D0FBC" w:rsidP="006874FD">
      <w:pPr>
        <w:rPr>
          <w:sz w:val="24"/>
          <w:szCs w:val="24"/>
        </w:rPr>
      </w:pPr>
      <w:r w:rsidRPr="006874FD">
        <w:rPr>
          <w:sz w:val="24"/>
          <w:szCs w:val="24"/>
        </w:rPr>
        <w:t>* Grants includes Business Rates Top Up Grant of £12m and one-off Funding Guarantee Grant of £0.9m.</w:t>
      </w:r>
    </w:p>
    <w:p w14:paraId="0031ABA5" w14:textId="76602B49" w:rsidR="000D0FBC" w:rsidRPr="006874FD" w:rsidRDefault="000D0FBC" w:rsidP="006874FD">
      <w:pPr>
        <w:rPr>
          <w:sz w:val="24"/>
          <w:szCs w:val="24"/>
        </w:rPr>
      </w:pPr>
      <w:r w:rsidRPr="006874FD">
        <w:rPr>
          <w:sz w:val="24"/>
          <w:szCs w:val="24"/>
        </w:rPr>
        <w:t>** Other Income includes Council Tax and Business Rates Collection Fund surpluses.</w:t>
      </w:r>
    </w:p>
    <w:p w14:paraId="1B6AB2E1" w14:textId="056A842A" w:rsidR="002F29AC" w:rsidRPr="006874FD" w:rsidRDefault="002F29AC" w:rsidP="006874FD">
      <w:pPr>
        <w:rPr>
          <w:sz w:val="24"/>
          <w:szCs w:val="24"/>
        </w:rPr>
      </w:pPr>
      <w:r w:rsidRPr="006874FD">
        <w:rPr>
          <w:sz w:val="24"/>
          <w:szCs w:val="24"/>
        </w:rPr>
        <w:t xml:space="preserve">Further details of our </w:t>
      </w:r>
      <w:r w:rsidR="000D0FBC" w:rsidRPr="006874FD">
        <w:rPr>
          <w:sz w:val="24"/>
          <w:szCs w:val="24"/>
        </w:rPr>
        <w:t>Medium Term Financial Strategy</w:t>
      </w:r>
      <w:r w:rsidR="003B25B0" w:rsidRPr="006874FD">
        <w:rPr>
          <w:sz w:val="24"/>
          <w:szCs w:val="24"/>
        </w:rPr>
        <w:t xml:space="preserve"> (MTFS)</w:t>
      </w:r>
      <w:r w:rsidR="000D0FBC" w:rsidRPr="006874FD">
        <w:rPr>
          <w:sz w:val="24"/>
          <w:szCs w:val="24"/>
        </w:rPr>
        <w:t xml:space="preserve">, Capital Strategy, Reserves Strategy and Treasury Management Strategy </w:t>
      </w:r>
      <w:r w:rsidRPr="006874FD">
        <w:rPr>
          <w:sz w:val="24"/>
          <w:szCs w:val="24"/>
        </w:rPr>
        <w:t xml:space="preserve">are contained in our </w:t>
      </w:r>
      <w:hyperlink r:id="rId11" w:history="1">
        <w:r w:rsidRPr="006874FD">
          <w:rPr>
            <w:sz w:val="24"/>
            <w:szCs w:val="24"/>
          </w:rPr>
          <w:t>Budget Booklet/Medium Term Financial Strategy</w:t>
        </w:r>
      </w:hyperlink>
      <w:r w:rsidRPr="006874FD">
        <w:rPr>
          <w:sz w:val="24"/>
          <w:szCs w:val="24"/>
        </w:rPr>
        <w:t>.</w:t>
      </w:r>
    </w:p>
    <w:p w14:paraId="29B70CAF" w14:textId="0DB630CA" w:rsidR="00812246" w:rsidRPr="006874FD" w:rsidRDefault="002F29AC" w:rsidP="006874FD">
      <w:pPr>
        <w:pStyle w:val="Heading2"/>
        <w:rPr>
          <w:rStyle w:val="normaltextrun"/>
          <w:b/>
          <w:bCs/>
          <w:color w:val="auto"/>
        </w:rPr>
      </w:pPr>
      <w:r w:rsidRPr="006874FD">
        <w:rPr>
          <w:rStyle w:val="normaltextrun"/>
          <w:b/>
          <w:bCs/>
          <w:color w:val="auto"/>
        </w:rPr>
        <w:t>Reserves</w:t>
      </w:r>
    </w:p>
    <w:p w14:paraId="1FA3A450" w14:textId="217A5EF8" w:rsidR="002F29AC" w:rsidRPr="006874FD" w:rsidRDefault="003B25B0" w:rsidP="002F29AC">
      <w:pPr>
        <w:rPr>
          <w:sz w:val="24"/>
          <w:szCs w:val="24"/>
        </w:rPr>
      </w:pPr>
      <w:r w:rsidRPr="006874FD">
        <w:rPr>
          <w:sz w:val="24"/>
          <w:szCs w:val="24"/>
        </w:rPr>
        <w:t xml:space="preserve">A summary of the reserves that are available as </w:t>
      </w:r>
      <w:proofErr w:type="gramStart"/>
      <w:r w:rsidRPr="006874FD">
        <w:rPr>
          <w:sz w:val="24"/>
          <w:szCs w:val="24"/>
        </w:rPr>
        <w:t>at</w:t>
      </w:r>
      <w:proofErr w:type="gramEnd"/>
      <w:r w:rsidRPr="006874FD">
        <w:rPr>
          <w:sz w:val="24"/>
          <w:szCs w:val="24"/>
        </w:rPr>
        <w:t xml:space="preserve"> 31st March </w:t>
      </w:r>
      <w:r w:rsidR="00BE23C7" w:rsidRPr="006874FD">
        <w:rPr>
          <w:sz w:val="24"/>
          <w:szCs w:val="24"/>
        </w:rPr>
        <w:t>from 2024 to 2029</w:t>
      </w:r>
      <w:r w:rsidRPr="006874FD">
        <w:rPr>
          <w:sz w:val="24"/>
          <w:szCs w:val="24"/>
        </w:rPr>
        <w:t xml:space="preserve">, split between </w:t>
      </w:r>
      <w:r w:rsidR="00BE23C7" w:rsidRPr="006874FD">
        <w:rPr>
          <w:sz w:val="24"/>
          <w:szCs w:val="24"/>
        </w:rPr>
        <w:t>type of reserves</w:t>
      </w:r>
      <w:r w:rsidRPr="006874FD">
        <w:rPr>
          <w:sz w:val="24"/>
          <w:szCs w:val="24"/>
        </w:rPr>
        <w:t>, and planned use over the next five years in line with the current MTFS</w:t>
      </w:r>
      <w:r w:rsidR="00812246" w:rsidRPr="006874FD">
        <w:rPr>
          <w:sz w:val="24"/>
          <w:szCs w:val="24"/>
        </w:rPr>
        <w:t>,</w:t>
      </w:r>
      <w:r w:rsidRPr="006874FD">
        <w:rPr>
          <w:sz w:val="24"/>
          <w:szCs w:val="24"/>
        </w:rPr>
        <w:t xml:space="preserve"> is set out below:</w:t>
      </w:r>
    </w:p>
    <w:p w14:paraId="4E39001B" w14:textId="77777777" w:rsidR="00C92983" w:rsidRDefault="00C92983">
      <w:r>
        <w:br w:type="page"/>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782"/>
        <w:gridCol w:w="673"/>
        <w:gridCol w:w="784"/>
        <w:gridCol w:w="795"/>
        <w:gridCol w:w="785"/>
        <w:gridCol w:w="673"/>
        <w:gridCol w:w="785"/>
        <w:gridCol w:w="673"/>
        <w:gridCol w:w="785"/>
        <w:gridCol w:w="673"/>
        <w:gridCol w:w="785"/>
      </w:tblGrid>
      <w:tr w:rsidR="00812246" w:rsidRPr="00C92983" w14:paraId="6491C90B" w14:textId="77777777" w:rsidTr="00C92983">
        <w:trPr>
          <w:trHeight w:val="600"/>
        </w:trPr>
        <w:tc>
          <w:tcPr>
            <w:tcW w:w="1277" w:type="dxa"/>
            <w:shd w:val="clear" w:color="auto" w:fill="auto"/>
            <w:noWrap/>
            <w:vAlign w:val="center"/>
            <w:hideMark/>
          </w:tcPr>
          <w:p w14:paraId="18FAD174" w14:textId="12C943C1" w:rsidR="00812246" w:rsidRPr="00C92983" w:rsidRDefault="00812246" w:rsidP="001762E0">
            <w:pPr>
              <w:pStyle w:val="NoSpacing"/>
              <w:rPr>
                <w:b/>
                <w:bCs/>
                <w:sz w:val="24"/>
                <w:szCs w:val="24"/>
              </w:rPr>
            </w:pPr>
            <w:r w:rsidRPr="00C92983">
              <w:rPr>
                <w:b/>
                <w:bCs/>
                <w:sz w:val="24"/>
                <w:szCs w:val="24"/>
              </w:rPr>
              <w:lastRenderedPageBreak/>
              <w:t>£'m</w:t>
            </w:r>
          </w:p>
        </w:tc>
        <w:tc>
          <w:tcPr>
            <w:tcW w:w="782" w:type="dxa"/>
            <w:shd w:val="clear" w:color="auto" w:fill="auto"/>
            <w:vAlign w:val="center"/>
            <w:hideMark/>
          </w:tcPr>
          <w:p w14:paraId="69420A42" w14:textId="7822A71E" w:rsidR="00812246" w:rsidRPr="00C92983" w:rsidRDefault="00812246" w:rsidP="001762E0">
            <w:pPr>
              <w:pStyle w:val="NoSpacing"/>
              <w:rPr>
                <w:b/>
                <w:bCs/>
                <w:sz w:val="24"/>
                <w:szCs w:val="24"/>
              </w:rPr>
            </w:pPr>
            <w:r w:rsidRPr="00C92983">
              <w:rPr>
                <w:b/>
                <w:bCs/>
                <w:sz w:val="24"/>
                <w:szCs w:val="24"/>
              </w:rPr>
              <w:t>2024</w:t>
            </w:r>
          </w:p>
        </w:tc>
        <w:tc>
          <w:tcPr>
            <w:tcW w:w="673" w:type="dxa"/>
            <w:shd w:val="clear" w:color="auto" w:fill="auto"/>
            <w:vAlign w:val="center"/>
            <w:hideMark/>
          </w:tcPr>
          <w:p w14:paraId="25906BE2" w14:textId="07B53C94" w:rsidR="00812246" w:rsidRPr="00C92983" w:rsidRDefault="00812246" w:rsidP="001762E0">
            <w:pPr>
              <w:pStyle w:val="NoSpacing"/>
              <w:rPr>
                <w:b/>
                <w:bCs/>
                <w:sz w:val="24"/>
                <w:szCs w:val="24"/>
              </w:rPr>
            </w:pPr>
            <w:r w:rsidRPr="00C92983">
              <w:rPr>
                <w:b/>
                <w:bCs/>
                <w:sz w:val="24"/>
                <w:szCs w:val="24"/>
              </w:rPr>
              <w:t>Use</w:t>
            </w:r>
          </w:p>
        </w:tc>
        <w:tc>
          <w:tcPr>
            <w:tcW w:w="784" w:type="dxa"/>
            <w:shd w:val="clear" w:color="auto" w:fill="auto"/>
            <w:vAlign w:val="center"/>
            <w:hideMark/>
          </w:tcPr>
          <w:p w14:paraId="308771C7" w14:textId="40E5AA89" w:rsidR="00812246" w:rsidRPr="00C92983" w:rsidRDefault="00812246" w:rsidP="001762E0">
            <w:pPr>
              <w:pStyle w:val="NoSpacing"/>
              <w:rPr>
                <w:b/>
                <w:bCs/>
                <w:sz w:val="24"/>
                <w:szCs w:val="24"/>
              </w:rPr>
            </w:pPr>
            <w:r w:rsidRPr="00C92983">
              <w:rPr>
                <w:b/>
                <w:bCs/>
                <w:sz w:val="24"/>
                <w:szCs w:val="24"/>
              </w:rPr>
              <w:t>2025</w:t>
            </w:r>
          </w:p>
        </w:tc>
        <w:tc>
          <w:tcPr>
            <w:tcW w:w="795" w:type="dxa"/>
            <w:shd w:val="clear" w:color="auto" w:fill="auto"/>
            <w:vAlign w:val="center"/>
            <w:hideMark/>
          </w:tcPr>
          <w:p w14:paraId="5724AD5E" w14:textId="41D85C5B" w:rsidR="00812246" w:rsidRPr="00C92983" w:rsidRDefault="00812246" w:rsidP="001762E0">
            <w:pPr>
              <w:pStyle w:val="NoSpacing"/>
              <w:rPr>
                <w:b/>
                <w:bCs/>
                <w:sz w:val="24"/>
                <w:szCs w:val="24"/>
              </w:rPr>
            </w:pPr>
            <w:r w:rsidRPr="00C92983">
              <w:rPr>
                <w:b/>
                <w:bCs/>
                <w:sz w:val="24"/>
                <w:szCs w:val="24"/>
              </w:rPr>
              <w:t>Use</w:t>
            </w:r>
          </w:p>
        </w:tc>
        <w:tc>
          <w:tcPr>
            <w:tcW w:w="785" w:type="dxa"/>
            <w:shd w:val="clear" w:color="auto" w:fill="auto"/>
            <w:vAlign w:val="center"/>
            <w:hideMark/>
          </w:tcPr>
          <w:p w14:paraId="351BD354" w14:textId="73BDBFD6" w:rsidR="00812246" w:rsidRPr="00C92983" w:rsidRDefault="00812246" w:rsidP="001762E0">
            <w:pPr>
              <w:pStyle w:val="NoSpacing"/>
              <w:rPr>
                <w:b/>
                <w:bCs/>
                <w:sz w:val="24"/>
                <w:szCs w:val="24"/>
              </w:rPr>
            </w:pPr>
            <w:r w:rsidRPr="00C92983">
              <w:rPr>
                <w:b/>
                <w:bCs/>
                <w:sz w:val="24"/>
                <w:szCs w:val="24"/>
              </w:rPr>
              <w:t>2026</w:t>
            </w:r>
          </w:p>
        </w:tc>
        <w:tc>
          <w:tcPr>
            <w:tcW w:w="673" w:type="dxa"/>
            <w:shd w:val="clear" w:color="auto" w:fill="auto"/>
            <w:vAlign w:val="center"/>
            <w:hideMark/>
          </w:tcPr>
          <w:p w14:paraId="078711BD" w14:textId="22CF112F" w:rsidR="00812246" w:rsidRPr="00C92983" w:rsidRDefault="00812246" w:rsidP="001762E0">
            <w:pPr>
              <w:pStyle w:val="NoSpacing"/>
              <w:rPr>
                <w:b/>
                <w:bCs/>
                <w:sz w:val="24"/>
                <w:szCs w:val="24"/>
              </w:rPr>
            </w:pPr>
            <w:r w:rsidRPr="00C92983">
              <w:rPr>
                <w:b/>
                <w:bCs/>
                <w:sz w:val="24"/>
                <w:szCs w:val="24"/>
              </w:rPr>
              <w:t>Use</w:t>
            </w:r>
          </w:p>
        </w:tc>
        <w:tc>
          <w:tcPr>
            <w:tcW w:w="785" w:type="dxa"/>
            <w:shd w:val="clear" w:color="auto" w:fill="auto"/>
            <w:vAlign w:val="center"/>
            <w:hideMark/>
          </w:tcPr>
          <w:p w14:paraId="63C0396E" w14:textId="42ABF182" w:rsidR="00812246" w:rsidRPr="00C92983" w:rsidRDefault="00812246" w:rsidP="001762E0">
            <w:pPr>
              <w:pStyle w:val="NoSpacing"/>
              <w:rPr>
                <w:b/>
                <w:bCs/>
                <w:sz w:val="24"/>
                <w:szCs w:val="24"/>
              </w:rPr>
            </w:pPr>
            <w:r w:rsidRPr="00C92983">
              <w:rPr>
                <w:b/>
                <w:bCs/>
                <w:sz w:val="24"/>
                <w:szCs w:val="24"/>
              </w:rPr>
              <w:t>2027</w:t>
            </w:r>
          </w:p>
        </w:tc>
        <w:tc>
          <w:tcPr>
            <w:tcW w:w="673" w:type="dxa"/>
            <w:shd w:val="clear" w:color="auto" w:fill="auto"/>
            <w:vAlign w:val="center"/>
            <w:hideMark/>
          </w:tcPr>
          <w:p w14:paraId="60680C86" w14:textId="5970CDD5" w:rsidR="00812246" w:rsidRPr="00C92983" w:rsidRDefault="00812246" w:rsidP="001762E0">
            <w:pPr>
              <w:pStyle w:val="NoSpacing"/>
              <w:rPr>
                <w:b/>
                <w:bCs/>
                <w:sz w:val="24"/>
                <w:szCs w:val="24"/>
              </w:rPr>
            </w:pPr>
            <w:r w:rsidRPr="00C92983">
              <w:rPr>
                <w:b/>
                <w:bCs/>
                <w:sz w:val="24"/>
                <w:szCs w:val="24"/>
              </w:rPr>
              <w:t>Use</w:t>
            </w:r>
          </w:p>
        </w:tc>
        <w:tc>
          <w:tcPr>
            <w:tcW w:w="785" w:type="dxa"/>
            <w:shd w:val="clear" w:color="auto" w:fill="auto"/>
            <w:vAlign w:val="center"/>
            <w:hideMark/>
          </w:tcPr>
          <w:p w14:paraId="12B5492C" w14:textId="14F0AB77" w:rsidR="00812246" w:rsidRPr="00C92983" w:rsidRDefault="00812246" w:rsidP="001762E0">
            <w:pPr>
              <w:pStyle w:val="NoSpacing"/>
              <w:rPr>
                <w:b/>
                <w:bCs/>
                <w:sz w:val="24"/>
                <w:szCs w:val="24"/>
              </w:rPr>
            </w:pPr>
            <w:r w:rsidRPr="00C92983">
              <w:rPr>
                <w:b/>
                <w:bCs/>
                <w:sz w:val="24"/>
                <w:szCs w:val="24"/>
              </w:rPr>
              <w:t>2028</w:t>
            </w:r>
          </w:p>
        </w:tc>
        <w:tc>
          <w:tcPr>
            <w:tcW w:w="673" w:type="dxa"/>
            <w:shd w:val="clear" w:color="auto" w:fill="auto"/>
            <w:vAlign w:val="center"/>
            <w:hideMark/>
          </w:tcPr>
          <w:p w14:paraId="4FC4E451" w14:textId="33034CA6" w:rsidR="00812246" w:rsidRPr="00C92983" w:rsidRDefault="00812246" w:rsidP="001762E0">
            <w:pPr>
              <w:pStyle w:val="NoSpacing"/>
              <w:rPr>
                <w:b/>
                <w:bCs/>
                <w:sz w:val="24"/>
                <w:szCs w:val="24"/>
              </w:rPr>
            </w:pPr>
            <w:r w:rsidRPr="00C92983">
              <w:rPr>
                <w:b/>
                <w:bCs/>
                <w:sz w:val="24"/>
                <w:szCs w:val="24"/>
              </w:rPr>
              <w:t>Use</w:t>
            </w:r>
          </w:p>
        </w:tc>
        <w:tc>
          <w:tcPr>
            <w:tcW w:w="785" w:type="dxa"/>
            <w:shd w:val="clear" w:color="auto" w:fill="auto"/>
            <w:vAlign w:val="center"/>
            <w:hideMark/>
          </w:tcPr>
          <w:p w14:paraId="4F77CE44" w14:textId="416922DF" w:rsidR="00812246" w:rsidRPr="00C92983" w:rsidRDefault="00812246" w:rsidP="001762E0">
            <w:pPr>
              <w:pStyle w:val="NoSpacing"/>
              <w:rPr>
                <w:b/>
                <w:bCs/>
                <w:sz w:val="24"/>
                <w:szCs w:val="24"/>
              </w:rPr>
            </w:pPr>
            <w:r w:rsidRPr="00C92983">
              <w:rPr>
                <w:b/>
                <w:bCs/>
                <w:sz w:val="24"/>
                <w:szCs w:val="24"/>
              </w:rPr>
              <w:t>2029</w:t>
            </w:r>
          </w:p>
        </w:tc>
      </w:tr>
      <w:tr w:rsidR="00812246" w:rsidRPr="00812246" w14:paraId="7D0EB148" w14:textId="77777777" w:rsidTr="00C92983">
        <w:trPr>
          <w:trHeight w:val="300"/>
        </w:trPr>
        <w:tc>
          <w:tcPr>
            <w:tcW w:w="1277" w:type="dxa"/>
            <w:shd w:val="clear" w:color="auto" w:fill="auto"/>
            <w:noWrap/>
            <w:vAlign w:val="center"/>
            <w:hideMark/>
          </w:tcPr>
          <w:p w14:paraId="6B2283A3" w14:textId="77777777" w:rsidR="00812246" w:rsidRPr="001762E0" w:rsidRDefault="00812246" w:rsidP="001762E0">
            <w:pPr>
              <w:pStyle w:val="NoSpacing"/>
              <w:rPr>
                <w:sz w:val="24"/>
                <w:szCs w:val="24"/>
              </w:rPr>
            </w:pPr>
            <w:r w:rsidRPr="001762E0">
              <w:rPr>
                <w:sz w:val="24"/>
                <w:szCs w:val="24"/>
              </w:rPr>
              <w:t>General Reserve</w:t>
            </w:r>
          </w:p>
        </w:tc>
        <w:tc>
          <w:tcPr>
            <w:tcW w:w="782" w:type="dxa"/>
            <w:shd w:val="clear" w:color="auto" w:fill="auto"/>
            <w:noWrap/>
            <w:vAlign w:val="center"/>
            <w:hideMark/>
          </w:tcPr>
          <w:p w14:paraId="2620E9D2" w14:textId="6ED5F61C" w:rsidR="00812246" w:rsidRPr="001762E0" w:rsidRDefault="00812246" w:rsidP="001762E0">
            <w:pPr>
              <w:pStyle w:val="NoSpacing"/>
              <w:rPr>
                <w:b/>
                <w:bCs/>
                <w:sz w:val="24"/>
                <w:szCs w:val="24"/>
              </w:rPr>
            </w:pPr>
            <w:r w:rsidRPr="001762E0">
              <w:rPr>
                <w:b/>
                <w:bCs/>
                <w:sz w:val="24"/>
                <w:szCs w:val="24"/>
              </w:rPr>
              <w:t xml:space="preserve"> 4.8 </w:t>
            </w:r>
          </w:p>
        </w:tc>
        <w:tc>
          <w:tcPr>
            <w:tcW w:w="673" w:type="dxa"/>
            <w:shd w:val="clear" w:color="auto" w:fill="auto"/>
            <w:noWrap/>
            <w:vAlign w:val="center"/>
            <w:hideMark/>
          </w:tcPr>
          <w:p w14:paraId="57B6DC74" w14:textId="03C18BDE" w:rsidR="00812246" w:rsidRPr="001762E0" w:rsidRDefault="00812246" w:rsidP="001762E0">
            <w:pPr>
              <w:pStyle w:val="NoSpacing"/>
              <w:rPr>
                <w:sz w:val="24"/>
                <w:szCs w:val="24"/>
              </w:rPr>
            </w:pPr>
            <w:r w:rsidRPr="001762E0">
              <w:rPr>
                <w:sz w:val="24"/>
                <w:szCs w:val="24"/>
              </w:rPr>
              <w:t>0.1</w:t>
            </w:r>
          </w:p>
        </w:tc>
        <w:tc>
          <w:tcPr>
            <w:tcW w:w="784" w:type="dxa"/>
            <w:shd w:val="clear" w:color="auto" w:fill="auto"/>
            <w:noWrap/>
            <w:vAlign w:val="center"/>
            <w:hideMark/>
          </w:tcPr>
          <w:p w14:paraId="1D342CB4" w14:textId="5A3AEC02" w:rsidR="00812246" w:rsidRPr="001762E0" w:rsidRDefault="00812246" w:rsidP="001762E0">
            <w:pPr>
              <w:pStyle w:val="NoSpacing"/>
              <w:rPr>
                <w:b/>
                <w:bCs/>
                <w:sz w:val="24"/>
                <w:szCs w:val="24"/>
              </w:rPr>
            </w:pPr>
            <w:r w:rsidRPr="001762E0">
              <w:rPr>
                <w:b/>
                <w:bCs/>
                <w:sz w:val="24"/>
                <w:szCs w:val="24"/>
              </w:rPr>
              <w:t xml:space="preserve"> 4.9 </w:t>
            </w:r>
          </w:p>
        </w:tc>
        <w:tc>
          <w:tcPr>
            <w:tcW w:w="795" w:type="dxa"/>
            <w:shd w:val="clear" w:color="auto" w:fill="auto"/>
            <w:noWrap/>
            <w:vAlign w:val="center"/>
            <w:hideMark/>
          </w:tcPr>
          <w:p w14:paraId="75A3B1B4" w14:textId="538D527D" w:rsidR="00812246" w:rsidRPr="001762E0" w:rsidRDefault="00812246" w:rsidP="001762E0">
            <w:pPr>
              <w:pStyle w:val="NoSpacing"/>
              <w:rPr>
                <w:sz w:val="24"/>
                <w:szCs w:val="24"/>
              </w:rPr>
            </w:pPr>
            <w:r w:rsidRPr="001762E0">
              <w:rPr>
                <w:sz w:val="24"/>
                <w:szCs w:val="24"/>
              </w:rPr>
              <w:t>0.2</w:t>
            </w:r>
          </w:p>
        </w:tc>
        <w:tc>
          <w:tcPr>
            <w:tcW w:w="785" w:type="dxa"/>
            <w:shd w:val="clear" w:color="auto" w:fill="auto"/>
            <w:noWrap/>
            <w:vAlign w:val="center"/>
            <w:hideMark/>
          </w:tcPr>
          <w:p w14:paraId="23E54F10" w14:textId="42AB91BE" w:rsidR="00812246" w:rsidRPr="001762E0" w:rsidRDefault="00812246" w:rsidP="001762E0">
            <w:pPr>
              <w:pStyle w:val="NoSpacing"/>
              <w:rPr>
                <w:b/>
                <w:bCs/>
                <w:sz w:val="24"/>
                <w:szCs w:val="24"/>
              </w:rPr>
            </w:pPr>
            <w:r w:rsidRPr="001762E0">
              <w:rPr>
                <w:b/>
                <w:bCs/>
                <w:sz w:val="24"/>
                <w:szCs w:val="24"/>
              </w:rPr>
              <w:t xml:space="preserve"> 5.1 </w:t>
            </w:r>
          </w:p>
        </w:tc>
        <w:tc>
          <w:tcPr>
            <w:tcW w:w="673" w:type="dxa"/>
            <w:shd w:val="clear" w:color="auto" w:fill="auto"/>
            <w:noWrap/>
            <w:vAlign w:val="center"/>
            <w:hideMark/>
          </w:tcPr>
          <w:p w14:paraId="2F16D847" w14:textId="4C1BDE99" w:rsidR="00812246" w:rsidRPr="001762E0" w:rsidRDefault="00812246" w:rsidP="001762E0">
            <w:pPr>
              <w:pStyle w:val="NoSpacing"/>
              <w:rPr>
                <w:sz w:val="24"/>
                <w:szCs w:val="24"/>
              </w:rPr>
            </w:pPr>
            <w:r w:rsidRPr="001762E0">
              <w:rPr>
                <w:sz w:val="24"/>
                <w:szCs w:val="24"/>
              </w:rPr>
              <w:t>(0.3)</w:t>
            </w:r>
          </w:p>
        </w:tc>
        <w:tc>
          <w:tcPr>
            <w:tcW w:w="785" w:type="dxa"/>
            <w:shd w:val="clear" w:color="auto" w:fill="auto"/>
            <w:noWrap/>
            <w:vAlign w:val="center"/>
            <w:hideMark/>
          </w:tcPr>
          <w:p w14:paraId="1A73EFDD" w14:textId="3B73B0AB" w:rsidR="00812246" w:rsidRPr="001762E0" w:rsidRDefault="00812246" w:rsidP="001762E0">
            <w:pPr>
              <w:pStyle w:val="NoSpacing"/>
              <w:rPr>
                <w:b/>
                <w:bCs/>
                <w:sz w:val="24"/>
                <w:szCs w:val="24"/>
              </w:rPr>
            </w:pPr>
            <w:r w:rsidRPr="001762E0">
              <w:rPr>
                <w:b/>
                <w:bCs/>
                <w:sz w:val="24"/>
                <w:szCs w:val="24"/>
              </w:rPr>
              <w:t xml:space="preserve"> 4.8 </w:t>
            </w:r>
          </w:p>
        </w:tc>
        <w:tc>
          <w:tcPr>
            <w:tcW w:w="673" w:type="dxa"/>
            <w:shd w:val="clear" w:color="auto" w:fill="auto"/>
            <w:noWrap/>
            <w:vAlign w:val="center"/>
            <w:hideMark/>
          </w:tcPr>
          <w:p w14:paraId="6CC5C37B" w14:textId="144B9B07" w:rsidR="00812246" w:rsidRPr="001762E0" w:rsidRDefault="00812246" w:rsidP="001762E0">
            <w:pPr>
              <w:pStyle w:val="NoSpacing"/>
              <w:rPr>
                <w:sz w:val="24"/>
                <w:szCs w:val="24"/>
              </w:rPr>
            </w:pPr>
            <w:r w:rsidRPr="001762E0">
              <w:rPr>
                <w:sz w:val="24"/>
                <w:szCs w:val="24"/>
              </w:rPr>
              <w:t>0.1</w:t>
            </w:r>
          </w:p>
        </w:tc>
        <w:tc>
          <w:tcPr>
            <w:tcW w:w="785" w:type="dxa"/>
            <w:shd w:val="clear" w:color="auto" w:fill="auto"/>
            <w:noWrap/>
            <w:vAlign w:val="center"/>
            <w:hideMark/>
          </w:tcPr>
          <w:p w14:paraId="79E9297C" w14:textId="5E219274" w:rsidR="00812246" w:rsidRPr="001762E0" w:rsidRDefault="00812246" w:rsidP="001762E0">
            <w:pPr>
              <w:pStyle w:val="NoSpacing"/>
              <w:rPr>
                <w:b/>
                <w:bCs/>
                <w:sz w:val="24"/>
                <w:szCs w:val="24"/>
              </w:rPr>
            </w:pPr>
            <w:r w:rsidRPr="001762E0">
              <w:rPr>
                <w:b/>
                <w:bCs/>
                <w:sz w:val="24"/>
                <w:szCs w:val="24"/>
              </w:rPr>
              <w:t xml:space="preserve"> 4.9 </w:t>
            </w:r>
          </w:p>
        </w:tc>
        <w:tc>
          <w:tcPr>
            <w:tcW w:w="673" w:type="dxa"/>
            <w:shd w:val="clear" w:color="auto" w:fill="auto"/>
            <w:noWrap/>
            <w:vAlign w:val="center"/>
            <w:hideMark/>
          </w:tcPr>
          <w:p w14:paraId="00E97828" w14:textId="147998CD" w:rsidR="00812246" w:rsidRPr="001762E0" w:rsidRDefault="00812246" w:rsidP="001762E0">
            <w:pPr>
              <w:pStyle w:val="NoSpacing"/>
              <w:rPr>
                <w:sz w:val="24"/>
                <w:szCs w:val="24"/>
              </w:rPr>
            </w:pPr>
            <w:r w:rsidRPr="001762E0">
              <w:rPr>
                <w:sz w:val="24"/>
                <w:szCs w:val="24"/>
              </w:rPr>
              <w:t>0.0</w:t>
            </w:r>
          </w:p>
        </w:tc>
        <w:tc>
          <w:tcPr>
            <w:tcW w:w="785" w:type="dxa"/>
            <w:shd w:val="clear" w:color="auto" w:fill="auto"/>
            <w:noWrap/>
            <w:vAlign w:val="center"/>
            <w:hideMark/>
          </w:tcPr>
          <w:p w14:paraId="17B33E9F" w14:textId="2FAE4EBD" w:rsidR="00812246" w:rsidRPr="001762E0" w:rsidRDefault="00812246" w:rsidP="001762E0">
            <w:pPr>
              <w:pStyle w:val="NoSpacing"/>
              <w:rPr>
                <w:b/>
                <w:bCs/>
                <w:sz w:val="24"/>
                <w:szCs w:val="24"/>
              </w:rPr>
            </w:pPr>
            <w:r w:rsidRPr="001762E0">
              <w:rPr>
                <w:b/>
                <w:bCs/>
                <w:sz w:val="24"/>
                <w:szCs w:val="24"/>
              </w:rPr>
              <w:t xml:space="preserve"> 4.9 </w:t>
            </w:r>
          </w:p>
        </w:tc>
      </w:tr>
      <w:tr w:rsidR="00812246" w:rsidRPr="00812246" w14:paraId="0EADDB08" w14:textId="77777777" w:rsidTr="00C92983">
        <w:trPr>
          <w:trHeight w:val="315"/>
        </w:trPr>
        <w:tc>
          <w:tcPr>
            <w:tcW w:w="1277" w:type="dxa"/>
            <w:shd w:val="clear" w:color="auto" w:fill="auto"/>
            <w:noWrap/>
            <w:vAlign w:val="center"/>
            <w:hideMark/>
          </w:tcPr>
          <w:p w14:paraId="16EC4E91" w14:textId="77777777" w:rsidR="00812246" w:rsidRPr="001762E0" w:rsidRDefault="00812246" w:rsidP="001762E0">
            <w:pPr>
              <w:pStyle w:val="NoSpacing"/>
              <w:rPr>
                <w:sz w:val="24"/>
                <w:szCs w:val="24"/>
              </w:rPr>
            </w:pPr>
            <w:r w:rsidRPr="001762E0">
              <w:rPr>
                <w:sz w:val="24"/>
                <w:szCs w:val="24"/>
              </w:rPr>
              <w:t>Capital Reserve</w:t>
            </w:r>
          </w:p>
        </w:tc>
        <w:tc>
          <w:tcPr>
            <w:tcW w:w="782" w:type="dxa"/>
            <w:shd w:val="clear" w:color="auto" w:fill="auto"/>
            <w:noWrap/>
            <w:vAlign w:val="center"/>
            <w:hideMark/>
          </w:tcPr>
          <w:p w14:paraId="028EDB02" w14:textId="668A001E" w:rsidR="00812246" w:rsidRPr="001762E0" w:rsidRDefault="00812246" w:rsidP="001762E0">
            <w:pPr>
              <w:pStyle w:val="NoSpacing"/>
              <w:rPr>
                <w:b/>
                <w:bCs/>
                <w:sz w:val="24"/>
                <w:szCs w:val="24"/>
              </w:rPr>
            </w:pPr>
            <w:r w:rsidRPr="001762E0">
              <w:rPr>
                <w:b/>
                <w:bCs/>
                <w:sz w:val="24"/>
                <w:szCs w:val="24"/>
              </w:rPr>
              <w:t xml:space="preserve"> 18.8 </w:t>
            </w:r>
          </w:p>
        </w:tc>
        <w:tc>
          <w:tcPr>
            <w:tcW w:w="673" w:type="dxa"/>
            <w:shd w:val="clear" w:color="auto" w:fill="auto"/>
            <w:noWrap/>
            <w:vAlign w:val="center"/>
            <w:hideMark/>
          </w:tcPr>
          <w:p w14:paraId="3D749665" w14:textId="6D385EC5" w:rsidR="00812246" w:rsidRPr="001762E0" w:rsidRDefault="00812246" w:rsidP="001762E0">
            <w:pPr>
              <w:pStyle w:val="NoSpacing"/>
              <w:rPr>
                <w:sz w:val="24"/>
                <w:szCs w:val="24"/>
              </w:rPr>
            </w:pPr>
            <w:r w:rsidRPr="001762E0">
              <w:rPr>
                <w:sz w:val="24"/>
                <w:szCs w:val="24"/>
              </w:rPr>
              <w:t>(7.7)</w:t>
            </w:r>
          </w:p>
        </w:tc>
        <w:tc>
          <w:tcPr>
            <w:tcW w:w="784" w:type="dxa"/>
            <w:shd w:val="clear" w:color="auto" w:fill="auto"/>
            <w:noWrap/>
            <w:vAlign w:val="center"/>
            <w:hideMark/>
          </w:tcPr>
          <w:p w14:paraId="3CBA8326" w14:textId="492DBFE2" w:rsidR="00812246" w:rsidRPr="001762E0" w:rsidRDefault="00812246" w:rsidP="001762E0">
            <w:pPr>
              <w:pStyle w:val="NoSpacing"/>
              <w:rPr>
                <w:b/>
                <w:bCs/>
                <w:sz w:val="24"/>
                <w:szCs w:val="24"/>
              </w:rPr>
            </w:pPr>
            <w:r w:rsidRPr="001762E0">
              <w:rPr>
                <w:b/>
                <w:bCs/>
                <w:sz w:val="24"/>
                <w:szCs w:val="24"/>
              </w:rPr>
              <w:t xml:space="preserve"> 11.1 </w:t>
            </w:r>
          </w:p>
        </w:tc>
        <w:tc>
          <w:tcPr>
            <w:tcW w:w="795" w:type="dxa"/>
            <w:shd w:val="clear" w:color="auto" w:fill="auto"/>
            <w:noWrap/>
            <w:vAlign w:val="center"/>
            <w:hideMark/>
          </w:tcPr>
          <w:p w14:paraId="5A462D35" w14:textId="26F0B956" w:rsidR="00812246" w:rsidRPr="001762E0" w:rsidRDefault="00812246" w:rsidP="001762E0">
            <w:pPr>
              <w:pStyle w:val="NoSpacing"/>
              <w:rPr>
                <w:sz w:val="24"/>
                <w:szCs w:val="24"/>
              </w:rPr>
            </w:pPr>
            <w:r w:rsidRPr="001762E0">
              <w:rPr>
                <w:sz w:val="24"/>
                <w:szCs w:val="24"/>
              </w:rPr>
              <w:t>(11.1)</w:t>
            </w:r>
          </w:p>
        </w:tc>
        <w:tc>
          <w:tcPr>
            <w:tcW w:w="785" w:type="dxa"/>
            <w:shd w:val="clear" w:color="auto" w:fill="auto"/>
            <w:noWrap/>
            <w:vAlign w:val="center"/>
            <w:hideMark/>
          </w:tcPr>
          <w:p w14:paraId="51413361" w14:textId="14D2068D" w:rsidR="00812246" w:rsidRPr="001762E0" w:rsidRDefault="00812246" w:rsidP="001762E0">
            <w:pPr>
              <w:pStyle w:val="NoSpacing"/>
              <w:rPr>
                <w:b/>
                <w:bCs/>
                <w:sz w:val="24"/>
                <w:szCs w:val="24"/>
              </w:rPr>
            </w:pPr>
            <w:r w:rsidRPr="001762E0">
              <w:rPr>
                <w:b/>
                <w:bCs/>
                <w:sz w:val="24"/>
                <w:szCs w:val="24"/>
              </w:rPr>
              <w:t xml:space="preserve"> 0.0 </w:t>
            </w:r>
          </w:p>
        </w:tc>
        <w:tc>
          <w:tcPr>
            <w:tcW w:w="673" w:type="dxa"/>
            <w:shd w:val="clear" w:color="auto" w:fill="auto"/>
            <w:noWrap/>
            <w:vAlign w:val="center"/>
            <w:hideMark/>
          </w:tcPr>
          <w:p w14:paraId="4D5CE402" w14:textId="5CD6E35A" w:rsidR="00812246" w:rsidRPr="001762E0" w:rsidRDefault="00812246" w:rsidP="001762E0">
            <w:pPr>
              <w:pStyle w:val="NoSpacing"/>
              <w:rPr>
                <w:sz w:val="24"/>
                <w:szCs w:val="24"/>
              </w:rPr>
            </w:pPr>
            <w:r w:rsidRPr="001762E0">
              <w:rPr>
                <w:sz w:val="24"/>
                <w:szCs w:val="24"/>
              </w:rPr>
              <w:t>0.0</w:t>
            </w:r>
          </w:p>
        </w:tc>
        <w:tc>
          <w:tcPr>
            <w:tcW w:w="785" w:type="dxa"/>
            <w:shd w:val="clear" w:color="auto" w:fill="auto"/>
            <w:noWrap/>
            <w:vAlign w:val="center"/>
            <w:hideMark/>
          </w:tcPr>
          <w:p w14:paraId="7FA3FD69" w14:textId="48B0D9CC" w:rsidR="00812246" w:rsidRPr="001762E0" w:rsidRDefault="00812246" w:rsidP="001762E0">
            <w:pPr>
              <w:pStyle w:val="NoSpacing"/>
              <w:rPr>
                <w:b/>
                <w:bCs/>
                <w:sz w:val="24"/>
                <w:szCs w:val="24"/>
              </w:rPr>
            </w:pPr>
            <w:r w:rsidRPr="001762E0">
              <w:rPr>
                <w:b/>
                <w:bCs/>
                <w:sz w:val="24"/>
                <w:szCs w:val="24"/>
              </w:rPr>
              <w:t xml:space="preserve"> 0.0 </w:t>
            </w:r>
          </w:p>
        </w:tc>
        <w:tc>
          <w:tcPr>
            <w:tcW w:w="673" w:type="dxa"/>
            <w:shd w:val="clear" w:color="auto" w:fill="auto"/>
            <w:noWrap/>
            <w:vAlign w:val="center"/>
            <w:hideMark/>
          </w:tcPr>
          <w:p w14:paraId="513D996F" w14:textId="758C8016" w:rsidR="00812246" w:rsidRPr="001762E0" w:rsidRDefault="00812246" w:rsidP="001762E0">
            <w:pPr>
              <w:pStyle w:val="NoSpacing"/>
              <w:rPr>
                <w:sz w:val="24"/>
                <w:szCs w:val="24"/>
              </w:rPr>
            </w:pPr>
            <w:r w:rsidRPr="001762E0">
              <w:rPr>
                <w:sz w:val="24"/>
                <w:szCs w:val="24"/>
              </w:rPr>
              <w:t>0.0</w:t>
            </w:r>
          </w:p>
        </w:tc>
        <w:tc>
          <w:tcPr>
            <w:tcW w:w="785" w:type="dxa"/>
            <w:shd w:val="clear" w:color="auto" w:fill="auto"/>
            <w:noWrap/>
            <w:vAlign w:val="center"/>
            <w:hideMark/>
          </w:tcPr>
          <w:p w14:paraId="43340D91" w14:textId="5DCB51EE" w:rsidR="00812246" w:rsidRPr="001762E0" w:rsidRDefault="00812246" w:rsidP="001762E0">
            <w:pPr>
              <w:pStyle w:val="NoSpacing"/>
              <w:rPr>
                <w:b/>
                <w:bCs/>
                <w:sz w:val="24"/>
                <w:szCs w:val="24"/>
              </w:rPr>
            </w:pPr>
            <w:r w:rsidRPr="001762E0">
              <w:rPr>
                <w:b/>
                <w:bCs/>
                <w:sz w:val="24"/>
                <w:szCs w:val="24"/>
              </w:rPr>
              <w:t xml:space="preserve"> 0.0 </w:t>
            </w:r>
          </w:p>
        </w:tc>
        <w:tc>
          <w:tcPr>
            <w:tcW w:w="673" w:type="dxa"/>
            <w:shd w:val="clear" w:color="auto" w:fill="auto"/>
            <w:noWrap/>
            <w:vAlign w:val="center"/>
            <w:hideMark/>
          </w:tcPr>
          <w:p w14:paraId="3EF95023" w14:textId="621296DA" w:rsidR="00812246" w:rsidRPr="001762E0" w:rsidRDefault="00812246" w:rsidP="001762E0">
            <w:pPr>
              <w:pStyle w:val="NoSpacing"/>
              <w:rPr>
                <w:sz w:val="24"/>
                <w:szCs w:val="24"/>
              </w:rPr>
            </w:pPr>
            <w:r w:rsidRPr="001762E0">
              <w:rPr>
                <w:sz w:val="24"/>
                <w:szCs w:val="24"/>
              </w:rPr>
              <w:t>0.0</w:t>
            </w:r>
          </w:p>
        </w:tc>
        <w:tc>
          <w:tcPr>
            <w:tcW w:w="785" w:type="dxa"/>
            <w:shd w:val="clear" w:color="auto" w:fill="auto"/>
            <w:noWrap/>
            <w:vAlign w:val="center"/>
            <w:hideMark/>
          </w:tcPr>
          <w:p w14:paraId="7D842E18" w14:textId="634BB82B" w:rsidR="00812246" w:rsidRPr="001762E0" w:rsidRDefault="00812246" w:rsidP="001762E0">
            <w:pPr>
              <w:pStyle w:val="NoSpacing"/>
              <w:rPr>
                <w:b/>
                <w:bCs/>
                <w:sz w:val="24"/>
                <w:szCs w:val="24"/>
              </w:rPr>
            </w:pPr>
            <w:r w:rsidRPr="001762E0">
              <w:rPr>
                <w:b/>
                <w:bCs/>
                <w:sz w:val="24"/>
                <w:szCs w:val="24"/>
              </w:rPr>
              <w:t xml:space="preserve"> 0.0 </w:t>
            </w:r>
          </w:p>
        </w:tc>
      </w:tr>
      <w:tr w:rsidR="00812246" w:rsidRPr="00812246" w14:paraId="3CF663DE" w14:textId="77777777" w:rsidTr="00C92983">
        <w:trPr>
          <w:trHeight w:val="300"/>
        </w:trPr>
        <w:tc>
          <w:tcPr>
            <w:tcW w:w="1277" w:type="dxa"/>
            <w:shd w:val="clear" w:color="auto" w:fill="auto"/>
            <w:noWrap/>
            <w:vAlign w:val="center"/>
            <w:hideMark/>
          </w:tcPr>
          <w:p w14:paraId="5CD5D646" w14:textId="77777777" w:rsidR="00812246" w:rsidRPr="001762E0" w:rsidRDefault="00812246" w:rsidP="001762E0">
            <w:pPr>
              <w:pStyle w:val="NoSpacing"/>
              <w:rPr>
                <w:sz w:val="24"/>
                <w:szCs w:val="24"/>
              </w:rPr>
            </w:pPr>
            <w:r w:rsidRPr="001762E0">
              <w:rPr>
                <w:sz w:val="24"/>
                <w:szCs w:val="24"/>
              </w:rPr>
              <w:t>Other Earmarked Reserves</w:t>
            </w:r>
          </w:p>
        </w:tc>
        <w:tc>
          <w:tcPr>
            <w:tcW w:w="782" w:type="dxa"/>
            <w:shd w:val="clear" w:color="auto" w:fill="auto"/>
            <w:noWrap/>
            <w:vAlign w:val="center"/>
            <w:hideMark/>
          </w:tcPr>
          <w:p w14:paraId="128A2562" w14:textId="753D6423" w:rsidR="00812246" w:rsidRPr="001762E0" w:rsidRDefault="00812246" w:rsidP="001762E0">
            <w:pPr>
              <w:pStyle w:val="NoSpacing"/>
              <w:rPr>
                <w:b/>
                <w:bCs/>
                <w:sz w:val="24"/>
                <w:szCs w:val="24"/>
              </w:rPr>
            </w:pPr>
            <w:r w:rsidRPr="001762E0">
              <w:rPr>
                <w:b/>
                <w:bCs/>
                <w:sz w:val="24"/>
                <w:szCs w:val="24"/>
              </w:rPr>
              <w:t xml:space="preserve"> 6.6 </w:t>
            </w:r>
          </w:p>
        </w:tc>
        <w:tc>
          <w:tcPr>
            <w:tcW w:w="673" w:type="dxa"/>
            <w:shd w:val="clear" w:color="auto" w:fill="auto"/>
            <w:noWrap/>
            <w:vAlign w:val="center"/>
            <w:hideMark/>
          </w:tcPr>
          <w:p w14:paraId="58C8CDEF" w14:textId="21541B66" w:rsidR="00812246" w:rsidRPr="001762E0" w:rsidRDefault="00812246" w:rsidP="001762E0">
            <w:pPr>
              <w:pStyle w:val="NoSpacing"/>
              <w:rPr>
                <w:sz w:val="24"/>
                <w:szCs w:val="24"/>
              </w:rPr>
            </w:pPr>
            <w:r w:rsidRPr="001762E0">
              <w:rPr>
                <w:sz w:val="24"/>
                <w:szCs w:val="24"/>
              </w:rPr>
              <w:t>(0.5)</w:t>
            </w:r>
          </w:p>
        </w:tc>
        <w:tc>
          <w:tcPr>
            <w:tcW w:w="784" w:type="dxa"/>
            <w:shd w:val="clear" w:color="auto" w:fill="auto"/>
            <w:noWrap/>
            <w:vAlign w:val="center"/>
            <w:hideMark/>
          </w:tcPr>
          <w:p w14:paraId="2A911F8B" w14:textId="03EE0F1C" w:rsidR="00812246" w:rsidRPr="001762E0" w:rsidRDefault="00812246" w:rsidP="001762E0">
            <w:pPr>
              <w:pStyle w:val="NoSpacing"/>
              <w:rPr>
                <w:b/>
                <w:bCs/>
                <w:sz w:val="24"/>
                <w:szCs w:val="24"/>
              </w:rPr>
            </w:pPr>
            <w:r w:rsidRPr="001762E0">
              <w:rPr>
                <w:b/>
                <w:bCs/>
                <w:sz w:val="24"/>
                <w:szCs w:val="24"/>
              </w:rPr>
              <w:t xml:space="preserve"> 6.1 </w:t>
            </w:r>
          </w:p>
        </w:tc>
        <w:tc>
          <w:tcPr>
            <w:tcW w:w="795" w:type="dxa"/>
            <w:shd w:val="clear" w:color="auto" w:fill="auto"/>
            <w:noWrap/>
            <w:vAlign w:val="center"/>
            <w:hideMark/>
          </w:tcPr>
          <w:p w14:paraId="1C73E98C" w14:textId="777DA9EB" w:rsidR="00812246" w:rsidRPr="001762E0" w:rsidRDefault="00812246" w:rsidP="001762E0">
            <w:pPr>
              <w:pStyle w:val="NoSpacing"/>
              <w:rPr>
                <w:sz w:val="24"/>
                <w:szCs w:val="24"/>
              </w:rPr>
            </w:pPr>
            <w:r w:rsidRPr="001762E0">
              <w:rPr>
                <w:sz w:val="24"/>
                <w:szCs w:val="24"/>
              </w:rPr>
              <w:t>(0.3)</w:t>
            </w:r>
          </w:p>
        </w:tc>
        <w:tc>
          <w:tcPr>
            <w:tcW w:w="785" w:type="dxa"/>
            <w:shd w:val="clear" w:color="auto" w:fill="auto"/>
            <w:noWrap/>
            <w:vAlign w:val="center"/>
            <w:hideMark/>
          </w:tcPr>
          <w:p w14:paraId="25D34F5E" w14:textId="4F7F44E9" w:rsidR="00812246" w:rsidRPr="001762E0" w:rsidRDefault="00812246" w:rsidP="001762E0">
            <w:pPr>
              <w:pStyle w:val="NoSpacing"/>
              <w:rPr>
                <w:b/>
                <w:bCs/>
                <w:sz w:val="24"/>
                <w:szCs w:val="24"/>
              </w:rPr>
            </w:pPr>
            <w:r w:rsidRPr="001762E0">
              <w:rPr>
                <w:b/>
                <w:bCs/>
                <w:sz w:val="24"/>
                <w:szCs w:val="24"/>
              </w:rPr>
              <w:t xml:space="preserve"> 5.8 </w:t>
            </w:r>
          </w:p>
        </w:tc>
        <w:tc>
          <w:tcPr>
            <w:tcW w:w="673" w:type="dxa"/>
            <w:shd w:val="clear" w:color="auto" w:fill="auto"/>
            <w:noWrap/>
            <w:vAlign w:val="center"/>
            <w:hideMark/>
          </w:tcPr>
          <w:p w14:paraId="369882C5" w14:textId="2CCC3494" w:rsidR="00812246" w:rsidRPr="001762E0" w:rsidRDefault="00812246" w:rsidP="001762E0">
            <w:pPr>
              <w:pStyle w:val="NoSpacing"/>
              <w:rPr>
                <w:sz w:val="24"/>
                <w:szCs w:val="24"/>
              </w:rPr>
            </w:pPr>
            <w:r w:rsidRPr="001762E0">
              <w:rPr>
                <w:sz w:val="24"/>
                <w:szCs w:val="24"/>
              </w:rPr>
              <w:t>(0.4)</w:t>
            </w:r>
          </w:p>
        </w:tc>
        <w:tc>
          <w:tcPr>
            <w:tcW w:w="785" w:type="dxa"/>
            <w:shd w:val="clear" w:color="auto" w:fill="auto"/>
            <w:noWrap/>
            <w:vAlign w:val="center"/>
            <w:hideMark/>
          </w:tcPr>
          <w:p w14:paraId="13DD8D32" w14:textId="5FB283C1" w:rsidR="00812246" w:rsidRPr="001762E0" w:rsidRDefault="00812246" w:rsidP="001762E0">
            <w:pPr>
              <w:pStyle w:val="NoSpacing"/>
              <w:rPr>
                <w:b/>
                <w:bCs/>
                <w:sz w:val="24"/>
                <w:szCs w:val="24"/>
              </w:rPr>
            </w:pPr>
            <w:r w:rsidRPr="001762E0">
              <w:rPr>
                <w:b/>
                <w:bCs/>
                <w:sz w:val="24"/>
                <w:szCs w:val="24"/>
              </w:rPr>
              <w:t xml:space="preserve"> 5.4 </w:t>
            </w:r>
          </w:p>
        </w:tc>
        <w:tc>
          <w:tcPr>
            <w:tcW w:w="673" w:type="dxa"/>
            <w:shd w:val="clear" w:color="auto" w:fill="auto"/>
            <w:noWrap/>
            <w:vAlign w:val="center"/>
            <w:hideMark/>
          </w:tcPr>
          <w:p w14:paraId="357E7189" w14:textId="5853649D" w:rsidR="00812246" w:rsidRPr="001762E0" w:rsidRDefault="00812246" w:rsidP="001762E0">
            <w:pPr>
              <w:pStyle w:val="NoSpacing"/>
              <w:rPr>
                <w:sz w:val="24"/>
                <w:szCs w:val="24"/>
              </w:rPr>
            </w:pPr>
            <w:r w:rsidRPr="001762E0">
              <w:rPr>
                <w:sz w:val="24"/>
                <w:szCs w:val="24"/>
              </w:rPr>
              <w:t>(0.4)</w:t>
            </w:r>
          </w:p>
        </w:tc>
        <w:tc>
          <w:tcPr>
            <w:tcW w:w="785" w:type="dxa"/>
            <w:shd w:val="clear" w:color="auto" w:fill="auto"/>
            <w:noWrap/>
            <w:vAlign w:val="center"/>
            <w:hideMark/>
          </w:tcPr>
          <w:p w14:paraId="4ED65B5A" w14:textId="638E2B92" w:rsidR="00812246" w:rsidRPr="001762E0" w:rsidRDefault="00812246" w:rsidP="001762E0">
            <w:pPr>
              <w:pStyle w:val="NoSpacing"/>
              <w:rPr>
                <w:b/>
                <w:bCs/>
                <w:sz w:val="24"/>
                <w:szCs w:val="24"/>
              </w:rPr>
            </w:pPr>
            <w:r w:rsidRPr="001762E0">
              <w:rPr>
                <w:b/>
                <w:bCs/>
                <w:sz w:val="24"/>
                <w:szCs w:val="24"/>
              </w:rPr>
              <w:t xml:space="preserve"> 4.9 </w:t>
            </w:r>
          </w:p>
        </w:tc>
        <w:tc>
          <w:tcPr>
            <w:tcW w:w="673" w:type="dxa"/>
            <w:shd w:val="clear" w:color="auto" w:fill="auto"/>
            <w:noWrap/>
            <w:vAlign w:val="center"/>
            <w:hideMark/>
          </w:tcPr>
          <w:p w14:paraId="107B6995" w14:textId="5813CCE1" w:rsidR="00812246" w:rsidRPr="001762E0" w:rsidRDefault="00812246" w:rsidP="001762E0">
            <w:pPr>
              <w:pStyle w:val="NoSpacing"/>
              <w:rPr>
                <w:sz w:val="24"/>
                <w:szCs w:val="24"/>
              </w:rPr>
            </w:pPr>
            <w:r w:rsidRPr="001762E0">
              <w:rPr>
                <w:sz w:val="24"/>
                <w:szCs w:val="24"/>
              </w:rPr>
              <w:t>(0.5)</w:t>
            </w:r>
          </w:p>
        </w:tc>
        <w:tc>
          <w:tcPr>
            <w:tcW w:w="785" w:type="dxa"/>
            <w:shd w:val="clear" w:color="auto" w:fill="auto"/>
            <w:noWrap/>
            <w:vAlign w:val="center"/>
            <w:hideMark/>
          </w:tcPr>
          <w:p w14:paraId="698E4375" w14:textId="5CD7C2A7" w:rsidR="00812246" w:rsidRPr="001762E0" w:rsidRDefault="00812246" w:rsidP="001762E0">
            <w:pPr>
              <w:pStyle w:val="NoSpacing"/>
              <w:rPr>
                <w:b/>
                <w:bCs/>
                <w:sz w:val="24"/>
                <w:szCs w:val="24"/>
              </w:rPr>
            </w:pPr>
            <w:r w:rsidRPr="001762E0">
              <w:rPr>
                <w:b/>
                <w:bCs/>
                <w:sz w:val="24"/>
                <w:szCs w:val="24"/>
              </w:rPr>
              <w:t xml:space="preserve"> 4.5 </w:t>
            </w:r>
          </w:p>
        </w:tc>
      </w:tr>
      <w:tr w:rsidR="00812246" w:rsidRPr="001762E0" w14:paraId="733BED8F" w14:textId="77777777" w:rsidTr="00C92983">
        <w:trPr>
          <w:trHeight w:val="600"/>
        </w:trPr>
        <w:tc>
          <w:tcPr>
            <w:tcW w:w="1277" w:type="dxa"/>
            <w:shd w:val="clear" w:color="auto" w:fill="auto"/>
            <w:noWrap/>
            <w:vAlign w:val="center"/>
            <w:hideMark/>
          </w:tcPr>
          <w:p w14:paraId="5DED2A39" w14:textId="77777777" w:rsidR="00812246" w:rsidRPr="001762E0" w:rsidRDefault="00812246" w:rsidP="001762E0">
            <w:pPr>
              <w:pStyle w:val="NoSpacing"/>
              <w:rPr>
                <w:b/>
                <w:bCs/>
                <w:sz w:val="24"/>
                <w:szCs w:val="24"/>
              </w:rPr>
            </w:pPr>
            <w:r w:rsidRPr="001762E0">
              <w:rPr>
                <w:b/>
                <w:bCs/>
                <w:sz w:val="24"/>
                <w:szCs w:val="24"/>
              </w:rPr>
              <w:t>Total</w:t>
            </w:r>
          </w:p>
        </w:tc>
        <w:tc>
          <w:tcPr>
            <w:tcW w:w="782" w:type="dxa"/>
            <w:shd w:val="clear" w:color="auto" w:fill="auto"/>
            <w:noWrap/>
            <w:vAlign w:val="center"/>
            <w:hideMark/>
          </w:tcPr>
          <w:p w14:paraId="6E79C078" w14:textId="077E7F7A" w:rsidR="00812246" w:rsidRPr="001762E0" w:rsidRDefault="00812246" w:rsidP="001762E0">
            <w:pPr>
              <w:pStyle w:val="NoSpacing"/>
              <w:rPr>
                <w:b/>
                <w:bCs/>
                <w:sz w:val="24"/>
                <w:szCs w:val="24"/>
              </w:rPr>
            </w:pPr>
            <w:r w:rsidRPr="001762E0">
              <w:rPr>
                <w:b/>
                <w:bCs/>
                <w:sz w:val="24"/>
                <w:szCs w:val="24"/>
              </w:rPr>
              <w:t>30.2</w:t>
            </w:r>
          </w:p>
        </w:tc>
        <w:tc>
          <w:tcPr>
            <w:tcW w:w="673" w:type="dxa"/>
            <w:shd w:val="clear" w:color="auto" w:fill="auto"/>
            <w:noWrap/>
            <w:vAlign w:val="center"/>
            <w:hideMark/>
          </w:tcPr>
          <w:p w14:paraId="4FD9ADC9" w14:textId="1519B16A" w:rsidR="00812246" w:rsidRPr="001762E0" w:rsidRDefault="00812246" w:rsidP="001762E0">
            <w:pPr>
              <w:pStyle w:val="NoSpacing"/>
              <w:rPr>
                <w:b/>
                <w:bCs/>
                <w:sz w:val="24"/>
                <w:szCs w:val="24"/>
              </w:rPr>
            </w:pPr>
            <w:r w:rsidRPr="001762E0">
              <w:rPr>
                <w:b/>
                <w:bCs/>
                <w:sz w:val="24"/>
                <w:szCs w:val="24"/>
              </w:rPr>
              <w:t>(8.1)</w:t>
            </w:r>
          </w:p>
        </w:tc>
        <w:tc>
          <w:tcPr>
            <w:tcW w:w="784" w:type="dxa"/>
            <w:shd w:val="clear" w:color="auto" w:fill="auto"/>
            <w:noWrap/>
            <w:vAlign w:val="center"/>
            <w:hideMark/>
          </w:tcPr>
          <w:p w14:paraId="6CECCAF6" w14:textId="4C6BB99F" w:rsidR="00812246" w:rsidRPr="001762E0" w:rsidRDefault="00812246" w:rsidP="001762E0">
            <w:pPr>
              <w:pStyle w:val="NoSpacing"/>
              <w:rPr>
                <w:b/>
                <w:bCs/>
                <w:sz w:val="24"/>
                <w:szCs w:val="24"/>
              </w:rPr>
            </w:pPr>
            <w:r w:rsidRPr="001762E0">
              <w:rPr>
                <w:b/>
                <w:bCs/>
                <w:sz w:val="24"/>
                <w:szCs w:val="24"/>
              </w:rPr>
              <w:t>22.1</w:t>
            </w:r>
          </w:p>
        </w:tc>
        <w:tc>
          <w:tcPr>
            <w:tcW w:w="795" w:type="dxa"/>
            <w:shd w:val="clear" w:color="auto" w:fill="auto"/>
            <w:noWrap/>
            <w:vAlign w:val="center"/>
            <w:hideMark/>
          </w:tcPr>
          <w:p w14:paraId="5333427E" w14:textId="7895DC62" w:rsidR="00812246" w:rsidRPr="001762E0" w:rsidRDefault="00812246" w:rsidP="001762E0">
            <w:pPr>
              <w:pStyle w:val="NoSpacing"/>
              <w:rPr>
                <w:b/>
                <w:bCs/>
                <w:sz w:val="24"/>
                <w:szCs w:val="24"/>
              </w:rPr>
            </w:pPr>
            <w:r w:rsidRPr="001762E0">
              <w:rPr>
                <w:b/>
                <w:bCs/>
                <w:sz w:val="24"/>
                <w:szCs w:val="24"/>
              </w:rPr>
              <w:t>(11.3)</w:t>
            </w:r>
          </w:p>
        </w:tc>
        <w:tc>
          <w:tcPr>
            <w:tcW w:w="785" w:type="dxa"/>
            <w:shd w:val="clear" w:color="auto" w:fill="auto"/>
            <w:noWrap/>
            <w:vAlign w:val="center"/>
            <w:hideMark/>
          </w:tcPr>
          <w:p w14:paraId="708AB0D0" w14:textId="0147CDD5" w:rsidR="00812246" w:rsidRPr="001762E0" w:rsidRDefault="00812246" w:rsidP="001762E0">
            <w:pPr>
              <w:pStyle w:val="NoSpacing"/>
              <w:rPr>
                <w:b/>
                <w:bCs/>
                <w:sz w:val="24"/>
                <w:szCs w:val="24"/>
              </w:rPr>
            </w:pPr>
            <w:r w:rsidRPr="001762E0">
              <w:rPr>
                <w:b/>
                <w:bCs/>
                <w:sz w:val="24"/>
                <w:szCs w:val="24"/>
              </w:rPr>
              <w:t>10.9</w:t>
            </w:r>
          </w:p>
        </w:tc>
        <w:tc>
          <w:tcPr>
            <w:tcW w:w="673" w:type="dxa"/>
            <w:shd w:val="clear" w:color="auto" w:fill="auto"/>
            <w:noWrap/>
            <w:vAlign w:val="center"/>
            <w:hideMark/>
          </w:tcPr>
          <w:p w14:paraId="13AE21FD" w14:textId="0ED83206" w:rsidR="00812246" w:rsidRPr="001762E0" w:rsidRDefault="00812246" w:rsidP="001762E0">
            <w:pPr>
              <w:pStyle w:val="NoSpacing"/>
              <w:rPr>
                <w:b/>
                <w:bCs/>
                <w:sz w:val="24"/>
                <w:szCs w:val="24"/>
              </w:rPr>
            </w:pPr>
            <w:r w:rsidRPr="001762E0">
              <w:rPr>
                <w:b/>
                <w:bCs/>
                <w:sz w:val="24"/>
                <w:szCs w:val="24"/>
              </w:rPr>
              <w:t>(0.7)</w:t>
            </w:r>
          </w:p>
        </w:tc>
        <w:tc>
          <w:tcPr>
            <w:tcW w:w="785" w:type="dxa"/>
            <w:shd w:val="clear" w:color="auto" w:fill="auto"/>
            <w:noWrap/>
            <w:vAlign w:val="center"/>
            <w:hideMark/>
          </w:tcPr>
          <w:p w14:paraId="1A5A954B" w14:textId="04DDA812" w:rsidR="00812246" w:rsidRPr="001762E0" w:rsidRDefault="00812246" w:rsidP="001762E0">
            <w:pPr>
              <w:pStyle w:val="NoSpacing"/>
              <w:rPr>
                <w:b/>
                <w:bCs/>
                <w:sz w:val="24"/>
                <w:szCs w:val="24"/>
              </w:rPr>
            </w:pPr>
            <w:r w:rsidRPr="001762E0">
              <w:rPr>
                <w:b/>
                <w:bCs/>
                <w:sz w:val="24"/>
                <w:szCs w:val="24"/>
              </w:rPr>
              <w:t>10.2</w:t>
            </w:r>
          </w:p>
        </w:tc>
        <w:tc>
          <w:tcPr>
            <w:tcW w:w="673" w:type="dxa"/>
            <w:shd w:val="clear" w:color="auto" w:fill="auto"/>
            <w:noWrap/>
            <w:vAlign w:val="center"/>
            <w:hideMark/>
          </w:tcPr>
          <w:p w14:paraId="201E226F" w14:textId="093ED118" w:rsidR="00812246" w:rsidRPr="001762E0" w:rsidRDefault="00812246" w:rsidP="001762E0">
            <w:pPr>
              <w:pStyle w:val="NoSpacing"/>
              <w:rPr>
                <w:b/>
                <w:bCs/>
                <w:sz w:val="24"/>
                <w:szCs w:val="24"/>
              </w:rPr>
            </w:pPr>
            <w:r w:rsidRPr="001762E0">
              <w:rPr>
                <w:b/>
                <w:bCs/>
                <w:sz w:val="24"/>
                <w:szCs w:val="24"/>
              </w:rPr>
              <w:t>(0.3)</w:t>
            </w:r>
          </w:p>
        </w:tc>
        <w:tc>
          <w:tcPr>
            <w:tcW w:w="785" w:type="dxa"/>
            <w:shd w:val="clear" w:color="auto" w:fill="auto"/>
            <w:noWrap/>
            <w:vAlign w:val="center"/>
            <w:hideMark/>
          </w:tcPr>
          <w:p w14:paraId="3F1BBB0A" w14:textId="6AFE5AD2" w:rsidR="00812246" w:rsidRPr="001762E0" w:rsidRDefault="00812246" w:rsidP="001762E0">
            <w:pPr>
              <w:pStyle w:val="NoSpacing"/>
              <w:rPr>
                <w:b/>
                <w:bCs/>
                <w:sz w:val="24"/>
                <w:szCs w:val="24"/>
              </w:rPr>
            </w:pPr>
            <w:r w:rsidRPr="001762E0">
              <w:rPr>
                <w:b/>
                <w:bCs/>
                <w:sz w:val="24"/>
                <w:szCs w:val="24"/>
              </w:rPr>
              <w:t>9.9</w:t>
            </w:r>
          </w:p>
        </w:tc>
        <w:tc>
          <w:tcPr>
            <w:tcW w:w="673" w:type="dxa"/>
            <w:shd w:val="clear" w:color="auto" w:fill="auto"/>
            <w:noWrap/>
            <w:vAlign w:val="center"/>
            <w:hideMark/>
          </w:tcPr>
          <w:p w14:paraId="25E349BF" w14:textId="7FEE272E" w:rsidR="00812246" w:rsidRPr="001762E0" w:rsidRDefault="00812246" w:rsidP="001762E0">
            <w:pPr>
              <w:pStyle w:val="NoSpacing"/>
              <w:rPr>
                <w:b/>
                <w:bCs/>
                <w:sz w:val="24"/>
                <w:szCs w:val="24"/>
              </w:rPr>
            </w:pPr>
            <w:r w:rsidRPr="001762E0">
              <w:rPr>
                <w:b/>
                <w:bCs/>
                <w:sz w:val="24"/>
                <w:szCs w:val="24"/>
              </w:rPr>
              <w:t>(0.5)</w:t>
            </w:r>
          </w:p>
        </w:tc>
        <w:tc>
          <w:tcPr>
            <w:tcW w:w="785" w:type="dxa"/>
            <w:shd w:val="clear" w:color="auto" w:fill="auto"/>
            <w:noWrap/>
            <w:vAlign w:val="center"/>
            <w:hideMark/>
          </w:tcPr>
          <w:p w14:paraId="1B90F96F" w14:textId="3FB39C3D" w:rsidR="00812246" w:rsidRPr="001762E0" w:rsidRDefault="00812246" w:rsidP="001762E0">
            <w:pPr>
              <w:pStyle w:val="NoSpacing"/>
              <w:rPr>
                <w:b/>
                <w:bCs/>
                <w:sz w:val="24"/>
                <w:szCs w:val="24"/>
              </w:rPr>
            </w:pPr>
            <w:r w:rsidRPr="001762E0">
              <w:rPr>
                <w:b/>
                <w:bCs/>
                <w:sz w:val="24"/>
                <w:szCs w:val="24"/>
              </w:rPr>
              <w:t>9.4</w:t>
            </w:r>
          </w:p>
        </w:tc>
      </w:tr>
    </w:tbl>
    <w:p w14:paraId="3F65DAAD" w14:textId="7506FBCA" w:rsidR="002F29AC" w:rsidRPr="006874FD" w:rsidRDefault="002F29AC" w:rsidP="006874FD">
      <w:pPr>
        <w:pStyle w:val="Heading2"/>
        <w:rPr>
          <w:rStyle w:val="normaltextrun"/>
          <w:b/>
          <w:bCs/>
          <w:color w:val="auto"/>
        </w:rPr>
      </w:pPr>
      <w:r w:rsidRPr="006874FD">
        <w:rPr>
          <w:rStyle w:val="normaltextrun"/>
          <w:b/>
          <w:bCs/>
          <w:color w:val="auto"/>
        </w:rPr>
        <w:t>Efficiency</w:t>
      </w:r>
      <w:r w:rsidR="004C3CD0" w:rsidRPr="006874FD">
        <w:rPr>
          <w:rStyle w:val="normaltextrun"/>
          <w:b/>
          <w:bCs/>
          <w:color w:val="auto"/>
        </w:rPr>
        <w:t xml:space="preserve"> Section</w:t>
      </w:r>
    </w:p>
    <w:p w14:paraId="596EFBF7" w14:textId="6A23FD6D" w:rsidR="004C3CD0" w:rsidRDefault="004C3CD0" w:rsidP="002F29AC">
      <w:pPr>
        <w:rPr>
          <w:sz w:val="24"/>
          <w:szCs w:val="24"/>
        </w:rPr>
      </w:pPr>
      <w:r w:rsidRPr="006874FD">
        <w:rPr>
          <w:sz w:val="24"/>
          <w:szCs w:val="24"/>
        </w:rPr>
        <w:t xml:space="preserve">The chart below shows the </w:t>
      </w:r>
      <w:r w:rsidR="003D42F1" w:rsidRPr="006874FD">
        <w:rPr>
          <w:sz w:val="24"/>
          <w:szCs w:val="24"/>
        </w:rPr>
        <w:t xml:space="preserve">annual and average cashable </w:t>
      </w:r>
      <w:r w:rsidRPr="006874FD">
        <w:rPr>
          <w:sz w:val="24"/>
          <w:szCs w:val="24"/>
        </w:rPr>
        <w:t xml:space="preserve">efficiency savings </w:t>
      </w:r>
      <w:r w:rsidR="003D42F1" w:rsidRPr="006874FD">
        <w:rPr>
          <w:sz w:val="24"/>
          <w:szCs w:val="24"/>
        </w:rPr>
        <w:t>over the Comprehensive Spending Review (CSR) period (</w:t>
      </w:r>
      <w:r w:rsidRPr="006874FD">
        <w:rPr>
          <w:sz w:val="24"/>
          <w:szCs w:val="24"/>
        </w:rPr>
        <w:t xml:space="preserve">from 2022/23 </w:t>
      </w:r>
      <w:r w:rsidR="003D42F1" w:rsidRPr="006874FD">
        <w:rPr>
          <w:sz w:val="24"/>
          <w:szCs w:val="24"/>
        </w:rPr>
        <w:t xml:space="preserve">to 2024/25), </w:t>
      </w:r>
      <w:r w:rsidRPr="006874FD">
        <w:rPr>
          <w:sz w:val="24"/>
          <w:szCs w:val="24"/>
        </w:rPr>
        <w:t xml:space="preserve">as a percentage of non-pay costs. It shows that compared to the Government CSR </w:t>
      </w:r>
      <w:r w:rsidR="003D42F1" w:rsidRPr="006874FD">
        <w:rPr>
          <w:sz w:val="24"/>
          <w:szCs w:val="24"/>
        </w:rPr>
        <w:t>non-pay efficiency savings target for</w:t>
      </w:r>
      <w:r w:rsidRPr="006874FD">
        <w:rPr>
          <w:sz w:val="24"/>
          <w:szCs w:val="24"/>
        </w:rPr>
        <w:t xml:space="preserve"> fire authorities of 2%</w:t>
      </w:r>
      <w:r w:rsidR="003D42F1" w:rsidRPr="006874FD">
        <w:rPr>
          <w:sz w:val="24"/>
          <w:szCs w:val="24"/>
        </w:rPr>
        <w:t>, the LCFA achieved 5.6% on average over the period</w:t>
      </w:r>
      <w:r w:rsidR="00191C3F" w:rsidRPr="006874FD">
        <w:rPr>
          <w:sz w:val="24"/>
          <w:szCs w:val="24"/>
        </w:rPr>
        <w:t>; more detail is set out in Annex A.</w:t>
      </w:r>
      <w:r w:rsidRPr="006874FD">
        <w:rPr>
          <w:sz w:val="24"/>
          <w:szCs w:val="24"/>
        </w:rPr>
        <w:t xml:space="preserve"> </w:t>
      </w:r>
    </w:p>
    <w:p w14:paraId="019DCC19" w14:textId="7DF28EDB" w:rsidR="004C3CD0" w:rsidRDefault="004C3CD0" w:rsidP="002F29AC">
      <w:pPr>
        <w:rPr>
          <w:rFonts w:ascii="Arial" w:hAnsi="Arial" w:cs="Arial"/>
          <w:sz w:val="24"/>
          <w:szCs w:val="24"/>
        </w:rPr>
      </w:pPr>
      <w:r>
        <w:rPr>
          <w:noProof/>
        </w:rPr>
        <w:drawing>
          <wp:inline distT="0" distB="0" distL="0" distR="0" wp14:anchorId="5D5F72B3" wp14:editId="423A76C6">
            <wp:extent cx="4025833" cy="3059294"/>
            <wp:effectExtent l="0" t="0" r="13335" b="8255"/>
            <wp:docPr id="1369828390" name="Chart 1" descr="Graph showing percentage of efficiency savings in 2022/23 of 6%, 2023/24 of 2.8%, 2024/25 of 8% and average of 5.6%compared to the target of 2%.">
              <a:extLst xmlns:a="http://schemas.openxmlformats.org/drawingml/2006/main">
                <a:ext uri="{FF2B5EF4-FFF2-40B4-BE49-F238E27FC236}">
                  <a16:creationId xmlns:a16="http://schemas.microsoft.com/office/drawing/2014/main" id="{B1C91ABD-F98B-4266-9F78-0BF2886C8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0F83A9" w14:textId="0EE58D62" w:rsidR="002F29AC" w:rsidRPr="006874FD" w:rsidRDefault="002F29AC" w:rsidP="002F29AC">
      <w:pPr>
        <w:rPr>
          <w:sz w:val="24"/>
          <w:szCs w:val="24"/>
        </w:rPr>
      </w:pPr>
      <w:r w:rsidRPr="006874FD">
        <w:rPr>
          <w:sz w:val="24"/>
          <w:szCs w:val="24"/>
        </w:rPr>
        <w:t xml:space="preserve">The </w:t>
      </w:r>
      <w:r w:rsidR="00812246" w:rsidRPr="006874FD">
        <w:rPr>
          <w:sz w:val="24"/>
          <w:szCs w:val="24"/>
        </w:rPr>
        <w:t>table below sets out efficiency and other savings (in £ and % of non</w:t>
      </w:r>
      <w:r w:rsidR="00E134FF" w:rsidRPr="006874FD">
        <w:rPr>
          <w:sz w:val="24"/>
          <w:szCs w:val="24"/>
        </w:rPr>
        <w:t>-</w:t>
      </w:r>
      <w:r w:rsidR="00812246" w:rsidRPr="006874FD">
        <w:rPr>
          <w:sz w:val="24"/>
          <w:szCs w:val="24"/>
        </w:rPr>
        <w:t xml:space="preserve">pay budgets) </w:t>
      </w:r>
      <w:r w:rsidR="00E134FF" w:rsidRPr="006874FD">
        <w:rPr>
          <w:sz w:val="24"/>
          <w:szCs w:val="24"/>
        </w:rPr>
        <w:t xml:space="preserve">planned to be achieved in 2024/25. </w:t>
      </w:r>
      <w:r w:rsidR="00AC7F6C" w:rsidRPr="006874FD">
        <w:rPr>
          <w:sz w:val="24"/>
          <w:szCs w:val="24"/>
        </w:rPr>
        <w:t>The m</w:t>
      </w:r>
      <w:r w:rsidR="00E134FF" w:rsidRPr="006874FD">
        <w:rPr>
          <w:sz w:val="24"/>
          <w:szCs w:val="24"/>
        </w:rPr>
        <w:t xml:space="preserve">ajor risks or barriers to delivery are </w:t>
      </w:r>
      <w:r w:rsidR="00AC7F6C" w:rsidRPr="006874FD">
        <w:rPr>
          <w:sz w:val="24"/>
          <w:szCs w:val="24"/>
        </w:rPr>
        <w:t>also included in the</w:t>
      </w:r>
      <w:r w:rsidR="00E134FF" w:rsidRPr="006874FD">
        <w:rPr>
          <w:sz w:val="24"/>
          <w:szCs w:val="24"/>
        </w:rPr>
        <w:t xml:space="preserve"> table</w:t>
      </w:r>
      <w:r w:rsidRPr="006874FD">
        <w:rPr>
          <w:sz w:val="24"/>
          <w:szCs w:val="24"/>
        </w:rPr>
        <w:t>:</w:t>
      </w:r>
    </w:p>
    <w:tbl>
      <w:tblPr>
        <w:tblW w:w="94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31"/>
        <w:gridCol w:w="1276"/>
        <w:gridCol w:w="1275"/>
        <w:gridCol w:w="3108"/>
      </w:tblGrid>
      <w:tr w:rsidR="00E134FF" w:rsidRPr="00E134FF" w14:paraId="040EFD7D" w14:textId="77777777" w:rsidTr="00B35E98">
        <w:trPr>
          <w:trHeight w:val="600"/>
        </w:trPr>
        <w:tc>
          <w:tcPr>
            <w:tcW w:w="2518" w:type="dxa"/>
            <w:shd w:val="clear" w:color="auto" w:fill="auto"/>
            <w:noWrap/>
            <w:vAlign w:val="center"/>
            <w:hideMark/>
          </w:tcPr>
          <w:p w14:paraId="0CBF1466" w14:textId="4E51D377" w:rsidR="00E134FF" w:rsidRPr="00385261" w:rsidRDefault="00E134FF" w:rsidP="00385261">
            <w:pPr>
              <w:pStyle w:val="NoSpacing"/>
              <w:rPr>
                <w:b/>
                <w:bCs/>
                <w:sz w:val="24"/>
                <w:szCs w:val="24"/>
              </w:rPr>
            </w:pPr>
            <w:r w:rsidRPr="00385261">
              <w:rPr>
                <w:b/>
                <w:bCs/>
                <w:sz w:val="24"/>
                <w:szCs w:val="24"/>
              </w:rPr>
              <w:t>Saving (including which area of spend</w:t>
            </w:r>
            <w:r w:rsidR="00641E15" w:rsidRPr="00385261">
              <w:rPr>
                <w:b/>
                <w:bCs/>
                <w:sz w:val="24"/>
                <w:szCs w:val="24"/>
              </w:rPr>
              <w:t>)</w:t>
            </w:r>
          </w:p>
        </w:tc>
        <w:tc>
          <w:tcPr>
            <w:tcW w:w="1231" w:type="dxa"/>
          </w:tcPr>
          <w:p w14:paraId="632ADE00" w14:textId="5DD90215" w:rsidR="00E134FF" w:rsidRPr="00385261" w:rsidRDefault="00E134FF" w:rsidP="00385261">
            <w:pPr>
              <w:pStyle w:val="NoSpacing"/>
              <w:rPr>
                <w:b/>
                <w:bCs/>
                <w:sz w:val="24"/>
                <w:szCs w:val="24"/>
              </w:rPr>
            </w:pPr>
            <w:r w:rsidRPr="00385261">
              <w:rPr>
                <w:b/>
                <w:bCs/>
                <w:sz w:val="24"/>
                <w:szCs w:val="24"/>
              </w:rPr>
              <w:t>Type of Saving</w:t>
            </w:r>
          </w:p>
        </w:tc>
        <w:tc>
          <w:tcPr>
            <w:tcW w:w="1276" w:type="dxa"/>
            <w:shd w:val="clear" w:color="auto" w:fill="auto"/>
            <w:vAlign w:val="center"/>
            <w:hideMark/>
          </w:tcPr>
          <w:p w14:paraId="197E4C12" w14:textId="1DBC7D97" w:rsidR="00E134FF" w:rsidRPr="00385261" w:rsidRDefault="00E134FF" w:rsidP="00385261">
            <w:pPr>
              <w:pStyle w:val="NoSpacing"/>
              <w:rPr>
                <w:b/>
                <w:bCs/>
                <w:sz w:val="24"/>
                <w:szCs w:val="24"/>
              </w:rPr>
            </w:pPr>
            <w:r w:rsidRPr="00385261">
              <w:rPr>
                <w:b/>
                <w:bCs/>
                <w:sz w:val="24"/>
                <w:szCs w:val="24"/>
              </w:rPr>
              <w:t>£’m</w:t>
            </w:r>
          </w:p>
        </w:tc>
        <w:tc>
          <w:tcPr>
            <w:tcW w:w="1275" w:type="dxa"/>
            <w:shd w:val="clear" w:color="auto" w:fill="auto"/>
            <w:vAlign w:val="center"/>
            <w:hideMark/>
          </w:tcPr>
          <w:p w14:paraId="1D391F2A" w14:textId="7A9B678D" w:rsidR="00E134FF" w:rsidRPr="00385261" w:rsidRDefault="00E134FF" w:rsidP="00385261">
            <w:pPr>
              <w:pStyle w:val="NoSpacing"/>
              <w:rPr>
                <w:b/>
                <w:bCs/>
                <w:sz w:val="24"/>
                <w:szCs w:val="24"/>
              </w:rPr>
            </w:pPr>
            <w:r w:rsidRPr="00385261">
              <w:rPr>
                <w:b/>
                <w:bCs/>
                <w:sz w:val="24"/>
                <w:szCs w:val="24"/>
              </w:rPr>
              <w:t xml:space="preserve">% of </w:t>
            </w:r>
            <w:proofErr w:type="gramStart"/>
            <w:r w:rsidRPr="00385261">
              <w:rPr>
                <w:b/>
                <w:bCs/>
                <w:sz w:val="24"/>
                <w:szCs w:val="24"/>
              </w:rPr>
              <w:t>Non-pay</w:t>
            </w:r>
            <w:proofErr w:type="gramEnd"/>
            <w:r w:rsidRPr="00385261">
              <w:rPr>
                <w:b/>
                <w:bCs/>
                <w:sz w:val="24"/>
                <w:szCs w:val="24"/>
              </w:rPr>
              <w:t xml:space="preserve"> budgets</w:t>
            </w:r>
          </w:p>
        </w:tc>
        <w:tc>
          <w:tcPr>
            <w:tcW w:w="3108" w:type="dxa"/>
            <w:shd w:val="clear" w:color="auto" w:fill="auto"/>
            <w:vAlign w:val="center"/>
            <w:hideMark/>
          </w:tcPr>
          <w:p w14:paraId="336D52D1" w14:textId="60A019C5" w:rsidR="00E134FF" w:rsidRPr="00385261" w:rsidRDefault="00641E15" w:rsidP="00385261">
            <w:pPr>
              <w:pStyle w:val="NoSpacing"/>
              <w:rPr>
                <w:b/>
                <w:bCs/>
                <w:sz w:val="24"/>
                <w:szCs w:val="24"/>
              </w:rPr>
            </w:pPr>
            <w:r w:rsidRPr="00385261">
              <w:rPr>
                <w:b/>
                <w:bCs/>
                <w:sz w:val="24"/>
                <w:szCs w:val="24"/>
              </w:rPr>
              <w:t>Narrative including major risks or barriers to delivery</w:t>
            </w:r>
          </w:p>
        </w:tc>
      </w:tr>
      <w:tr w:rsidR="00E134FF" w:rsidRPr="00385261" w14:paraId="0C0E56D3" w14:textId="77777777" w:rsidTr="00B35E98">
        <w:trPr>
          <w:trHeight w:val="300"/>
        </w:trPr>
        <w:tc>
          <w:tcPr>
            <w:tcW w:w="2518" w:type="dxa"/>
            <w:shd w:val="clear" w:color="auto" w:fill="auto"/>
            <w:noWrap/>
            <w:hideMark/>
          </w:tcPr>
          <w:p w14:paraId="4E1F448E" w14:textId="10C0528B" w:rsidR="00E134FF" w:rsidRPr="00385261" w:rsidRDefault="009127DC" w:rsidP="00385261">
            <w:pPr>
              <w:pStyle w:val="NoSpacing"/>
              <w:rPr>
                <w:sz w:val="24"/>
                <w:szCs w:val="24"/>
              </w:rPr>
            </w:pPr>
            <w:r w:rsidRPr="00385261">
              <w:rPr>
                <w:sz w:val="24"/>
                <w:szCs w:val="24"/>
              </w:rPr>
              <w:t>Reduction in the revenue contribution to the capital programme.</w:t>
            </w:r>
          </w:p>
        </w:tc>
        <w:tc>
          <w:tcPr>
            <w:tcW w:w="1231" w:type="dxa"/>
          </w:tcPr>
          <w:p w14:paraId="5F77C0EB" w14:textId="4CE48391" w:rsidR="00E134FF" w:rsidRPr="00385261" w:rsidRDefault="009127DC" w:rsidP="00385261">
            <w:pPr>
              <w:pStyle w:val="NoSpacing"/>
              <w:rPr>
                <w:sz w:val="24"/>
                <w:szCs w:val="24"/>
              </w:rPr>
            </w:pPr>
            <w:r w:rsidRPr="00385261">
              <w:rPr>
                <w:sz w:val="24"/>
                <w:szCs w:val="24"/>
              </w:rPr>
              <w:t>Cashable</w:t>
            </w:r>
          </w:p>
        </w:tc>
        <w:tc>
          <w:tcPr>
            <w:tcW w:w="1276" w:type="dxa"/>
            <w:shd w:val="clear" w:color="auto" w:fill="auto"/>
            <w:noWrap/>
          </w:tcPr>
          <w:p w14:paraId="2095D281" w14:textId="23B2B993" w:rsidR="00E134FF" w:rsidRPr="00385261" w:rsidRDefault="009127DC" w:rsidP="00385261">
            <w:pPr>
              <w:pStyle w:val="NoSpacing"/>
              <w:rPr>
                <w:sz w:val="24"/>
                <w:szCs w:val="24"/>
              </w:rPr>
            </w:pPr>
            <w:r w:rsidRPr="00385261">
              <w:rPr>
                <w:sz w:val="24"/>
                <w:szCs w:val="24"/>
              </w:rPr>
              <w:t>1.5</w:t>
            </w:r>
          </w:p>
        </w:tc>
        <w:tc>
          <w:tcPr>
            <w:tcW w:w="1275" w:type="dxa"/>
            <w:shd w:val="clear" w:color="auto" w:fill="auto"/>
            <w:noWrap/>
          </w:tcPr>
          <w:p w14:paraId="2EB96D51" w14:textId="6AEC9B52" w:rsidR="00E134FF" w:rsidRPr="00385261" w:rsidRDefault="009127DC" w:rsidP="00385261">
            <w:pPr>
              <w:pStyle w:val="NoSpacing"/>
              <w:rPr>
                <w:sz w:val="24"/>
                <w:szCs w:val="24"/>
              </w:rPr>
            </w:pPr>
            <w:r w:rsidRPr="00385261">
              <w:rPr>
                <w:sz w:val="24"/>
                <w:szCs w:val="24"/>
              </w:rPr>
              <w:t>8</w:t>
            </w:r>
          </w:p>
        </w:tc>
        <w:tc>
          <w:tcPr>
            <w:tcW w:w="3108" w:type="dxa"/>
            <w:shd w:val="clear" w:color="auto" w:fill="auto"/>
            <w:noWrap/>
          </w:tcPr>
          <w:p w14:paraId="1AA376B9" w14:textId="5436DCA7" w:rsidR="00E134FF" w:rsidRPr="00385261" w:rsidRDefault="009127DC" w:rsidP="00385261">
            <w:pPr>
              <w:pStyle w:val="NoSpacing"/>
              <w:rPr>
                <w:sz w:val="24"/>
                <w:szCs w:val="24"/>
              </w:rPr>
            </w:pPr>
            <w:r w:rsidRPr="00385261">
              <w:rPr>
                <w:sz w:val="24"/>
                <w:szCs w:val="24"/>
              </w:rPr>
              <w:t xml:space="preserve">The budgeted revenue contribution to the capital programme has been reduced from £4m to £2.5m in 2024/25. </w:t>
            </w:r>
          </w:p>
        </w:tc>
      </w:tr>
    </w:tbl>
    <w:p w14:paraId="1BE20867" w14:textId="0155DB27" w:rsidR="00AC7F6C" w:rsidRPr="006874FD" w:rsidRDefault="00AC7F6C" w:rsidP="002F29AC">
      <w:pPr>
        <w:rPr>
          <w:sz w:val="24"/>
          <w:szCs w:val="24"/>
        </w:rPr>
      </w:pPr>
      <w:r w:rsidRPr="006874FD">
        <w:rPr>
          <w:sz w:val="24"/>
          <w:szCs w:val="24"/>
        </w:rPr>
        <w:lastRenderedPageBreak/>
        <w:t xml:space="preserve">Commentary on efficiencies </w:t>
      </w:r>
      <w:r w:rsidR="00BB15E1" w:rsidRPr="006874FD">
        <w:rPr>
          <w:sz w:val="24"/>
          <w:szCs w:val="24"/>
        </w:rPr>
        <w:t xml:space="preserve">planned </w:t>
      </w:r>
      <w:r w:rsidRPr="006874FD">
        <w:rPr>
          <w:sz w:val="24"/>
          <w:szCs w:val="24"/>
        </w:rPr>
        <w:t xml:space="preserve">beyond 2024/25 </w:t>
      </w:r>
      <w:r w:rsidR="00BB15E1" w:rsidRPr="006874FD">
        <w:rPr>
          <w:sz w:val="24"/>
          <w:szCs w:val="24"/>
        </w:rPr>
        <w:t>is</w:t>
      </w:r>
      <w:r w:rsidRPr="006874FD">
        <w:rPr>
          <w:sz w:val="24"/>
          <w:szCs w:val="24"/>
        </w:rPr>
        <w:t xml:space="preserve"> included below</w:t>
      </w:r>
      <w:r w:rsidR="0083287D" w:rsidRPr="006874FD">
        <w:rPr>
          <w:sz w:val="24"/>
          <w:szCs w:val="24"/>
        </w:rPr>
        <w:t>; the estimates below represent a saving of 14% of the non-pay budget</w:t>
      </w:r>
      <w:r w:rsidRPr="006874FD">
        <w:rPr>
          <w:sz w:val="24"/>
          <w:szCs w:val="24"/>
        </w:rPr>
        <w:t>:</w:t>
      </w:r>
    </w:p>
    <w:p w14:paraId="0D8B9B6E" w14:textId="3F111DEB" w:rsidR="00AC7F6C" w:rsidRPr="00385261" w:rsidRDefault="006754AD" w:rsidP="00385261">
      <w:pPr>
        <w:pStyle w:val="ListParagraph"/>
        <w:numPr>
          <w:ilvl w:val="0"/>
          <w:numId w:val="26"/>
        </w:numPr>
        <w:rPr>
          <w:sz w:val="24"/>
          <w:szCs w:val="24"/>
        </w:rPr>
      </w:pPr>
      <w:r w:rsidRPr="00385261">
        <w:rPr>
          <w:sz w:val="24"/>
          <w:szCs w:val="24"/>
        </w:rPr>
        <w:t xml:space="preserve">Cashable efficiencies of £2.5m from 2026/27 are included in the </w:t>
      </w:r>
      <w:proofErr w:type="gramStart"/>
      <w:r w:rsidRPr="00385261">
        <w:rPr>
          <w:sz w:val="24"/>
          <w:szCs w:val="24"/>
        </w:rPr>
        <w:t>MTFS;</w:t>
      </w:r>
      <w:proofErr w:type="gramEnd"/>
    </w:p>
    <w:p w14:paraId="54BDB0AE" w14:textId="5565B9D4" w:rsidR="006754AD" w:rsidRPr="00385261" w:rsidRDefault="006754AD" w:rsidP="00385261">
      <w:pPr>
        <w:pStyle w:val="ListParagraph"/>
        <w:numPr>
          <w:ilvl w:val="0"/>
          <w:numId w:val="26"/>
        </w:numPr>
        <w:rPr>
          <w:sz w:val="24"/>
          <w:szCs w:val="24"/>
        </w:rPr>
      </w:pPr>
      <w:r w:rsidRPr="00385261">
        <w:rPr>
          <w:sz w:val="24"/>
          <w:szCs w:val="24"/>
        </w:rPr>
        <w:t xml:space="preserve">Both cashable and non-cash releasing savings are expected from a new combined Headquarters and Training </w:t>
      </w:r>
      <w:r w:rsidR="005453FB" w:rsidRPr="00385261">
        <w:rPr>
          <w:sz w:val="24"/>
          <w:szCs w:val="24"/>
        </w:rPr>
        <w:t xml:space="preserve">Facility from </w:t>
      </w:r>
      <w:proofErr w:type="gramStart"/>
      <w:r w:rsidR="005453FB" w:rsidRPr="00385261">
        <w:rPr>
          <w:sz w:val="24"/>
          <w:szCs w:val="24"/>
        </w:rPr>
        <w:t>2027</w:t>
      </w:r>
      <w:r w:rsidRPr="00385261">
        <w:rPr>
          <w:sz w:val="24"/>
          <w:szCs w:val="24"/>
        </w:rPr>
        <w:t>;</w:t>
      </w:r>
      <w:proofErr w:type="gramEnd"/>
      <w:r w:rsidRPr="00385261">
        <w:rPr>
          <w:sz w:val="24"/>
          <w:szCs w:val="24"/>
        </w:rPr>
        <w:t xml:space="preserve"> realising cashable energy, travel and maintenance savings and enabling </w:t>
      </w:r>
      <w:r w:rsidR="005453FB" w:rsidRPr="00385261">
        <w:rPr>
          <w:sz w:val="24"/>
          <w:szCs w:val="24"/>
        </w:rPr>
        <w:t xml:space="preserve">productivity and cultural improvements from the centralisation of many synergistic services and working in a more modern </w:t>
      </w:r>
      <w:r w:rsidR="5D2D6DC3" w:rsidRPr="00385261">
        <w:rPr>
          <w:sz w:val="24"/>
          <w:szCs w:val="24"/>
        </w:rPr>
        <w:t xml:space="preserve">and efficient operating </w:t>
      </w:r>
      <w:r w:rsidR="005453FB" w:rsidRPr="00385261">
        <w:rPr>
          <w:sz w:val="24"/>
          <w:szCs w:val="24"/>
        </w:rPr>
        <w:t>environment.</w:t>
      </w:r>
    </w:p>
    <w:p w14:paraId="6F6B0840" w14:textId="77777777" w:rsidR="005453FB" w:rsidRPr="00385261" w:rsidRDefault="005453FB" w:rsidP="00385261">
      <w:pPr>
        <w:pStyle w:val="ListParagraph"/>
        <w:numPr>
          <w:ilvl w:val="0"/>
          <w:numId w:val="26"/>
        </w:numPr>
        <w:rPr>
          <w:sz w:val="24"/>
          <w:szCs w:val="24"/>
        </w:rPr>
      </w:pPr>
      <w:r w:rsidRPr="00385261">
        <w:rPr>
          <w:sz w:val="24"/>
          <w:szCs w:val="24"/>
        </w:rPr>
        <w:t>Non cashable productivity efficiencies and potentially cashable efficiencies are expected from our investment in new Training Props from 2027; providing high quality facilities will help in the initial training and ongoing maintenance of competency requirements across a broad spectrum of operational activities.</w:t>
      </w:r>
    </w:p>
    <w:p w14:paraId="147B4577" w14:textId="1023F370" w:rsidR="005453FB" w:rsidRPr="00385261" w:rsidRDefault="30C45901" w:rsidP="00385261">
      <w:pPr>
        <w:pStyle w:val="ListParagraph"/>
        <w:numPr>
          <w:ilvl w:val="0"/>
          <w:numId w:val="26"/>
        </w:numPr>
        <w:rPr>
          <w:sz w:val="24"/>
          <w:szCs w:val="24"/>
        </w:rPr>
      </w:pPr>
      <w:r w:rsidRPr="00385261">
        <w:rPr>
          <w:sz w:val="24"/>
          <w:szCs w:val="24"/>
        </w:rPr>
        <w:t>A review of operational resources across the wider</w:t>
      </w:r>
      <w:r w:rsidR="00B03095" w:rsidRPr="00385261">
        <w:rPr>
          <w:sz w:val="24"/>
          <w:szCs w:val="24"/>
        </w:rPr>
        <w:t xml:space="preserve"> Preston</w:t>
      </w:r>
      <w:r w:rsidR="1016CB9A" w:rsidRPr="00385261">
        <w:rPr>
          <w:sz w:val="24"/>
          <w:szCs w:val="24"/>
        </w:rPr>
        <w:t xml:space="preserve"> area</w:t>
      </w:r>
      <w:r w:rsidR="00B03095" w:rsidRPr="00385261">
        <w:rPr>
          <w:sz w:val="24"/>
          <w:szCs w:val="24"/>
        </w:rPr>
        <w:t xml:space="preserve"> has commenced that is expected to result in c</w:t>
      </w:r>
      <w:r w:rsidR="005453FB" w:rsidRPr="00385261">
        <w:rPr>
          <w:sz w:val="24"/>
          <w:szCs w:val="24"/>
        </w:rPr>
        <w:t xml:space="preserve">ashable energy and maintenance efficiencies </w:t>
      </w:r>
      <w:r w:rsidR="00B03095" w:rsidRPr="00385261">
        <w:rPr>
          <w:sz w:val="24"/>
          <w:szCs w:val="24"/>
        </w:rPr>
        <w:t>and</w:t>
      </w:r>
      <w:r w:rsidR="005453FB" w:rsidRPr="00385261">
        <w:rPr>
          <w:sz w:val="24"/>
          <w:szCs w:val="24"/>
        </w:rPr>
        <w:t xml:space="preserve"> productivity improvements</w:t>
      </w:r>
      <w:r w:rsidR="00B03095" w:rsidRPr="00385261">
        <w:rPr>
          <w:sz w:val="24"/>
          <w:szCs w:val="24"/>
        </w:rPr>
        <w:t>,</w:t>
      </w:r>
      <w:r w:rsidR="005453FB" w:rsidRPr="00385261">
        <w:rPr>
          <w:sz w:val="24"/>
          <w:szCs w:val="24"/>
        </w:rPr>
        <w:t xml:space="preserve"> due to working in a more modern </w:t>
      </w:r>
      <w:r w:rsidR="10FC7ED2" w:rsidRPr="00385261">
        <w:rPr>
          <w:sz w:val="24"/>
          <w:szCs w:val="24"/>
        </w:rPr>
        <w:t xml:space="preserve">and </w:t>
      </w:r>
      <w:r w:rsidR="00E11EC3" w:rsidRPr="00385261">
        <w:rPr>
          <w:sz w:val="24"/>
          <w:szCs w:val="24"/>
        </w:rPr>
        <w:t>efficient</w:t>
      </w:r>
      <w:r w:rsidR="10FC7ED2" w:rsidRPr="00385261">
        <w:rPr>
          <w:sz w:val="24"/>
          <w:szCs w:val="24"/>
        </w:rPr>
        <w:t xml:space="preserve"> </w:t>
      </w:r>
      <w:r w:rsidR="005453FB" w:rsidRPr="00385261">
        <w:rPr>
          <w:sz w:val="24"/>
          <w:szCs w:val="24"/>
        </w:rPr>
        <w:t>environment</w:t>
      </w:r>
      <w:r w:rsidR="00B03095" w:rsidRPr="00385261">
        <w:rPr>
          <w:sz w:val="24"/>
          <w:szCs w:val="24"/>
        </w:rPr>
        <w:t xml:space="preserve">, from the </w:t>
      </w:r>
      <w:r w:rsidR="205D1437" w:rsidRPr="00385261">
        <w:rPr>
          <w:sz w:val="24"/>
          <w:szCs w:val="24"/>
        </w:rPr>
        <w:t xml:space="preserve">rebuild or </w:t>
      </w:r>
      <w:r w:rsidR="00B03095" w:rsidRPr="00385261">
        <w:rPr>
          <w:sz w:val="24"/>
          <w:szCs w:val="24"/>
        </w:rPr>
        <w:t>relocation of our Preston station in 2028/29.</w:t>
      </w:r>
    </w:p>
    <w:p w14:paraId="7DE7BB57" w14:textId="455B250B" w:rsidR="00AC7F6C" w:rsidRPr="006874FD" w:rsidRDefault="00AC7F6C" w:rsidP="002F29AC">
      <w:pPr>
        <w:rPr>
          <w:sz w:val="24"/>
          <w:szCs w:val="24"/>
        </w:rPr>
      </w:pPr>
      <w:r w:rsidRPr="006874FD">
        <w:rPr>
          <w:sz w:val="24"/>
          <w:szCs w:val="24"/>
        </w:rPr>
        <w:t>Efficiencies achieved since the Spending Review (from 2022/23) are set out below</w:t>
      </w:r>
      <w:r w:rsidR="00695AD2" w:rsidRPr="006874FD">
        <w:rPr>
          <w:sz w:val="24"/>
          <w:szCs w:val="24"/>
        </w:rPr>
        <w:t xml:space="preserve">, they total </w:t>
      </w:r>
      <w:r w:rsidR="0083287D" w:rsidRPr="006874FD">
        <w:rPr>
          <w:sz w:val="24"/>
          <w:szCs w:val="24"/>
        </w:rPr>
        <w:t xml:space="preserve">£1.4m, representing a saving of </w:t>
      </w:r>
      <w:r w:rsidR="00BB15E1" w:rsidRPr="006874FD">
        <w:rPr>
          <w:sz w:val="24"/>
          <w:szCs w:val="24"/>
        </w:rPr>
        <w:t>3% in 2023/24 and 6% in 2022/23</w:t>
      </w:r>
      <w:r w:rsidR="0083287D" w:rsidRPr="006874FD">
        <w:rPr>
          <w:sz w:val="24"/>
          <w:szCs w:val="24"/>
        </w:rPr>
        <w:t xml:space="preserve"> of the non-pay budget</w:t>
      </w:r>
      <w:r w:rsidRPr="006874FD">
        <w:rPr>
          <w:sz w:val="24"/>
          <w:szCs w:val="24"/>
        </w:rPr>
        <w:t>:</w:t>
      </w:r>
    </w:p>
    <w:p w14:paraId="2AFA6223" w14:textId="1C4A3AA0" w:rsidR="00695AD2" w:rsidRPr="00385261" w:rsidRDefault="00695AD2" w:rsidP="00385261">
      <w:pPr>
        <w:pStyle w:val="ListParagraph"/>
        <w:numPr>
          <w:ilvl w:val="0"/>
          <w:numId w:val="26"/>
        </w:numPr>
        <w:rPr>
          <w:sz w:val="24"/>
          <w:szCs w:val="24"/>
        </w:rPr>
      </w:pPr>
      <w:r w:rsidRPr="00385261">
        <w:rPr>
          <w:sz w:val="24"/>
          <w:szCs w:val="24"/>
        </w:rPr>
        <w:t xml:space="preserve">The Emergency Cover Review endorsed by the </w:t>
      </w:r>
      <w:r w:rsidR="5FF2AF63" w:rsidRPr="00385261">
        <w:rPr>
          <w:sz w:val="24"/>
          <w:szCs w:val="24"/>
        </w:rPr>
        <w:t>Lancashire Combined Fire Authority (</w:t>
      </w:r>
      <w:r w:rsidRPr="00385261">
        <w:rPr>
          <w:sz w:val="24"/>
          <w:szCs w:val="24"/>
        </w:rPr>
        <w:t>LCFA</w:t>
      </w:r>
      <w:r w:rsidR="701F66A1" w:rsidRPr="00385261">
        <w:rPr>
          <w:sz w:val="24"/>
          <w:szCs w:val="24"/>
        </w:rPr>
        <w:t>)</w:t>
      </w:r>
      <w:r w:rsidRPr="00385261">
        <w:rPr>
          <w:sz w:val="24"/>
          <w:szCs w:val="24"/>
        </w:rPr>
        <w:t xml:space="preserve"> in November 202</w:t>
      </w:r>
      <w:r w:rsidR="32FC2756" w:rsidRPr="00385261">
        <w:rPr>
          <w:sz w:val="24"/>
          <w:szCs w:val="24"/>
        </w:rPr>
        <w:t>2</w:t>
      </w:r>
      <w:r w:rsidRPr="00385261">
        <w:rPr>
          <w:sz w:val="24"/>
          <w:szCs w:val="24"/>
        </w:rPr>
        <w:t xml:space="preserve"> ensured that during </w:t>
      </w:r>
      <w:r w:rsidR="004C3CD0" w:rsidRPr="00385261">
        <w:rPr>
          <w:sz w:val="24"/>
          <w:szCs w:val="24"/>
        </w:rPr>
        <w:t xml:space="preserve">its implementation from 2023/24 </w:t>
      </w:r>
      <w:r w:rsidRPr="00385261">
        <w:rPr>
          <w:sz w:val="24"/>
          <w:szCs w:val="24"/>
        </w:rPr>
        <w:t>we:</w:t>
      </w:r>
    </w:p>
    <w:p w14:paraId="5790824F" w14:textId="2FE7DEFD" w:rsidR="00695AD2" w:rsidRPr="00385261" w:rsidRDefault="00695AD2" w:rsidP="00385261">
      <w:pPr>
        <w:pStyle w:val="ListParagraph"/>
        <w:numPr>
          <w:ilvl w:val="1"/>
          <w:numId w:val="26"/>
        </w:numPr>
        <w:rPr>
          <w:sz w:val="24"/>
          <w:szCs w:val="24"/>
        </w:rPr>
      </w:pPr>
      <w:r w:rsidRPr="00385261">
        <w:rPr>
          <w:sz w:val="24"/>
          <w:szCs w:val="24"/>
        </w:rPr>
        <w:t>Maintained all 39 fire stations.</w:t>
      </w:r>
    </w:p>
    <w:p w14:paraId="5DE3F6C0" w14:textId="6D50632D" w:rsidR="00695AD2" w:rsidRPr="00385261" w:rsidRDefault="00695AD2" w:rsidP="00385261">
      <w:pPr>
        <w:pStyle w:val="ListParagraph"/>
        <w:numPr>
          <w:ilvl w:val="1"/>
          <w:numId w:val="26"/>
        </w:numPr>
        <w:rPr>
          <w:sz w:val="24"/>
          <w:szCs w:val="24"/>
        </w:rPr>
      </w:pPr>
      <w:r w:rsidRPr="00385261">
        <w:rPr>
          <w:sz w:val="24"/>
          <w:szCs w:val="24"/>
        </w:rPr>
        <w:t>Maintain our outstanding response standards and all 58 fire appliances.</w:t>
      </w:r>
    </w:p>
    <w:p w14:paraId="0D7E0CBA" w14:textId="215D0616" w:rsidR="00695AD2" w:rsidRPr="00385261" w:rsidRDefault="00695AD2" w:rsidP="00385261">
      <w:pPr>
        <w:pStyle w:val="ListParagraph"/>
        <w:numPr>
          <w:ilvl w:val="1"/>
          <w:numId w:val="26"/>
        </w:numPr>
        <w:rPr>
          <w:sz w:val="24"/>
          <w:szCs w:val="24"/>
        </w:rPr>
      </w:pPr>
      <w:r w:rsidRPr="00385261">
        <w:rPr>
          <w:sz w:val="24"/>
          <w:szCs w:val="24"/>
        </w:rPr>
        <w:t>Provided cashable efficiency savings of £0.4m.</w:t>
      </w:r>
    </w:p>
    <w:p w14:paraId="4364E164" w14:textId="371EA2A7" w:rsidR="00695AD2" w:rsidRPr="00385261" w:rsidRDefault="00695AD2" w:rsidP="00385261">
      <w:pPr>
        <w:pStyle w:val="ListParagraph"/>
        <w:numPr>
          <w:ilvl w:val="1"/>
          <w:numId w:val="26"/>
        </w:numPr>
        <w:rPr>
          <w:sz w:val="24"/>
          <w:szCs w:val="24"/>
        </w:rPr>
      </w:pPr>
      <w:r w:rsidRPr="00385261">
        <w:rPr>
          <w:sz w:val="24"/>
          <w:szCs w:val="24"/>
        </w:rPr>
        <w:t>Increased the overall fire-fighter establishment by 8 and provide more flexible crewing arrangements.</w:t>
      </w:r>
    </w:p>
    <w:p w14:paraId="7FACA9BD" w14:textId="3E36B7BC" w:rsidR="00695AD2" w:rsidRPr="00385261" w:rsidRDefault="00695AD2" w:rsidP="00385261">
      <w:pPr>
        <w:pStyle w:val="ListParagraph"/>
        <w:numPr>
          <w:ilvl w:val="0"/>
          <w:numId w:val="26"/>
        </w:numPr>
        <w:rPr>
          <w:sz w:val="24"/>
          <w:szCs w:val="24"/>
        </w:rPr>
      </w:pPr>
      <w:r w:rsidRPr="00385261">
        <w:rPr>
          <w:sz w:val="24"/>
          <w:szCs w:val="24"/>
        </w:rPr>
        <w:t>Adjust pooled Personal Protective Equipment (PPE) budgets during 2022/23 to reflect lifecycle replacement requirements, realising £0.2m of cashable efficiency savings.</w:t>
      </w:r>
    </w:p>
    <w:p w14:paraId="5295863A" w14:textId="3C49B87F" w:rsidR="00695AD2" w:rsidRPr="00385261" w:rsidRDefault="00695AD2" w:rsidP="00385261">
      <w:pPr>
        <w:pStyle w:val="ListParagraph"/>
        <w:numPr>
          <w:ilvl w:val="0"/>
          <w:numId w:val="26"/>
        </w:numPr>
        <w:rPr>
          <w:sz w:val="24"/>
          <w:szCs w:val="24"/>
        </w:rPr>
      </w:pPr>
      <w:r w:rsidRPr="00385261">
        <w:rPr>
          <w:sz w:val="24"/>
          <w:szCs w:val="24"/>
        </w:rPr>
        <w:t xml:space="preserve">Reduced </w:t>
      </w:r>
      <w:proofErr w:type="gramStart"/>
      <w:r w:rsidRPr="00385261">
        <w:rPr>
          <w:sz w:val="24"/>
          <w:szCs w:val="24"/>
        </w:rPr>
        <w:t>the majority of</w:t>
      </w:r>
      <w:proofErr w:type="gramEnd"/>
      <w:r w:rsidRPr="00385261">
        <w:rPr>
          <w:sz w:val="24"/>
          <w:szCs w:val="24"/>
        </w:rPr>
        <w:t xml:space="preserve"> non-pay budgets by 2.5% during 2022/23 realising cashable efficiencies of £0.2m.</w:t>
      </w:r>
    </w:p>
    <w:p w14:paraId="6137046D" w14:textId="0B255616" w:rsidR="00695AD2" w:rsidRPr="00385261" w:rsidRDefault="00695AD2" w:rsidP="00385261">
      <w:pPr>
        <w:pStyle w:val="ListParagraph"/>
        <w:numPr>
          <w:ilvl w:val="0"/>
          <w:numId w:val="26"/>
        </w:numPr>
        <w:rPr>
          <w:sz w:val="24"/>
          <w:szCs w:val="24"/>
        </w:rPr>
      </w:pPr>
      <w:r w:rsidRPr="00385261">
        <w:rPr>
          <w:sz w:val="24"/>
          <w:szCs w:val="24"/>
        </w:rPr>
        <w:t>Reduced in car users/mileage budgets across all budgets, reflecting alternative ways of future working during 2022/23 realising cashable efficiencies of £0.3m.</w:t>
      </w:r>
    </w:p>
    <w:p w14:paraId="71C761A4" w14:textId="76996A7D" w:rsidR="00695AD2" w:rsidRPr="00385261" w:rsidRDefault="00695AD2" w:rsidP="00385261">
      <w:pPr>
        <w:pStyle w:val="ListParagraph"/>
        <w:numPr>
          <w:ilvl w:val="0"/>
          <w:numId w:val="26"/>
        </w:numPr>
        <w:rPr>
          <w:sz w:val="24"/>
          <w:szCs w:val="24"/>
        </w:rPr>
      </w:pPr>
      <w:r w:rsidRPr="00385261">
        <w:rPr>
          <w:sz w:val="24"/>
          <w:szCs w:val="24"/>
        </w:rPr>
        <w:t>Achieved cashable procurement savings of £0.3m during 2022/23.</w:t>
      </w:r>
    </w:p>
    <w:p w14:paraId="59B941AF" w14:textId="7C62EB58" w:rsidR="002F29AC" w:rsidRPr="006874FD" w:rsidRDefault="002F29AC" w:rsidP="006874FD">
      <w:pPr>
        <w:pStyle w:val="Heading2"/>
        <w:rPr>
          <w:rStyle w:val="normaltextrun"/>
          <w:b/>
          <w:bCs/>
          <w:color w:val="auto"/>
        </w:rPr>
      </w:pPr>
      <w:r w:rsidRPr="006874FD">
        <w:rPr>
          <w:rStyle w:val="normaltextrun"/>
          <w:b/>
          <w:bCs/>
          <w:color w:val="auto"/>
        </w:rPr>
        <w:t>Productivity</w:t>
      </w:r>
    </w:p>
    <w:p w14:paraId="650E64DE" w14:textId="1BFD61C6" w:rsidR="009C4FF0" w:rsidRPr="006874FD" w:rsidRDefault="009C4FF0" w:rsidP="006874FD">
      <w:pPr>
        <w:rPr>
          <w:sz w:val="24"/>
          <w:szCs w:val="24"/>
        </w:rPr>
      </w:pPr>
      <w:r w:rsidRPr="006874FD">
        <w:rPr>
          <w:sz w:val="24"/>
          <w:szCs w:val="24"/>
        </w:rPr>
        <w:t xml:space="preserve">As detailed in our 2023/24 </w:t>
      </w:r>
      <w:r w:rsidR="45ABB860" w:rsidRPr="006874FD">
        <w:rPr>
          <w:sz w:val="24"/>
          <w:szCs w:val="24"/>
        </w:rPr>
        <w:t>Plan</w:t>
      </w:r>
      <w:r w:rsidR="002F29AC" w:rsidRPr="006874FD">
        <w:rPr>
          <w:sz w:val="24"/>
          <w:szCs w:val="24"/>
        </w:rPr>
        <w:t xml:space="preserve">, </w:t>
      </w:r>
      <w:r w:rsidR="003C5450" w:rsidRPr="006874FD">
        <w:rPr>
          <w:sz w:val="24"/>
          <w:szCs w:val="24"/>
        </w:rPr>
        <w:t>Lancashire Fire and Rescue Service (LFRS)</w:t>
      </w:r>
      <w:r w:rsidR="002F29AC" w:rsidRPr="006874FD">
        <w:rPr>
          <w:sz w:val="24"/>
          <w:szCs w:val="24"/>
        </w:rPr>
        <w:t xml:space="preserve"> productivity improvements </w:t>
      </w:r>
      <w:r w:rsidRPr="006874FD">
        <w:rPr>
          <w:sz w:val="24"/>
          <w:szCs w:val="24"/>
        </w:rPr>
        <w:t xml:space="preserve">were to be largely framed around the volumes of </w:t>
      </w:r>
      <w:r w:rsidR="003C5450" w:rsidRPr="006874FD">
        <w:rPr>
          <w:sz w:val="24"/>
          <w:szCs w:val="24"/>
        </w:rPr>
        <w:t>Home Fire Safety Check</w:t>
      </w:r>
      <w:r w:rsidRPr="006874FD">
        <w:rPr>
          <w:sz w:val="24"/>
          <w:szCs w:val="24"/>
        </w:rPr>
        <w:t>s</w:t>
      </w:r>
      <w:r w:rsidR="003C5450" w:rsidRPr="006874FD">
        <w:rPr>
          <w:sz w:val="24"/>
          <w:szCs w:val="24"/>
        </w:rPr>
        <w:t xml:space="preserve"> (HFSC) and</w:t>
      </w:r>
      <w:r w:rsidR="002F29AC" w:rsidRPr="006874FD">
        <w:rPr>
          <w:sz w:val="24"/>
          <w:szCs w:val="24"/>
        </w:rPr>
        <w:t xml:space="preserve"> </w:t>
      </w:r>
      <w:r w:rsidR="003C5450" w:rsidRPr="006874FD">
        <w:rPr>
          <w:sz w:val="24"/>
          <w:szCs w:val="24"/>
        </w:rPr>
        <w:t>Business Fire Safety Check</w:t>
      </w:r>
      <w:r w:rsidRPr="006874FD">
        <w:rPr>
          <w:sz w:val="24"/>
          <w:szCs w:val="24"/>
        </w:rPr>
        <w:t>s</w:t>
      </w:r>
      <w:r w:rsidR="003C5450" w:rsidRPr="006874FD">
        <w:rPr>
          <w:sz w:val="24"/>
          <w:szCs w:val="24"/>
        </w:rPr>
        <w:t xml:space="preserve"> (</w:t>
      </w:r>
      <w:r w:rsidR="002F29AC" w:rsidRPr="006874FD">
        <w:rPr>
          <w:sz w:val="24"/>
          <w:szCs w:val="24"/>
        </w:rPr>
        <w:t>BFSC</w:t>
      </w:r>
      <w:r w:rsidR="003C5450" w:rsidRPr="006874FD">
        <w:rPr>
          <w:sz w:val="24"/>
          <w:szCs w:val="24"/>
        </w:rPr>
        <w:t>)</w:t>
      </w:r>
      <w:r w:rsidR="002F29AC" w:rsidRPr="006874FD">
        <w:rPr>
          <w:sz w:val="24"/>
          <w:szCs w:val="24"/>
        </w:rPr>
        <w:t xml:space="preserve"> </w:t>
      </w:r>
      <w:r w:rsidRPr="006874FD">
        <w:rPr>
          <w:sz w:val="24"/>
          <w:szCs w:val="24"/>
        </w:rPr>
        <w:t>delivered</w:t>
      </w:r>
      <w:r w:rsidR="002F29AC" w:rsidRPr="006874FD">
        <w:rPr>
          <w:sz w:val="24"/>
          <w:szCs w:val="24"/>
        </w:rPr>
        <w:t>, alongside completion of training and increases in operational activity linked to new work areas in support of other agencies.</w:t>
      </w:r>
      <w:r w:rsidR="18B53053" w:rsidRPr="006874FD">
        <w:rPr>
          <w:sz w:val="24"/>
          <w:szCs w:val="24"/>
        </w:rPr>
        <w:t xml:space="preserve"> </w:t>
      </w:r>
      <w:r w:rsidR="00254C79" w:rsidRPr="006874FD">
        <w:rPr>
          <w:sz w:val="24"/>
          <w:szCs w:val="24"/>
        </w:rPr>
        <w:t xml:space="preserve"> </w:t>
      </w:r>
      <w:r w:rsidR="18B53053" w:rsidRPr="006874FD">
        <w:rPr>
          <w:sz w:val="24"/>
          <w:szCs w:val="24"/>
        </w:rPr>
        <w:t xml:space="preserve">It is anticipated that such productivity increases will lead to safer communities and </w:t>
      </w:r>
      <w:r w:rsidR="00657ADD" w:rsidRPr="006874FD">
        <w:rPr>
          <w:sz w:val="24"/>
          <w:szCs w:val="24"/>
        </w:rPr>
        <w:t xml:space="preserve">improved </w:t>
      </w:r>
      <w:r w:rsidR="18B53053" w:rsidRPr="006874FD">
        <w:rPr>
          <w:sz w:val="24"/>
          <w:szCs w:val="24"/>
        </w:rPr>
        <w:t>business safety across the county.</w:t>
      </w:r>
    </w:p>
    <w:p w14:paraId="1D46E345" w14:textId="5C915A59" w:rsidR="009C4FF0" w:rsidRPr="006874FD" w:rsidRDefault="009C4FF0" w:rsidP="006874FD">
      <w:pPr>
        <w:rPr>
          <w:sz w:val="24"/>
          <w:szCs w:val="24"/>
        </w:rPr>
      </w:pPr>
      <w:r w:rsidRPr="006874FD">
        <w:rPr>
          <w:sz w:val="24"/>
          <w:szCs w:val="24"/>
        </w:rPr>
        <w:lastRenderedPageBreak/>
        <w:t>We are pleased to report that the last 12 months has seen output gains in aspects of Prevention and Protection activity, commensurate with the broader ambition of a 3% increase.</w:t>
      </w:r>
      <w:r w:rsidR="00E56631" w:rsidRPr="006874FD">
        <w:rPr>
          <w:sz w:val="24"/>
          <w:szCs w:val="24"/>
        </w:rPr>
        <w:t xml:space="preserve">  Tangible outputs increased</w:t>
      </w:r>
      <w:r w:rsidR="00254C79" w:rsidRPr="006874FD">
        <w:rPr>
          <w:sz w:val="24"/>
          <w:szCs w:val="24"/>
        </w:rPr>
        <w:t xml:space="preserve"> </w:t>
      </w:r>
      <w:r w:rsidR="00E56631" w:rsidRPr="006874FD">
        <w:rPr>
          <w:sz w:val="24"/>
          <w:szCs w:val="24"/>
        </w:rPr>
        <w:t xml:space="preserve">from </w:t>
      </w:r>
      <w:r w:rsidR="00254C79" w:rsidRPr="006874FD">
        <w:rPr>
          <w:sz w:val="24"/>
          <w:szCs w:val="24"/>
        </w:rPr>
        <w:t>22,375</w:t>
      </w:r>
      <w:r w:rsidR="00E56631" w:rsidRPr="006874FD">
        <w:rPr>
          <w:sz w:val="24"/>
          <w:szCs w:val="24"/>
        </w:rPr>
        <w:t xml:space="preserve"> combined HFSC &amp; BFSC in 22/23, to 22</w:t>
      </w:r>
      <w:r w:rsidR="00254C79" w:rsidRPr="006874FD">
        <w:rPr>
          <w:sz w:val="24"/>
          <w:szCs w:val="24"/>
        </w:rPr>
        <w:t>,715</w:t>
      </w:r>
      <w:r w:rsidR="00E56631" w:rsidRPr="006874FD">
        <w:rPr>
          <w:sz w:val="24"/>
          <w:szCs w:val="24"/>
        </w:rPr>
        <w:t xml:space="preserve"> combined </w:t>
      </w:r>
      <w:r w:rsidR="00254C79" w:rsidRPr="006874FD">
        <w:rPr>
          <w:sz w:val="24"/>
          <w:szCs w:val="24"/>
        </w:rPr>
        <w:t xml:space="preserve">year-to-date (11 months) </w:t>
      </w:r>
      <w:r w:rsidR="00E56631" w:rsidRPr="006874FD">
        <w:rPr>
          <w:sz w:val="24"/>
          <w:szCs w:val="24"/>
        </w:rPr>
        <w:t>for 23/24.</w:t>
      </w:r>
      <w:r w:rsidR="00254C79" w:rsidRPr="006874FD">
        <w:rPr>
          <w:sz w:val="24"/>
          <w:szCs w:val="24"/>
        </w:rPr>
        <w:t xml:space="preserve">  We anticipate that the </w:t>
      </w:r>
      <w:r w:rsidR="00657ADD" w:rsidRPr="006874FD">
        <w:rPr>
          <w:sz w:val="24"/>
          <w:szCs w:val="24"/>
        </w:rPr>
        <w:t>year-end</w:t>
      </w:r>
      <w:r w:rsidR="00254C79" w:rsidRPr="006874FD">
        <w:rPr>
          <w:sz w:val="24"/>
          <w:szCs w:val="24"/>
        </w:rPr>
        <w:t xml:space="preserve"> position will be c.24,700</w:t>
      </w:r>
      <w:r w:rsidR="00155DAD" w:rsidRPr="006874FD">
        <w:rPr>
          <w:sz w:val="24"/>
          <w:szCs w:val="24"/>
        </w:rPr>
        <w:t xml:space="preserve"> interventions</w:t>
      </w:r>
      <w:r w:rsidR="00254C79" w:rsidRPr="006874FD">
        <w:rPr>
          <w:sz w:val="24"/>
          <w:szCs w:val="24"/>
        </w:rPr>
        <w:t>.</w:t>
      </w:r>
      <w:r w:rsidR="00E56631" w:rsidRPr="006874FD">
        <w:rPr>
          <w:sz w:val="24"/>
          <w:szCs w:val="24"/>
        </w:rPr>
        <w:t xml:space="preserve"> </w:t>
      </w:r>
    </w:p>
    <w:p w14:paraId="12EAE71F" w14:textId="67A7FAE1" w:rsidR="002F29AC" w:rsidRPr="006874FD" w:rsidRDefault="003132F2" w:rsidP="006874FD">
      <w:pPr>
        <w:rPr>
          <w:sz w:val="24"/>
          <w:szCs w:val="24"/>
        </w:rPr>
      </w:pPr>
      <w:r w:rsidRPr="006874FD">
        <w:rPr>
          <w:sz w:val="24"/>
          <w:szCs w:val="24"/>
        </w:rPr>
        <w:t>The Service has also achieved a reduction in Unwanted Fire Signal mobilisations (AFA’s) with the move to 24-hour adoption of a policy change being approved by the CFA and implemented from Spring 2023.  Reducing unwanted and unnecessary mobilisations to premises types covered by the policy change and disruption to operational crews has been calculated as an efficiency saving in the region of 1241 hours over the last 11</w:t>
      </w:r>
      <w:r w:rsidR="0061357F" w:rsidRPr="006874FD">
        <w:rPr>
          <w:sz w:val="24"/>
          <w:szCs w:val="24"/>
        </w:rPr>
        <w:t>-</w:t>
      </w:r>
      <w:r w:rsidRPr="006874FD">
        <w:rPr>
          <w:sz w:val="24"/>
          <w:szCs w:val="24"/>
        </w:rPr>
        <w:t>month period which has undoubtedly supported the increase in P&amp;P delivery.</w:t>
      </w:r>
    </w:p>
    <w:p w14:paraId="5D6BE87F" w14:textId="0DF6DE99" w:rsidR="009E16DA" w:rsidRPr="006874FD" w:rsidRDefault="009E16DA" w:rsidP="006874FD">
      <w:pPr>
        <w:pStyle w:val="Heading1"/>
        <w:rPr>
          <w:rStyle w:val="normaltextrun"/>
          <w:b/>
          <w:bCs/>
        </w:rPr>
      </w:pPr>
      <w:r w:rsidRPr="006874FD">
        <w:rPr>
          <w:rStyle w:val="normaltextrun"/>
          <w:b/>
          <w:bCs/>
        </w:rPr>
        <w:t>Section 2: Secondary information</w:t>
      </w:r>
    </w:p>
    <w:p w14:paraId="170A57D4" w14:textId="20E97CEF" w:rsidR="009E16DA" w:rsidRPr="006874FD" w:rsidRDefault="009E16DA" w:rsidP="006874FD">
      <w:pPr>
        <w:pStyle w:val="Heading2"/>
        <w:rPr>
          <w:rStyle w:val="normaltextrun"/>
          <w:b/>
          <w:bCs/>
          <w:color w:val="auto"/>
        </w:rPr>
      </w:pPr>
      <w:r w:rsidRPr="006874FD">
        <w:rPr>
          <w:rStyle w:val="normaltextrun"/>
          <w:b/>
          <w:bCs/>
          <w:color w:val="auto"/>
        </w:rPr>
        <w:t>Collaboration</w:t>
      </w:r>
    </w:p>
    <w:p w14:paraId="0B350FA5" w14:textId="11E809D8" w:rsidR="00025D24" w:rsidRPr="006874FD" w:rsidRDefault="003C5450" w:rsidP="006874FD">
      <w:pPr>
        <w:rPr>
          <w:sz w:val="24"/>
          <w:szCs w:val="24"/>
        </w:rPr>
      </w:pPr>
      <w:r w:rsidRPr="006874FD">
        <w:rPr>
          <w:sz w:val="24"/>
          <w:szCs w:val="24"/>
        </w:rPr>
        <w:t>LFRS</w:t>
      </w:r>
      <w:r w:rsidR="00025D24" w:rsidRPr="006874FD">
        <w:rPr>
          <w:sz w:val="24"/>
          <w:szCs w:val="24"/>
        </w:rPr>
        <w:t xml:space="preserve"> has a long tradition of partnership working and was able to demonstrate that in exceptional ways throughout the Covid-19 pandemic, working tirelessly with partners to delivery life critical vaccinations across the county. As a key partner of the Lancashire Resilience Forum (LRF), </w:t>
      </w:r>
      <w:r w:rsidR="470B2E87" w:rsidRPr="006874FD">
        <w:rPr>
          <w:sz w:val="24"/>
          <w:szCs w:val="24"/>
        </w:rPr>
        <w:t xml:space="preserve">our Deputy Chief Fire Officer </w:t>
      </w:r>
      <w:r w:rsidR="59AC8677" w:rsidRPr="006874FD">
        <w:rPr>
          <w:sz w:val="24"/>
          <w:szCs w:val="24"/>
        </w:rPr>
        <w:t xml:space="preserve">(DCFO) </w:t>
      </w:r>
      <w:r w:rsidR="470B2E87" w:rsidRPr="006874FD">
        <w:rPr>
          <w:sz w:val="24"/>
          <w:szCs w:val="24"/>
        </w:rPr>
        <w:t xml:space="preserve">is the current Chair and </w:t>
      </w:r>
      <w:r w:rsidR="00025D24" w:rsidRPr="006874FD">
        <w:rPr>
          <w:sz w:val="24"/>
          <w:szCs w:val="24"/>
        </w:rPr>
        <w:t xml:space="preserve">the Service is linked in with </w:t>
      </w:r>
      <w:r w:rsidRPr="006874FD">
        <w:rPr>
          <w:sz w:val="24"/>
          <w:szCs w:val="24"/>
        </w:rPr>
        <w:t xml:space="preserve">strategic </w:t>
      </w:r>
      <w:r w:rsidR="00025D24" w:rsidRPr="006874FD">
        <w:rPr>
          <w:sz w:val="24"/>
          <w:szCs w:val="24"/>
        </w:rPr>
        <w:t xml:space="preserve">partners to deliver efficient and effective prevention, </w:t>
      </w:r>
      <w:r w:rsidR="005927AC" w:rsidRPr="006874FD">
        <w:rPr>
          <w:sz w:val="24"/>
          <w:szCs w:val="24"/>
        </w:rPr>
        <w:t>protection,</w:t>
      </w:r>
      <w:r w:rsidR="00025D24" w:rsidRPr="006874FD">
        <w:rPr>
          <w:sz w:val="24"/>
          <w:szCs w:val="24"/>
        </w:rPr>
        <w:t xml:space="preserve"> and response services to Lancashire communities, whilst at the same time ensuring that these services are delivered in the most productive manner, using the available knowledge and skills of ourselves and partner agencies. </w:t>
      </w:r>
    </w:p>
    <w:p w14:paraId="0A8D06F0" w14:textId="4E3EB7C6" w:rsidR="00A200D9" w:rsidRPr="006874FD" w:rsidRDefault="005526FE" w:rsidP="005526FE">
      <w:pPr>
        <w:rPr>
          <w:sz w:val="24"/>
          <w:szCs w:val="24"/>
        </w:rPr>
      </w:pPr>
      <w:r w:rsidRPr="006874FD">
        <w:rPr>
          <w:b/>
          <w:bCs/>
          <w:sz w:val="24"/>
          <w:szCs w:val="24"/>
        </w:rPr>
        <w:t xml:space="preserve">Lancashire </w:t>
      </w:r>
      <w:r w:rsidR="00A200D9" w:rsidRPr="006874FD">
        <w:rPr>
          <w:b/>
          <w:bCs/>
          <w:sz w:val="24"/>
          <w:szCs w:val="24"/>
        </w:rPr>
        <w:t>Blue Light Collaboration Board</w:t>
      </w:r>
      <w:r w:rsidR="007F1752" w:rsidRPr="006874FD">
        <w:rPr>
          <w:sz w:val="24"/>
          <w:szCs w:val="24"/>
        </w:rPr>
        <w:t xml:space="preserve"> </w:t>
      </w:r>
      <w:r w:rsidR="49D377B3" w:rsidRPr="006874FD">
        <w:rPr>
          <w:sz w:val="24"/>
          <w:szCs w:val="24"/>
        </w:rPr>
        <w:t>includes representation from</w:t>
      </w:r>
      <w:r w:rsidR="00A200D9" w:rsidRPr="006874FD">
        <w:rPr>
          <w:sz w:val="24"/>
          <w:szCs w:val="24"/>
        </w:rPr>
        <w:t xml:space="preserve"> Fire, Police and Ambulance Service</w:t>
      </w:r>
      <w:r w:rsidR="2A7B6ABF" w:rsidRPr="006874FD">
        <w:rPr>
          <w:sz w:val="24"/>
          <w:szCs w:val="24"/>
        </w:rPr>
        <w:t>, who</w:t>
      </w:r>
      <w:r w:rsidR="00A200D9" w:rsidRPr="006874FD">
        <w:rPr>
          <w:sz w:val="24"/>
          <w:szCs w:val="24"/>
        </w:rPr>
        <w:t xml:space="preserve"> </w:t>
      </w:r>
      <w:r w:rsidR="001F1811" w:rsidRPr="006874FD">
        <w:rPr>
          <w:sz w:val="24"/>
          <w:szCs w:val="24"/>
        </w:rPr>
        <w:t xml:space="preserve">have all </w:t>
      </w:r>
      <w:r w:rsidR="00A200D9" w:rsidRPr="006874FD">
        <w:rPr>
          <w:sz w:val="24"/>
          <w:szCs w:val="24"/>
        </w:rPr>
        <w:t>signed a strategic statement of intent which contain</w:t>
      </w:r>
      <w:r w:rsidR="001F1811" w:rsidRPr="006874FD">
        <w:rPr>
          <w:sz w:val="24"/>
          <w:szCs w:val="24"/>
        </w:rPr>
        <w:t>s</w:t>
      </w:r>
      <w:r w:rsidR="00A200D9" w:rsidRPr="006874FD">
        <w:rPr>
          <w:sz w:val="24"/>
          <w:szCs w:val="24"/>
        </w:rPr>
        <w:t xml:space="preserve"> the following aims: </w:t>
      </w:r>
    </w:p>
    <w:p w14:paraId="5F4FDAD6" w14:textId="77777777" w:rsidR="00A200D9" w:rsidRPr="00385261" w:rsidRDefault="00A200D9" w:rsidP="00385261">
      <w:pPr>
        <w:pStyle w:val="ListParagraph"/>
        <w:numPr>
          <w:ilvl w:val="0"/>
          <w:numId w:val="26"/>
        </w:numPr>
        <w:rPr>
          <w:sz w:val="24"/>
          <w:szCs w:val="24"/>
        </w:rPr>
      </w:pPr>
      <w:r w:rsidRPr="00385261">
        <w:rPr>
          <w:sz w:val="24"/>
          <w:szCs w:val="24"/>
        </w:rPr>
        <w:t>Improve Outcomes</w:t>
      </w:r>
    </w:p>
    <w:p w14:paraId="158B1FAF" w14:textId="77777777" w:rsidR="00A200D9" w:rsidRPr="00385261" w:rsidRDefault="00A200D9" w:rsidP="00385261">
      <w:pPr>
        <w:pStyle w:val="ListParagraph"/>
        <w:numPr>
          <w:ilvl w:val="0"/>
          <w:numId w:val="26"/>
        </w:numPr>
        <w:rPr>
          <w:sz w:val="24"/>
          <w:szCs w:val="24"/>
        </w:rPr>
      </w:pPr>
      <w:r w:rsidRPr="00385261">
        <w:rPr>
          <w:sz w:val="24"/>
          <w:szCs w:val="24"/>
        </w:rPr>
        <w:t>Reduce Demand</w:t>
      </w:r>
    </w:p>
    <w:p w14:paraId="154B2B2F" w14:textId="77777777" w:rsidR="00A200D9" w:rsidRPr="00385261" w:rsidRDefault="00A200D9" w:rsidP="00385261">
      <w:pPr>
        <w:pStyle w:val="ListParagraph"/>
        <w:numPr>
          <w:ilvl w:val="0"/>
          <w:numId w:val="26"/>
        </w:numPr>
        <w:rPr>
          <w:sz w:val="24"/>
          <w:szCs w:val="24"/>
        </w:rPr>
      </w:pPr>
      <w:r w:rsidRPr="00385261">
        <w:rPr>
          <w:sz w:val="24"/>
          <w:szCs w:val="24"/>
        </w:rPr>
        <w:t>Better Value for Money</w:t>
      </w:r>
    </w:p>
    <w:p w14:paraId="7FC45CCC" w14:textId="77777777" w:rsidR="00A200D9" w:rsidRPr="00385261" w:rsidRDefault="00A200D9" w:rsidP="00385261">
      <w:pPr>
        <w:pStyle w:val="ListParagraph"/>
        <w:numPr>
          <w:ilvl w:val="0"/>
          <w:numId w:val="26"/>
        </w:numPr>
        <w:rPr>
          <w:sz w:val="24"/>
          <w:szCs w:val="24"/>
        </w:rPr>
      </w:pPr>
      <w:r w:rsidRPr="00385261">
        <w:rPr>
          <w:sz w:val="24"/>
          <w:szCs w:val="24"/>
        </w:rPr>
        <w:t>Reduce inequalities within communities.</w:t>
      </w:r>
    </w:p>
    <w:p w14:paraId="7FED2FAE" w14:textId="1030AC95" w:rsidR="00B85DBE" w:rsidRPr="006874FD" w:rsidRDefault="00B85DBE" w:rsidP="006874FD">
      <w:pPr>
        <w:rPr>
          <w:sz w:val="24"/>
          <w:szCs w:val="24"/>
        </w:rPr>
      </w:pPr>
      <w:r w:rsidRPr="006874FD">
        <w:rPr>
          <w:b/>
          <w:bCs/>
          <w:sz w:val="24"/>
          <w:szCs w:val="24"/>
        </w:rPr>
        <w:t>Collaboration Projects</w:t>
      </w:r>
      <w:r w:rsidRPr="006874FD">
        <w:rPr>
          <w:sz w:val="24"/>
          <w:szCs w:val="24"/>
        </w:rPr>
        <w:t xml:space="preserve"> to date have delivered improved community outcomes and commensurate increases in operational </w:t>
      </w:r>
      <w:r w:rsidR="00A200D9" w:rsidRPr="006874FD">
        <w:rPr>
          <w:sz w:val="24"/>
          <w:szCs w:val="24"/>
        </w:rPr>
        <w:t xml:space="preserve">response </w:t>
      </w:r>
      <w:r w:rsidRPr="006874FD">
        <w:rPr>
          <w:sz w:val="24"/>
          <w:szCs w:val="24"/>
        </w:rPr>
        <w:t>activity</w:t>
      </w:r>
      <w:r w:rsidR="005526FE" w:rsidRPr="006874FD">
        <w:rPr>
          <w:sz w:val="24"/>
          <w:szCs w:val="24"/>
        </w:rPr>
        <w:t>, ensuring the right blue light agency can respond effectively to deliver the best outcomes</w:t>
      </w:r>
      <w:r w:rsidRPr="006874FD">
        <w:rPr>
          <w:sz w:val="24"/>
          <w:szCs w:val="24"/>
        </w:rPr>
        <w:t xml:space="preserve">: </w:t>
      </w:r>
    </w:p>
    <w:p w14:paraId="3C735CF3" w14:textId="77777777" w:rsidR="005326E0" w:rsidRPr="006874FD" w:rsidRDefault="005326E0" w:rsidP="00385261">
      <w:pPr>
        <w:pStyle w:val="ListParagraph"/>
        <w:numPr>
          <w:ilvl w:val="0"/>
          <w:numId w:val="26"/>
        </w:numPr>
        <w:rPr>
          <w:sz w:val="24"/>
          <w:szCs w:val="24"/>
        </w:rPr>
      </w:pPr>
    </w:p>
    <w:p w14:paraId="216E2931" w14:textId="00EA8FB2" w:rsidR="00E97E9E" w:rsidRPr="00385261" w:rsidRDefault="00E97E9E" w:rsidP="00385261">
      <w:pPr>
        <w:pStyle w:val="ListParagraph"/>
        <w:numPr>
          <w:ilvl w:val="0"/>
          <w:numId w:val="26"/>
        </w:numPr>
        <w:rPr>
          <w:sz w:val="24"/>
          <w:szCs w:val="24"/>
        </w:rPr>
      </w:pPr>
      <w:r w:rsidRPr="00385261">
        <w:rPr>
          <w:sz w:val="24"/>
          <w:szCs w:val="24"/>
        </w:rPr>
        <w:t xml:space="preserve">Joint PFI scheme with Merseyside and Cumbria Fire Services to deliver 16 stations across the 3 Authorities (4 of which are in Lancashire), the largest Fire specific PFI scheme agreed at that point in time (estimated capital value of </w:t>
      </w:r>
      <w:r w:rsidR="00390622" w:rsidRPr="00385261">
        <w:rPr>
          <w:sz w:val="24"/>
          <w:szCs w:val="24"/>
        </w:rPr>
        <w:t>£</w:t>
      </w:r>
      <w:r w:rsidRPr="00385261">
        <w:rPr>
          <w:sz w:val="24"/>
          <w:szCs w:val="24"/>
        </w:rPr>
        <w:t>48m).</w:t>
      </w:r>
    </w:p>
    <w:p w14:paraId="1ABAF9A0" w14:textId="41974A39" w:rsidR="002F29AC" w:rsidRPr="00385261" w:rsidRDefault="00D73B9D" w:rsidP="00385261">
      <w:pPr>
        <w:pStyle w:val="ListParagraph"/>
        <w:numPr>
          <w:ilvl w:val="0"/>
          <w:numId w:val="26"/>
        </w:numPr>
        <w:rPr>
          <w:sz w:val="24"/>
          <w:szCs w:val="24"/>
        </w:rPr>
      </w:pPr>
      <w:bookmarkStart w:id="0" w:name="_Hlk160532469"/>
      <w:r w:rsidRPr="00385261">
        <w:rPr>
          <w:sz w:val="24"/>
          <w:szCs w:val="24"/>
        </w:rPr>
        <w:t>Combined Fire and Ambulance station</w:t>
      </w:r>
      <w:r w:rsidR="002F29AC" w:rsidRPr="00385261">
        <w:rPr>
          <w:sz w:val="24"/>
          <w:szCs w:val="24"/>
        </w:rPr>
        <w:t>s</w:t>
      </w:r>
      <w:r w:rsidRPr="00385261">
        <w:rPr>
          <w:sz w:val="24"/>
          <w:szCs w:val="24"/>
        </w:rPr>
        <w:t xml:space="preserve"> at </w:t>
      </w:r>
      <w:r w:rsidR="002F29AC" w:rsidRPr="00385261">
        <w:rPr>
          <w:sz w:val="24"/>
          <w:szCs w:val="24"/>
        </w:rPr>
        <w:t xml:space="preserve">Darwen and at </w:t>
      </w:r>
      <w:r w:rsidRPr="00385261">
        <w:rPr>
          <w:sz w:val="24"/>
          <w:szCs w:val="24"/>
        </w:rPr>
        <w:t>Lancaster</w:t>
      </w:r>
      <w:r w:rsidR="00186AC0" w:rsidRPr="00385261">
        <w:rPr>
          <w:sz w:val="24"/>
          <w:szCs w:val="24"/>
        </w:rPr>
        <w:t>;</w:t>
      </w:r>
      <w:r w:rsidR="002F29AC" w:rsidRPr="00385261">
        <w:rPr>
          <w:sz w:val="24"/>
          <w:szCs w:val="24"/>
        </w:rPr>
        <w:t xml:space="preserve"> this provides rental income to the </w:t>
      </w:r>
      <w:r w:rsidR="003C5450" w:rsidRPr="00385261">
        <w:rPr>
          <w:sz w:val="24"/>
          <w:szCs w:val="24"/>
        </w:rPr>
        <w:t>Authority</w:t>
      </w:r>
      <w:r w:rsidR="002F29AC" w:rsidRPr="00385261">
        <w:rPr>
          <w:sz w:val="24"/>
          <w:szCs w:val="24"/>
        </w:rPr>
        <w:t xml:space="preserve"> (</w:t>
      </w:r>
      <w:r w:rsidR="6A53312E" w:rsidRPr="00385261">
        <w:rPr>
          <w:sz w:val="24"/>
          <w:szCs w:val="24"/>
        </w:rPr>
        <w:t>c</w:t>
      </w:r>
      <w:r w:rsidR="00DF63E9" w:rsidRPr="00385261">
        <w:rPr>
          <w:sz w:val="24"/>
          <w:szCs w:val="24"/>
        </w:rPr>
        <w:t>.</w:t>
      </w:r>
      <w:r w:rsidR="6A53312E" w:rsidRPr="00385261">
        <w:rPr>
          <w:sz w:val="24"/>
          <w:szCs w:val="24"/>
        </w:rPr>
        <w:t>£</w:t>
      </w:r>
      <w:r w:rsidR="002F29AC" w:rsidRPr="00385261">
        <w:rPr>
          <w:sz w:val="24"/>
          <w:szCs w:val="24"/>
        </w:rPr>
        <w:t>50</w:t>
      </w:r>
      <w:r w:rsidR="7B605D62" w:rsidRPr="00385261">
        <w:rPr>
          <w:sz w:val="24"/>
          <w:szCs w:val="24"/>
        </w:rPr>
        <w:t>,000</w:t>
      </w:r>
      <w:r w:rsidR="002F29AC" w:rsidRPr="00385261">
        <w:rPr>
          <w:sz w:val="24"/>
          <w:szCs w:val="24"/>
        </w:rPr>
        <w:t xml:space="preserve"> pa) </w:t>
      </w:r>
      <w:bookmarkEnd w:id="0"/>
      <w:r w:rsidR="002F29AC" w:rsidRPr="00385261">
        <w:rPr>
          <w:sz w:val="24"/>
          <w:szCs w:val="24"/>
        </w:rPr>
        <w:t xml:space="preserve">but </w:t>
      </w:r>
      <w:r w:rsidR="003C5450" w:rsidRPr="00385261">
        <w:rPr>
          <w:sz w:val="24"/>
          <w:szCs w:val="24"/>
        </w:rPr>
        <w:t xml:space="preserve">also </w:t>
      </w:r>
      <w:r w:rsidR="002F29AC" w:rsidRPr="00385261">
        <w:rPr>
          <w:sz w:val="24"/>
          <w:szCs w:val="24"/>
        </w:rPr>
        <w:t xml:space="preserve">negates the need for </w:t>
      </w:r>
      <w:proofErr w:type="gramStart"/>
      <w:r w:rsidR="002F29AC" w:rsidRPr="00385261">
        <w:rPr>
          <w:sz w:val="24"/>
          <w:szCs w:val="24"/>
        </w:rPr>
        <w:t>North West</w:t>
      </w:r>
      <w:proofErr w:type="gramEnd"/>
      <w:r w:rsidR="002F29AC" w:rsidRPr="00385261">
        <w:rPr>
          <w:sz w:val="24"/>
          <w:szCs w:val="24"/>
        </w:rPr>
        <w:t xml:space="preserve"> Ambulance </w:t>
      </w:r>
      <w:r w:rsidR="31318DB2" w:rsidRPr="00385261">
        <w:rPr>
          <w:sz w:val="24"/>
          <w:szCs w:val="24"/>
        </w:rPr>
        <w:t xml:space="preserve">Service (NWAS) </w:t>
      </w:r>
      <w:r w:rsidR="002F29AC" w:rsidRPr="00385261">
        <w:rPr>
          <w:sz w:val="24"/>
          <w:szCs w:val="24"/>
        </w:rPr>
        <w:t xml:space="preserve">to invest in new facilities, saving the public purse </w:t>
      </w:r>
      <w:r w:rsidR="00E11EC3" w:rsidRPr="00385261">
        <w:rPr>
          <w:sz w:val="24"/>
          <w:szCs w:val="24"/>
        </w:rPr>
        <w:t>£</w:t>
      </w:r>
      <w:r w:rsidR="002F29AC" w:rsidRPr="00385261">
        <w:rPr>
          <w:sz w:val="24"/>
          <w:szCs w:val="24"/>
        </w:rPr>
        <w:t>4m-</w:t>
      </w:r>
      <w:r w:rsidR="00E11EC3" w:rsidRPr="00385261">
        <w:rPr>
          <w:sz w:val="24"/>
          <w:szCs w:val="24"/>
        </w:rPr>
        <w:t>£</w:t>
      </w:r>
      <w:r w:rsidR="002F29AC" w:rsidRPr="00385261">
        <w:rPr>
          <w:sz w:val="24"/>
          <w:szCs w:val="24"/>
        </w:rPr>
        <w:t>5m</w:t>
      </w:r>
      <w:r w:rsidR="00390622" w:rsidRPr="00385261">
        <w:rPr>
          <w:sz w:val="24"/>
          <w:szCs w:val="24"/>
        </w:rPr>
        <w:t>.</w:t>
      </w:r>
    </w:p>
    <w:p w14:paraId="7D61F52F" w14:textId="4D0C595F" w:rsidR="00D318D0" w:rsidRPr="00385261" w:rsidRDefault="00D318D0" w:rsidP="00385261">
      <w:pPr>
        <w:pStyle w:val="ListParagraph"/>
        <w:numPr>
          <w:ilvl w:val="0"/>
          <w:numId w:val="26"/>
        </w:numPr>
        <w:rPr>
          <w:sz w:val="24"/>
          <w:szCs w:val="24"/>
        </w:rPr>
      </w:pPr>
      <w:bookmarkStart w:id="1" w:name="_Hlk160532517"/>
      <w:r w:rsidRPr="00385261">
        <w:rPr>
          <w:sz w:val="24"/>
          <w:szCs w:val="24"/>
        </w:rPr>
        <w:lastRenderedPageBreak/>
        <w:t xml:space="preserve">Joint procurement with the Clinical Commissioning Group for the Wide Area Network (WAN), saving </w:t>
      </w:r>
      <w:r w:rsidR="4544D46C" w:rsidRPr="00385261">
        <w:rPr>
          <w:sz w:val="24"/>
          <w:szCs w:val="24"/>
        </w:rPr>
        <w:t>£</w:t>
      </w:r>
      <w:r w:rsidRPr="00385261">
        <w:rPr>
          <w:sz w:val="24"/>
          <w:szCs w:val="24"/>
        </w:rPr>
        <w:t xml:space="preserve">40,000 </w:t>
      </w:r>
      <w:r w:rsidR="003C5450" w:rsidRPr="00385261">
        <w:rPr>
          <w:sz w:val="24"/>
          <w:szCs w:val="24"/>
        </w:rPr>
        <w:t>p.a.</w:t>
      </w:r>
    </w:p>
    <w:bookmarkEnd w:id="1"/>
    <w:p w14:paraId="736351CF" w14:textId="64074D24" w:rsidR="004C5EC8" w:rsidRPr="00385261" w:rsidRDefault="00B85DBE" w:rsidP="00385261">
      <w:pPr>
        <w:pStyle w:val="ListParagraph"/>
        <w:numPr>
          <w:ilvl w:val="0"/>
          <w:numId w:val="26"/>
        </w:numPr>
        <w:rPr>
          <w:sz w:val="24"/>
          <w:szCs w:val="24"/>
        </w:rPr>
      </w:pPr>
      <w:r w:rsidRPr="00385261">
        <w:rPr>
          <w:sz w:val="24"/>
          <w:szCs w:val="24"/>
        </w:rPr>
        <w:t xml:space="preserve">Gaining Entry for Ambulance Service </w:t>
      </w:r>
      <w:r w:rsidR="004C5EC8" w:rsidRPr="00385261">
        <w:rPr>
          <w:sz w:val="24"/>
          <w:szCs w:val="24"/>
        </w:rPr>
        <w:t>[</w:t>
      </w:r>
      <w:r w:rsidR="622E29B8" w:rsidRPr="00385261">
        <w:rPr>
          <w:sz w:val="24"/>
          <w:szCs w:val="24"/>
        </w:rPr>
        <w:t>c.2000</w:t>
      </w:r>
      <w:r w:rsidR="009E4061" w:rsidRPr="00385261">
        <w:rPr>
          <w:sz w:val="24"/>
          <w:szCs w:val="24"/>
        </w:rPr>
        <w:t xml:space="preserve"> p.a. based on 202</w:t>
      </w:r>
      <w:r w:rsidR="4912914B" w:rsidRPr="00385261">
        <w:rPr>
          <w:sz w:val="24"/>
          <w:szCs w:val="24"/>
        </w:rPr>
        <w:t>3-</w:t>
      </w:r>
      <w:r w:rsidR="00E11EC3" w:rsidRPr="00385261">
        <w:rPr>
          <w:sz w:val="24"/>
          <w:szCs w:val="24"/>
        </w:rPr>
        <w:t>2</w:t>
      </w:r>
      <w:r w:rsidR="4912914B" w:rsidRPr="00385261">
        <w:rPr>
          <w:sz w:val="24"/>
          <w:szCs w:val="24"/>
        </w:rPr>
        <w:t>4</w:t>
      </w:r>
      <w:r w:rsidR="001F1811" w:rsidRPr="00385261">
        <w:rPr>
          <w:sz w:val="24"/>
          <w:szCs w:val="24"/>
        </w:rPr>
        <w:t xml:space="preserve"> data]</w:t>
      </w:r>
      <w:r w:rsidR="002037D5" w:rsidRPr="00385261">
        <w:rPr>
          <w:sz w:val="24"/>
          <w:szCs w:val="24"/>
        </w:rPr>
        <w:t>.</w:t>
      </w:r>
    </w:p>
    <w:p w14:paraId="299DB4B9" w14:textId="77777777" w:rsidR="002037D5" w:rsidRPr="00385261" w:rsidRDefault="002037D5" w:rsidP="00385261">
      <w:pPr>
        <w:pStyle w:val="ListParagraph"/>
        <w:numPr>
          <w:ilvl w:val="0"/>
          <w:numId w:val="26"/>
        </w:numPr>
        <w:rPr>
          <w:sz w:val="24"/>
          <w:szCs w:val="24"/>
        </w:rPr>
      </w:pPr>
      <w:r w:rsidRPr="00385261">
        <w:rPr>
          <w:sz w:val="24"/>
          <w:szCs w:val="24"/>
        </w:rPr>
        <w:t xml:space="preserve">Drone development (aerial and sub-surface capabilities) for which LFRS has the National Fire Chiefs Council (NFCC) lead role.  Our aerial drone capability has supported with many Missing Person Searches [c.250 p.a. based on 2023/24 data].  With increasing experience of missing person searches, LFRS staff can provide local or specialist advice for consideration by the </w:t>
      </w:r>
      <w:proofErr w:type="spellStart"/>
      <w:r w:rsidRPr="00385261">
        <w:rPr>
          <w:sz w:val="24"/>
          <w:szCs w:val="24"/>
        </w:rPr>
        <w:t>PolSA</w:t>
      </w:r>
      <w:proofErr w:type="spellEnd"/>
      <w:r w:rsidRPr="00385261">
        <w:rPr>
          <w:sz w:val="24"/>
          <w:szCs w:val="24"/>
        </w:rPr>
        <w:t xml:space="preserve">, and searches become streamlined allowing a more structured and effective approach to locating high risk missing persons.  </w:t>
      </w:r>
    </w:p>
    <w:p w14:paraId="1114D69F" w14:textId="07273A9E" w:rsidR="002037D5" w:rsidRPr="00385261" w:rsidRDefault="00A200D9" w:rsidP="00385261">
      <w:pPr>
        <w:pStyle w:val="ListParagraph"/>
        <w:numPr>
          <w:ilvl w:val="0"/>
          <w:numId w:val="26"/>
        </w:numPr>
        <w:rPr>
          <w:sz w:val="24"/>
          <w:szCs w:val="24"/>
        </w:rPr>
      </w:pPr>
      <w:r w:rsidRPr="00385261">
        <w:rPr>
          <w:sz w:val="24"/>
          <w:szCs w:val="24"/>
        </w:rPr>
        <w:t xml:space="preserve">Further investment </w:t>
      </w:r>
      <w:r w:rsidR="002037D5" w:rsidRPr="00385261">
        <w:rPr>
          <w:sz w:val="24"/>
          <w:szCs w:val="24"/>
        </w:rPr>
        <w:t xml:space="preserve">was </w:t>
      </w:r>
      <w:r w:rsidRPr="00385261">
        <w:rPr>
          <w:sz w:val="24"/>
          <w:szCs w:val="24"/>
        </w:rPr>
        <w:t xml:space="preserve">approved </w:t>
      </w:r>
      <w:r w:rsidR="00C01004" w:rsidRPr="00385261">
        <w:rPr>
          <w:sz w:val="24"/>
          <w:szCs w:val="24"/>
        </w:rPr>
        <w:t xml:space="preserve">which has led to us </w:t>
      </w:r>
      <w:r w:rsidRPr="00385261">
        <w:rPr>
          <w:sz w:val="24"/>
          <w:szCs w:val="24"/>
        </w:rPr>
        <w:t>strengthen</w:t>
      </w:r>
      <w:r w:rsidR="00C01004" w:rsidRPr="00385261">
        <w:rPr>
          <w:sz w:val="24"/>
          <w:szCs w:val="24"/>
        </w:rPr>
        <w:t>ing</w:t>
      </w:r>
      <w:r w:rsidRPr="00385261">
        <w:rPr>
          <w:sz w:val="24"/>
          <w:szCs w:val="24"/>
        </w:rPr>
        <w:t xml:space="preserve"> sub-surface rescue / recovery capability of persons</w:t>
      </w:r>
      <w:r w:rsidR="00C01004" w:rsidRPr="00385261">
        <w:rPr>
          <w:sz w:val="24"/>
          <w:szCs w:val="24"/>
        </w:rPr>
        <w:t xml:space="preserve"> by virtue of an underwater ROV</w:t>
      </w:r>
      <w:r w:rsidRPr="00385261">
        <w:rPr>
          <w:sz w:val="24"/>
          <w:szCs w:val="24"/>
        </w:rPr>
        <w:t>.</w:t>
      </w:r>
      <w:r w:rsidR="00C01004" w:rsidRPr="00385261">
        <w:rPr>
          <w:sz w:val="24"/>
          <w:szCs w:val="24"/>
        </w:rPr>
        <w:t xml:space="preserve">  This asset has been deployed locally</w:t>
      </w:r>
      <w:r w:rsidR="00CC5565" w:rsidRPr="00385261">
        <w:rPr>
          <w:sz w:val="24"/>
          <w:szCs w:val="24"/>
        </w:rPr>
        <w:t xml:space="preserve">, </w:t>
      </w:r>
      <w:proofErr w:type="gramStart"/>
      <w:r w:rsidR="00CC5565" w:rsidRPr="00385261">
        <w:rPr>
          <w:sz w:val="24"/>
          <w:szCs w:val="24"/>
        </w:rPr>
        <w:t>regionally</w:t>
      </w:r>
      <w:proofErr w:type="gramEnd"/>
      <w:r w:rsidR="00C01004" w:rsidRPr="00385261">
        <w:rPr>
          <w:sz w:val="24"/>
          <w:szCs w:val="24"/>
        </w:rPr>
        <w:t xml:space="preserve"> and nationally and delivered improved outcomes by way of </w:t>
      </w:r>
      <w:r w:rsidR="00CC5565" w:rsidRPr="00385261">
        <w:rPr>
          <w:sz w:val="24"/>
          <w:szCs w:val="24"/>
        </w:rPr>
        <w:t>quickening</w:t>
      </w:r>
      <w:r w:rsidR="00C01004" w:rsidRPr="00385261">
        <w:rPr>
          <w:sz w:val="24"/>
          <w:szCs w:val="24"/>
        </w:rPr>
        <w:t xml:space="preserve"> incident resolution across a number of incidents.</w:t>
      </w:r>
      <w:r w:rsidR="2D1C0990" w:rsidRPr="00385261">
        <w:rPr>
          <w:sz w:val="24"/>
          <w:szCs w:val="24"/>
        </w:rPr>
        <w:t xml:space="preserve"> </w:t>
      </w:r>
      <w:r w:rsidR="00390622" w:rsidRPr="00385261">
        <w:rPr>
          <w:sz w:val="24"/>
          <w:szCs w:val="24"/>
        </w:rPr>
        <w:t xml:space="preserve"> </w:t>
      </w:r>
      <w:r w:rsidR="2D1C0990" w:rsidRPr="00385261">
        <w:rPr>
          <w:sz w:val="24"/>
          <w:szCs w:val="24"/>
        </w:rPr>
        <w:t xml:space="preserve">Ultimately, this results in less public spending, due to reduced </w:t>
      </w:r>
      <w:r w:rsidR="0C6E7C29" w:rsidRPr="00385261">
        <w:rPr>
          <w:sz w:val="24"/>
          <w:szCs w:val="24"/>
        </w:rPr>
        <w:t>time commitment</w:t>
      </w:r>
      <w:r w:rsidR="2D1C0990" w:rsidRPr="00385261">
        <w:rPr>
          <w:sz w:val="24"/>
          <w:szCs w:val="24"/>
        </w:rPr>
        <w:t xml:space="preserve"> of 999 responding agencies</w:t>
      </w:r>
      <w:r w:rsidR="1F1E0D33" w:rsidRPr="00385261">
        <w:rPr>
          <w:sz w:val="24"/>
          <w:szCs w:val="24"/>
        </w:rPr>
        <w:t>.</w:t>
      </w:r>
      <w:r w:rsidR="002037D5" w:rsidRPr="00385261">
        <w:rPr>
          <w:sz w:val="24"/>
          <w:szCs w:val="24"/>
        </w:rPr>
        <w:t xml:space="preserve">  In the 6 months since launch, the ‘inspection </w:t>
      </w:r>
      <w:proofErr w:type="spellStart"/>
      <w:r w:rsidR="002037D5" w:rsidRPr="00385261">
        <w:rPr>
          <w:sz w:val="24"/>
          <w:szCs w:val="24"/>
        </w:rPr>
        <w:t>class’</w:t>
      </w:r>
      <w:proofErr w:type="spellEnd"/>
      <w:r w:rsidR="002037D5" w:rsidRPr="00385261">
        <w:rPr>
          <w:sz w:val="24"/>
          <w:szCs w:val="24"/>
        </w:rPr>
        <w:t xml:space="preserve"> ROV has been deployed operationally several times.  The incidents involved the casualty being found by the </w:t>
      </w:r>
      <w:proofErr w:type="gramStart"/>
      <w:r w:rsidR="002037D5" w:rsidRPr="00385261">
        <w:rPr>
          <w:sz w:val="24"/>
          <w:szCs w:val="24"/>
        </w:rPr>
        <w:t>ROV, or</w:t>
      </w:r>
      <w:proofErr w:type="gramEnd"/>
      <w:r w:rsidR="002037D5" w:rsidRPr="00385261">
        <w:rPr>
          <w:sz w:val="24"/>
          <w:szCs w:val="24"/>
        </w:rPr>
        <w:t xml:space="preserve"> led to areas being searched (and effectively cleared), which in turn had positive effects on the incident conclusion.  The underwater deployments have enabled incidents to be de-escalated, significantly reducing the number of resources required from several agencies for what would normally be protracted incidents.</w:t>
      </w:r>
    </w:p>
    <w:p w14:paraId="28D5E834" w14:textId="24D6B632" w:rsidR="000E6B37" w:rsidRPr="00385261" w:rsidRDefault="000E6B37" w:rsidP="00385261">
      <w:pPr>
        <w:pStyle w:val="ListParagraph"/>
        <w:numPr>
          <w:ilvl w:val="0"/>
          <w:numId w:val="26"/>
        </w:numPr>
        <w:rPr>
          <w:sz w:val="24"/>
          <w:szCs w:val="24"/>
        </w:rPr>
      </w:pPr>
      <w:r w:rsidRPr="00385261">
        <w:rPr>
          <w:sz w:val="24"/>
          <w:szCs w:val="24"/>
        </w:rPr>
        <w:t xml:space="preserve">Specialist canine capabilities - Search and Rescue (USAR &amp; ISAR), Fire Investigation, Cadaver deployed locally, regionally, </w:t>
      </w:r>
      <w:r w:rsidR="005526FE" w:rsidRPr="00385261">
        <w:rPr>
          <w:sz w:val="24"/>
          <w:szCs w:val="24"/>
        </w:rPr>
        <w:t>nationally,</w:t>
      </w:r>
      <w:r w:rsidRPr="00385261">
        <w:rPr>
          <w:sz w:val="24"/>
          <w:szCs w:val="24"/>
        </w:rPr>
        <w:t xml:space="preserve"> and internationally (ISAR).</w:t>
      </w:r>
      <w:r w:rsidR="001F1811" w:rsidRPr="00385261">
        <w:rPr>
          <w:sz w:val="24"/>
          <w:szCs w:val="24"/>
        </w:rPr>
        <w:t xml:space="preserve"> </w:t>
      </w:r>
      <w:r w:rsidR="00390622" w:rsidRPr="00385261">
        <w:rPr>
          <w:sz w:val="24"/>
          <w:szCs w:val="24"/>
        </w:rPr>
        <w:t xml:space="preserve"> </w:t>
      </w:r>
      <w:r w:rsidR="001F1811" w:rsidRPr="00385261">
        <w:rPr>
          <w:sz w:val="24"/>
          <w:szCs w:val="24"/>
        </w:rPr>
        <w:t xml:space="preserve">LFRS currently have a </w:t>
      </w:r>
      <w:r w:rsidR="00390622" w:rsidRPr="00385261">
        <w:rPr>
          <w:sz w:val="24"/>
          <w:szCs w:val="24"/>
        </w:rPr>
        <w:t>M</w:t>
      </w:r>
      <w:r w:rsidR="001F1811" w:rsidRPr="00385261">
        <w:rPr>
          <w:sz w:val="24"/>
          <w:szCs w:val="24"/>
        </w:rPr>
        <w:t xml:space="preserve">emorandum of </w:t>
      </w:r>
      <w:r w:rsidR="00390622" w:rsidRPr="00385261">
        <w:rPr>
          <w:sz w:val="24"/>
          <w:szCs w:val="24"/>
        </w:rPr>
        <w:t>U</w:t>
      </w:r>
      <w:r w:rsidR="001F1811" w:rsidRPr="00385261">
        <w:rPr>
          <w:sz w:val="24"/>
          <w:szCs w:val="24"/>
        </w:rPr>
        <w:t>nderstanding with Greater Manchester and Cumbria FRS to provide fire investigation dog response on a recharge basis</w:t>
      </w:r>
      <w:r w:rsidR="003C5450" w:rsidRPr="00385261">
        <w:rPr>
          <w:sz w:val="24"/>
          <w:szCs w:val="24"/>
        </w:rPr>
        <w:t>.</w:t>
      </w:r>
    </w:p>
    <w:p w14:paraId="04E2BDD7" w14:textId="5205E6CB" w:rsidR="00284F69" w:rsidRPr="00385261" w:rsidRDefault="00C90F23" w:rsidP="00385261">
      <w:pPr>
        <w:pStyle w:val="ListParagraph"/>
        <w:numPr>
          <w:ilvl w:val="0"/>
          <w:numId w:val="26"/>
        </w:numPr>
        <w:rPr>
          <w:sz w:val="24"/>
          <w:szCs w:val="24"/>
        </w:rPr>
      </w:pPr>
      <w:proofErr w:type="gramStart"/>
      <w:r w:rsidRPr="00385261">
        <w:rPr>
          <w:sz w:val="24"/>
          <w:szCs w:val="24"/>
        </w:rPr>
        <w:t>N</w:t>
      </w:r>
      <w:r w:rsidR="003C5450" w:rsidRPr="00385261">
        <w:rPr>
          <w:sz w:val="24"/>
          <w:szCs w:val="24"/>
        </w:rPr>
        <w:t xml:space="preserve">orth </w:t>
      </w:r>
      <w:r w:rsidRPr="00385261">
        <w:rPr>
          <w:sz w:val="24"/>
          <w:szCs w:val="24"/>
        </w:rPr>
        <w:t>W</w:t>
      </w:r>
      <w:r w:rsidR="003C5450" w:rsidRPr="00385261">
        <w:rPr>
          <w:sz w:val="24"/>
          <w:szCs w:val="24"/>
        </w:rPr>
        <w:t>est</w:t>
      </w:r>
      <w:proofErr w:type="gramEnd"/>
      <w:r w:rsidR="003C5450" w:rsidRPr="00385261">
        <w:rPr>
          <w:sz w:val="24"/>
          <w:szCs w:val="24"/>
        </w:rPr>
        <w:t xml:space="preserve"> </w:t>
      </w:r>
      <w:r w:rsidRPr="00385261">
        <w:rPr>
          <w:sz w:val="24"/>
          <w:szCs w:val="24"/>
        </w:rPr>
        <w:t>F</w:t>
      </w:r>
      <w:r w:rsidR="003C5450" w:rsidRPr="00385261">
        <w:rPr>
          <w:sz w:val="24"/>
          <w:szCs w:val="24"/>
        </w:rPr>
        <w:t xml:space="preserve">ire </w:t>
      </w:r>
      <w:r w:rsidRPr="00385261">
        <w:rPr>
          <w:sz w:val="24"/>
          <w:szCs w:val="24"/>
        </w:rPr>
        <w:t>C</w:t>
      </w:r>
      <w:r w:rsidR="003C5450" w:rsidRPr="00385261">
        <w:rPr>
          <w:sz w:val="24"/>
          <w:szCs w:val="24"/>
        </w:rPr>
        <w:t>ontrol (NWFC)</w:t>
      </w:r>
      <w:r w:rsidRPr="00385261">
        <w:rPr>
          <w:sz w:val="24"/>
          <w:szCs w:val="24"/>
        </w:rPr>
        <w:t xml:space="preserve"> – collaboration between Cumbria, Lancashire, </w:t>
      </w:r>
      <w:r w:rsidR="00186AC0" w:rsidRPr="00385261">
        <w:rPr>
          <w:sz w:val="24"/>
          <w:szCs w:val="24"/>
        </w:rPr>
        <w:t>Cheshire,</w:t>
      </w:r>
      <w:r w:rsidRPr="00385261">
        <w:rPr>
          <w:sz w:val="24"/>
          <w:szCs w:val="24"/>
        </w:rPr>
        <w:t xml:space="preserve"> and Gtr. Manchester Fire</w:t>
      </w:r>
      <w:r w:rsidR="003C5450" w:rsidRPr="00385261">
        <w:rPr>
          <w:sz w:val="24"/>
          <w:szCs w:val="24"/>
        </w:rPr>
        <w:t xml:space="preserve"> Authorities</w:t>
      </w:r>
      <w:r w:rsidRPr="00385261">
        <w:rPr>
          <w:sz w:val="24"/>
          <w:szCs w:val="24"/>
        </w:rPr>
        <w:t xml:space="preserve">, realising annual savings </w:t>
      </w:r>
      <w:r w:rsidR="002F29AC" w:rsidRPr="00385261">
        <w:rPr>
          <w:sz w:val="24"/>
          <w:szCs w:val="24"/>
        </w:rPr>
        <w:t xml:space="preserve">in excess of </w:t>
      </w:r>
      <w:r w:rsidR="00E11EC3" w:rsidRPr="00385261">
        <w:rPr>
          <w:sz w:val="24"/>
          <w:szCs w:val="24"/>
        </w:rPr>
        <w:t>£</w:t>
      </w:r>
      <w:r w:rsidR="002F29AC" w:rsidRPr="00385261">
        <w:rPr>
          <w:sz w:val="24"/>
          <w:szCs w:val="24"/>
        </w:rPr>
        <w:t>1m p</w:t>
      </w:r>
      <w:r w:rsidR="003C5450" w:rsidRPr="00385261">
        <w:rPr>
          <w:sz w:val="24"/>
          <w:szCs w:val="24"/>
        </w:rPr>
        <w:t>.</w:t>
      </w:r>
      <w:r w:rsidR="002F29AC" w:rsidRPr="00385261">
        <w:rPr>
          <w:sz w:val="24"/>
          <w:szCs w:val="24"/>
        </w:rPr>
        <w:t>a</w:t>
      </w:r>
      <w:r w:rsidR="004FC6D9" w:rsidRPr="00385261">
        <w:rPr>
          <w:sz w:val="24"/>
          <w:szCs w:val="24"/>
        </w:rPr>
        <w:t>.</w:t>
      </w:r>
      <w:r w:rsidR="00CC5565" w:rsidRPr="00385261">
        <w:rPr>
          <w:sz w:val="24"/>
          <w:szCs w:val="24"/>
        </w:rPr>
        <w:t xml:space="preserve"> </w:t>
      </w:r>
      <w:r w:rsidR="00390622" w:rsidRPr="00385261">
        <w:rPr>
          <w:sz w:val="24"/>
          <w:szCs w:val="24"/>
        </w:rPr>
        <w:t xml:space="preserve"> </w:t>
      </w:r>
      <w:r w:rsidR="00CC5565" w:rsidRPr="00385261">
        <w:rPr>
          <w:sz w:val="24"/>
          <w:szCs w:val="24"/>
        </w:rPr>
        <w:t xml:space="preserve">The coming year will see further system-based improvements being introduced collaboratively into NWFC to improve efficiency within the context of </w:t>
      </w:r>
      <w:r w:rsidR="00390622" w:rsidRPr="00385261">
        <w:rPr>
          <w:sz w:val="24"/>
          <w:szCs w:val="24"/>
        </w:rPr>
        <w:t>D</w:t>
      </w:r>
      <w:r w:rsidR="00CC5565" w:rsidRPr="00385261">
        <w:rPr>
          <w:sz w:val="24"/>
          <w:szCs w:val="24"/>
        </w:rPr>
        <w:t xml:space="preserve">ynamic </w:t>
      </w:r>
      <w:r w:rsidR="00390622" w:rsidRPr="00385261">
        <w:rPr>
          <w:sz w:val="24"/>
          <w:szCs w:val="24"/>
        </w:rPr>
        <w:t>C</w:t>
      </w:r>
      <w:r w:rsidR="00CC5565" w:rsidRPr="00385261">
        <w:rPr>
          <w:sz w:val="24"/>
          <w:szCs w:val="24"/>
        </w:rPr>
        <w:t xml:space="preserve">over </w:t>
      </w:r>
      <w:r w:rsidR="00390622" w:rsidRPr="00385261">
        <w:rPr>
          <w:sz w:val="24"/>
          <w:szCs w:val="24"/>
        </w:rPr>
        <w:t>S</w:t>
      </w:r>
      <w:r w:rsidR="00CC5565" w:rsidRPr="00385261">
        <w:rPr>
          <w:sz w:val="24"/>
          <w:szCs w:val="24"/>
        </w:rPr>
        <w:t>oftware (designed to optimise fire cover across the FRS) and a more efficient software</w:t>
      </w:r>
      <w:r w:rsidR="008F526E" w:rsidRPr="00385261">
        <w:rPr>
          <w:sz w:val="24"/>
          <w:szCs w:val="24"/>
        </w:rPr>
        <w:t>-</w:t>
      </w:r>
      <w:r w:rsidR="00CC5565" w:rsidRPr="00385261">
        <w:rPr>
          <w:sz w:val="24"/>
          <w:szCs w:val="24"/>
        </w:rPr>
        <w:t>based solution for the handling of Fire Survival Guidance at complex incidents.  A collaborative project to source the replacement CAD and ICCS systems within the Control Room also build upon the previous economies of scale delivered through the initial project.</w:t>
      </w:r>
    </w:p>
    <w:p w14:paraId="0042C33C" w14:textId="6C6C500D" w:rsidR="005526FE" w:rsidRPr="00385261" w:rsidRDefault="00CC5565" w:rsidP="00385261">
      <w:pPr>
        <w:pStyle w:val="ListParagraph"/>
        <w:numPr>
          <w:ilvl w:val="0"/>
          <w:numId w:val="26"/>
        </w:numPr>
        <w:rPr>
          <w:sz w:val="24"/>
          <w:szCs w:val="24"/>
        </w:rPr>
      </w:pPr>
      <w:r w:rsidRPr="00385261">
        <w:rPr>
          <w:sz w:val="24"/>
          <w:szCs w:val="24"/>
        </w:rPr>
        <w:t xml:space="preserve">Our </w:t>
      </w:r>
      <w:r w:rsidR="005526FE" w:rsidRPr="00385261">
        <w:rPr>
          <w:sz w:val="24"/>
          <w:szCs w:val="24"/>
        </w:rPr>
        <w:t xml:space="preserve">Community First Responder pilot </w:t>
      </w:r>
      <w:r w:rsidRPr="00385261">
        <w:rPr>
          <w:sz w:val="24"/>
          <w:szCs w:val="24"/>
        </w:rPr>
        <w:t xml:space="preserve">has gone live with a group of </w:t>
      </w:r>
      <w:r w:rsidR="005526FE" w:rsidRPr="00385261">
        <w:rPr>
          <w:sz w:val="24"/>
          <w:szCs w:val="24"/>
        </w:rPr>
        <w:t xml:space="preserve">community safety staff, </w:t>
      </w:r>
      <w:r w:rsidR="51DF1B19" w:rsidRPr="00385261">
        <w:rPr>
          <w:sz w:val="24"/>
          <w:szCs w:val="24"/>
        </w:rPr>
        <w:t>and more recently a cohort of Flexible Duty System managers being trained</w:t>
      </w:r>
      <w:r w:rsidR="32A4E5AA" w:rsidRPr="00385261">
        <w:rPr>
          <w:sz w:val="24"/>
          <w:szCs w:val="24"/>
        </w:rPr>
        <w:t xml:space="preserve"> by NWAS and able to deploy to life critical medical emergencies during working hours, alongside our ambulance colleagues</w:t>
      </w:r>
      <w:r w:rsidR="005526FE" w:rsidRPr="00385261">
        <w:rPr>
          <w:sz w:val="24"/>
          <w:szCs w:val="24"/>
        </w:rPr>
        <w:t xml:space="preserve">. </w:t>
      </w:r>
      <w:r w:rsidR="00A9639E" w:rsidRPr="00385261">
        <w:rPr>
          <w:sz w:val="24"/>
          <w:szCs w:val="24"/>
        </w:rPr>
        <w:t xml:space="preserve"> </w:t>
      </w:r>
      <w:r w:rsidR="005526FE" w:rsidRPr="00385261">
        <w:rPr>
          <w:sz w:val="24"/>
          <w:szCs w:val="24"/>
        </w:rPr>
        <w:t xml:space="preserve">Already this has delivered </w:t>
      </w:r>
      <w:r w:rsidR="00E11EC3" w:rsidRPr="00385261">
        <w:rPr>
          <w:sz w:val="24"/>
          <w:szCs w:val="24"/>
        </w:rPr>
        <w:t>lifesaving</w:t>
      </w:r>
      <w:r w:rsidR="005526FE" w:rsidRPr="00385261">
        <w:rPr>
          <w:sz w:val="24"/>
          <w:szCs w:val="24"/>
        </w:rPr>
        <w:t xml:space="preserve"> interventions whilst awaiting the arrival of ambulance colleagues</w:t>
      </w:r>
      <w:r w:rsidRPr="00385261">
        <w:rPr>
          <w:sz w:val="24"/>
          <w:szCs w:val="24"/>
        </w:rPr>
        <w:t xml:space="preserve"> with</w:t>
      </w:r>
      <w:r w:rsidR="00E11EC3" w:rsidRPr="00385261">
        <w:rPr>
          <w:sz w:val="24"/>
          <w:szCs w:val="24"/>
        </w:rPr>
        <w:t xml:space="preserve"> c.80 </w:t>
      </w:r>
      <w:r w:rsidRPr="00385261">
        <w:rPr>
          <w:sz w:val="24"/>
          <w:szCs w:val="24"/>
        </w:rPr>
        <w:t xml:space="preserve">incidents attended </w:t>
      </w:r>
      <w:r w:rsidR="00E11EC3" w:rsidRPr="00385261">
        <w:rPr>
          <w:sz w:val="24"/>
          <w:szCs w:val="24"/>
        </w:rPr>
        <w:t>during 2023</w:t>
      </w:r>
      <w:r w:rsidR="003C5450" w:rsidRPr="00385261">
        <w:rPr>
          <w:sz w:val="24"/>
          <w:szCs w:val="24"/>
        </w:rPr>
        <w:t>.</w:t>
      </w:r>
      <w:r w:rsidR="002037D5" w:rsidRPr="00385261">
        <w:rPr>
          <w:sz w:val="24"/>
          <w:szCs w:val="24"/>
        </w:rPr>
        <w:t xml:space="preserve">  The UK F</w:t>
      </w:r>
      <w:r w:rsidR="00A9639E" w:rsidRPr="00385261">
        <w:rPr>
          <w:sz w:val="24"/>
          <w:szCs w:val="24"/>
        </w:rPr>
        <w:t>RS</w:t>
      </w:r>
      <w:r w:rsidR="002037D5" w:rsidRPr="00385261">
        <w:rPr>
          <w:sz w:val="24"/>
          <w:szCs w:val="24"/>
        </w:rPr>
        <w:t xml:space="preserve"> have been providing emergency medical response (EMR) services to the public in recent years. </w:t>
      </w:r>
      <w:r w:rsidR="00A9639E" w:rsidRPr="00385261">
        <w:rPr>
          <w:sz w:val="24"/>
          <w:szCs w:val="24"/>
        </w:rPr>
        <w:t xml:space="preserve"> </w:t>
      </w:r>
      <w:r w:rsidR="002037D5" w:rsidRPr="00385261">
        <w:rPr>
          <w:sz w:val="24"/>
          <w:szCs w:val="24"/>
        </w:rPr>
        <w:t xml:space="preserve">According to a cost-benefit analysis conducted by the New Economy, the benefits of EMR far outweigh the initial </w:t>
      </w:r>
      <w:r w:rsidR="002037D5" w:rsidRPr="00385261">
        <w:rPr>
          <w:sz w:val="24"/>
          <w:szCs w:val="24"/>
        </w:rPr>
        <w:lastRenderedPageBreak/>
        <w:t xml:space="preserve">investment required. </w:t>
      </w:r>
      <w:r w:rsidR="00284F69" w:rsidRPr="00385261">
        <w:rPr>
          <w:sz w:val="24"/>
          <w:szCs w:val="24"/>
        </w:rPr>
        <w:t xml:space="preserve"> </w:t>
      </w:r>
      <w:r w:rsidR="002037D5" w:rsidRPr="00385261">
        <w:rPr>
          <w:sz w:val="24"/>
          <w:szCs w:val="24"/>
        </w:rPr>
        <w:t>The analysis estimates an overall financial return on investment of £4.41 per £1 invested.</w:t>
      </w:r>
    </w:p>
    <w:p w14:paraId="637C88D0" w14:textId="77777777" w:rsidR="00287B59" w:rsidRPr="00385261" w:rsidRDefault="00287B59" w:rsidP="00385261">
      <w:pPr>
        <w:pStyle w:val="ListParagraph"/>
        <w:numPr>
          <w:ilvl w:val="0"/>
          <w:numId w:val="26"/>
        </w:numPr>
        <w:rPr>
          <w:sz w:val="24"/>
          <w:szCs w:val="24"/>
        </w:rPr>
      </w:pPr>
      <w:r w:rsidRPr="00385261">
        <w:rPr>
          <w:sz w:val="24"/>
          <w:szCs w:val="24"/>
        </w:rPr>
        <w:t>Regional Fleet collaboration through Technical Officers Group (TOG) on equipment and vehicle related issues, including procurements and common specifications.</w:t>
      </w:r>
    </w:p>
    <w:p w14:paraId="25851AC2" w14:textId="00614695" w:rsidR="1DA0860F" w:rsidRPr="006874FD" w:rsidRDefault="4DE08D95" w:rsidP="006874FD">
      <w:pPr>
        <w:rPr>
          <w:sz w:val="24"/>
          <w:szCs w:val="24"/>
        </w:rPr>
      </w:pPr>
      <w:r w:rsidRPr="006874FD">
        <w:rPr>
          <w:b/>
          <w:bCs/>
          <w:sz w:val="24"/>
          <w:szCs w:val="24"/>
        </w:rPr>
        <w:t>National leadership</w:t>
      </w:r>
      <w:r w:rsidRPr="006874FD">
        <w:rPr>
          <w:sz w:val="24"/>
          <w:szCs w:val="24"/>
        </w:rPr>
        <w:t xml:space="preserve"> –</w:t>
      </w:r>
      <w:r w:rsidR="4AAD5634" w:rsidRPr="006874FD">
        <w:rPr>
          <w:sz w:val="24"/>
          <w:szCs w:val="24"/>
        </w:rPr>
        <w:t xml:space="preserve"> All of our Principal Officers have significant national leadership roles, contributing to sector-wide efficiency and productivity.</w:t>
      </w:r>
      <w:r w:rsidRPr="006874FD">
        <w:rPr>
          <w:sz w:val="24"/>
          <w:szCs w:val="24"/>
        </w:rPr>
        <w:t xml:space="preserve"> </w:t>
      </w:r>
      <w:r w:rsidR="00A9639E" w:rsidRPr="006874FD">
        <w:rPr>
          <w:sz w:val="24"/>
          <w:szCs w:val="24"/>
        </w:rPr>
        <w:t xml:space="preserve"> </w:t>
      </w:r>
      <w:r w:rsidRPr="006874FD">
        <w:rPr>
          <w:sz w:val="24"/>
          <w:szCs w:val="24"/>
        </w:rPr>
        <w:t>Our Chief Fire Officer</w:t>
      </w:r>
      <w:r w:rsidR="44CAF1F2" w:rsidRPr="006874FD">
        <w:rPr>
          <w:sz w:val="24"/>
          <w:szCs w:val="24"/>
        </w:rPr>
        <w:t xml:space="preserve"> (CFO)</w:t>
      </w:r>
      <w:r w:rsidRPr="006874FD">
        <w:rPr>
          <w:sz w:val="24"/>
          <w:szCs w:val="24"/>
        </w:rPr>
        <w:t xml:space="preserve"> is the Vice Chair of the NF</w:t>
      </w:r>
      <w:r w:rsidR="509DF390" w:rsidRPr="006874FD">
        <w:rPr>
          <w:sz w:val="24"/>
          <w:szCs w:val="24"/>
        </w:rPr>
        <w:t xml:space="preserve">CC, leading work across the sector including national work around </w:t>
      </w:r>
      <w:r w:rsidR="139D1D53" w:rsidRPr="006874FD">
        <w:rPr>
          <w:sz w:val="24"/>
          <w:szCs w:val="24"/>
        </w:rPr>
        <w:t>National Organisational Learning, National Support and Academic Research</w:t>
      </w:r>
      <w:r w:rsidR="00A9639E" w:rsidRPr="006874FD">
        <w:rPr>
          <w:sz w:val="24"/>
          <w:szCs w:val="24"/>
        </w:rPr>
        <w:t xml:space="preserve"> (ACER)</w:t>
      </w:r>
      <w:r w:rsidR="7CFF56B8" w:rsidRPr="006874FD">
        <w:rPr>
          <w:sz w:val="24"/>
          <w:szCs w:val="24"/>
        </w:rPr>
        <w:t>.</w:t>
      </w:r>
    </w:p>
    <w:p w14:paraId="3D813B35" w14:textId="30D93357" w:rsidR="4ABB8F4E" w:rsidRPr="006874FD" w:rsidRDefault="4ABB8F4E" w:rsidP="006874FD">
      <w:pPr>
        <w:rPr>
          <w:sz w:val="24"/>
          <w:szCs w:val="24"/>
        </w:rPr>
      </w:pPr>
      <w:r w:rsidRPr="006874FD">
        <w:rPr>
          <w:sz w:val="24"/>
          <w:szCs w:val="24"/>
        </w:rPr>
        <w:t>Our DCFO</w:t>
      </w:r>
      <w:r w:rsidR="581B0E44" w:rsidRPr="006874FD">
        <w:rPr>
          <w:sz w:val="24"/>
          <w:szCs w:val="24"/>
        </w:rPr>
        <w:t xml:space="preserve"> is the national lead for On-Call, supporting national work-streams including a </w:t>
      </w:r>
      <w:r w:rsidR="5A30B899" w:rsidRPr="006874FD">
        <w:rPr>
          <w:sz w:val="24"/>
          <w:szCs w:val="24"/>
        </w:rPr>
        <w:t>comprehensive</w:t>
      </w:r>
      <w:r w:rsidR="581B0E44" w:rsidRPr="006874FD">
        <w:rPr>
          <w:sz w:val="24"/>
          <w:szCs w:val="24"/>
        </w:rPr>
        <w:t xml:space="preserve"> data research analysis</w:t>
      </w:r>
      <w:r w:rsidR="544E5457" w:rsidRPr="006874FD">
        <w:rPr>
          <w:sz w:val="24"/>
          <w:szCs w:val="24"/>
        </w:rPr>
        <w:t>;</w:t>
      </w:r>
      <w:r w:rsidR="581B0E44" w:rsidRPr="006874FD">
        <w:rPr>
          <w:sz w:val="24"/>
          <w:szCs w:val="24"/>
        </w:rPr>
        <w:t xml:space="preserve"> academic evaluation to identify future sustainable s</w:t>
      </w:r>
      <w:r w:rsidR="587D308C" w:rsidRPr="006874FD">
        <w:rPr>
          <w:sz w:val="24"/>
          <w:szCs w:val="24"/>
        </w:rPr>
        <w:t>olutions to this incredibly efficient duty system</w:t>
      </w:r>
      <w:r w:rsidR="2DE375CC" w:rsidRPr="006874FD">
        <w:rPr>
          <w:sz w:val="24"/>
          <w:szCs w:val="24"/>
        </w:rPr>
        <w:t xml:space="preserve">; and the sharing of national best </w:t>
      </w:r>
      <w:r w:rsidR="241D648B" w:rsidRPr="006874FD">
        <w:rPr>
          <w:sz w:val="24"/>
          <w:szCs w:val="24"/>
        </w:rPr>
        <w:t>practice</w:t>
      </w:r>
      <w:r w:rsidR="2DE375CC" w:rsidRPr="006874FD">
        <w:rPr>
          <w:sz w:val="24"/>
          <w:szCs w:val="24"/>
        </w:rPr>
        <w:t xml:space="preserve">, including analysis of different operating systems that </w:t>
      </w:r>
      <w:r w:rsidR="00E11EC3" w:rsidRPr="006874FD">
        <w:rPr>
          <w:sz w:val="24"/>
          <w:szCs w:val="24"/>
        </w:rPr>
        <w:t>can</w:t>
      </w:r>
      <w:r w:rsidR="2DE375CC" w:rsidRPr="006874FD">
        <w:rPr>
          <w:sz w:val="24"/>
          <w:szCs w:val="24"/>
        </w:rPr>
        <w:t xml:space="preserve"> demonstrate more efficient and effective ways of operating</w:t>
      </w:r>
      <w:r w:rsidR="247A20A9" w:rsidRPr="006874FD">
        <w:rPr>
          <w:sz w:val="24"/>
          <w:szCs w:val="24"/>
        </w:rPr>
        <w:t xml:space="preserve">. </w:t>
      </w:r>
    </w:p>
    <w:p w14:paraId="7071AFEF" w14:textId="28DBE324" w:rsidR="247A20A9" w:rsidRPr="006874FD" w:rsidRDefault="247A20A9" w:rsidP="006874FD">
      <w:pPr>
        <w:rPr>
          <w:sz w:val="24"/>
          <w:szCs w:val="24"/>
        </w:rPr>
      </w:pPr>
      <w:r w:rsidRPr="006874FD">
        <w:rPr>
          <w:sz w:val="24"/>
          <w:szCs w:val="24"/>
        </w:rPr>
        <w:t>Our Assistant Chief Fire Officer (ACFO) is the deputy NFCC lead for Wildfire and during the past 12 months has been instrumental in</w:t>
      </w:r>
      <w:r w:rsidR="008F526E" w:rsidRPr="006874FD">
        <w:rPr>
          <w:sz w:val="24"/>
          <w:szCs w:val="24"/>
        </w:rPr>
        <w:t xml:space="preserve"> shaping sector direction of travel and improvement</w:t>
      </w:r>
      <w:r w:rsidR="004B2262" w:rsidRPr="006874FD">
        <w:rPr>
          <w:sz w:val="24"/>
          <w:szCs w:val="24"/>
        </w:rPr>
        <w:t xml:space="preserve">: </w:t>
      </w:r>
      <w:r w:rsidR="008F526E" w:rsidRPr="006874FD">
        <w:rPr>
          <w:sz w:val="24"/>
          <w:szCs w:val="24"/>
        </w:rPr>
        <w:t>developing international knowledge exchange</w:t>
      </w:r>
      <w:r w:rsidR="004B2262" w:rsidRPr="006874FD">
        <w:rPr>
          <w:sz w:val="24"/>
          <w:szCs w:val="24"/>
        </w:rPr>
        <w:t>;</w:t>
      </w:r>
      <w:r w:rsidR="008F526E" w:rsidRPr="006874FD">
        <w:rPr>
          <w:sz w:val="24"/>
          <w:szCs w:val="24"/>
        </w:rPr>
        <w:t xml:space="preserve"> working with lead government departments to develop a national wildfire </w:t>
      </w:r>
      <w:r w:rsidR="004B2262" w:rsidRPr="006874FD">
        <w:rPr>
          <w:sz w:val="24"/>
          <w:szCs w:val="24"/>
        </w:rPr>
        <w:t>framework;</w:t>
      </w:r>
      <w:r w:rsidR="008F526E" w:rsidRPr="006874FD">
        <w:rPr>
          <w:sz w:val="24"/>
          <w:szCs w:val="24"/>
        </w:rPr>
        <w:t xml:space="preserve"> scope out a cohesive national wildfire strategy for England</w:t>
      </w:r>
      <w:r w:rsidR="004B2262" w:rsidRPr="006874FD">
        <w:rPr>
          <w:sz w:val="24"/>
          <w:szCs w:val="24"/>
        </w:rPr>
        <w:t>;</w:t>
      </w:r>
      <w:r w:rsidR="008F526E" w:rsidRPr="006874FD">
        <w:rPr>
          <w:sz w:val="24"/>
          <w:szCs w:val="24"/>
        </w:rPr>
        <w:t xml:space="preserve"> and successfully secured H.O. funding to create a dedicated National Resilience Wildfire capability lead.</w:t>
      </w:r>
    </w:p>
    <w:p w14:paraId="1D66CD15" w14:textId="2B011846" w:rsidR="009E16DA" w:rsidRPr="006874FD" w:rsidRDefault="009E16DA" w:rsidP="006874FD">
      <w:pPr>
        <w:pStyle w:val="Heading2"/>
        <w:rPr>
          <w:rStyle w:val="normaltextrun"/>
          <w:b/>
          <w:bCs/>
          <w:color w:val="auto"/>
        </w:rPr>
      </w:pPr>
      <w:r w:rsidRPr="006874FD">
        <w:rPr>
          <w:rStyle w:val="normaltextrun"/>
          <w:b/>
          <w:bCs/>
          <w:color w:val="auto"/>
        </w:rPr>
        <w:t>Transformation Plans</w:t>
      </w:r>
    </w:p>
    <w:p w14:paraId="245EDC9E" w14:textId="2BB1E61A" w:rsidR="008C56B3" w:rsidRPr="006874FD" w:rsidRDefault="008C56B3" w:rsidP="006874FD">
      <w:pPr>
        <w:rPr>
          <w:sz w:val="24"/>
          <w:szCs w:val="24"/>
        </w:rPr>
      </w:pPr>
      <w:r w:rsidRPr="006874FD">
        <w:rPr>
          <w:sz w:val="24"/>
          <w:szCs w:val="24"/>
        </w:rPr>
        <w:t xml:space="preserve">Our transformation high level planning is available across our Community Risk Management Plan (CRMP) and supporting core strategies. </w:t>
      </w:r>
      <w:r w:rsidR="00A9639E" w:rsidRPr="006874FD">
        <w:rPr>
          <w:sz w:val="24"/>
          <w:szCs w:val="24"/>
        </w:rPr>
        <w:t xml:space="preserve"> </w:t>
      </w:r>
      <w:r w:rsidRPr="006874FD">
        <w:rPr>
          <w:sz w:val="24"/>
          <w:szCs w:val="24"/>
        </w:rPr>
        <w:t>Some of our high-level plans include:</w:t>
      </w:r>
    </w:p>
    <w:p w14:paraId="4E840BCC" w14:textId="30C1B1EA" w:rsidR="00687F47" w:rsidRPr="006874FD" w:rsidRDefault="00B85DBE" w:rsidP="006874FD">
      <w:pPr>
        <w:rPr>
          <w:b/>
          <w:bCs/>
          <w:sz w:val="24"/>
          <w:szCs w:val="24"/>
        </w:rPr>
      </w:pPr>
      <w:r w:rsidRPr="006874FD">
        <w:rPr>
          <w:b/>
          <w:bCs/>
          <w:sz w:val="24"/>
          <w:szCs w:val="24"/>
        </w:rPr>
        <w:t xml:space="preserve">Fire Protection </w:t>
      </w:r>
      <w:r w:rsidR="00687F47" w:rsidRPr="006874FD">
        <w:rPr>
          <w:b/>
          <w:bCs/>
          <w:sz w:val="24"/>
          <w:szCs w:val="24"/>
        </w:rPr>
        <w:t>Transformation programme:</w:t>
      </w:r>
    </w:p>
    <w:p w14:paraId="000AEB5D" w14:textId="43C78B83" w:rsidR="008E06E0" w:rsidRPr="006874FD" w:rsidRDefault="008E06E0" w:rsidP="006874FD">
      <w:pPr>
        <w:rPr>
          <w:sz w:val="24"/>
          <w:szCs w:val="24"/>
        </w:rPr>
      </w:pPr>
      <w:r w:rsidRPr="006874FD">
        <w:rPr>
          <w:sz w:val="24"/>
          <w:szCs w:val="24"/>
        </w:rPr>
        <w:t>We have r</w:t>
      </w:r>
      <w:r w:rsidR="00687F47" w:rsidRPr="006874FD">
        <w:rPr>
          <w:sz w:val="24"/>
          <w:szCs w:val="24"/>
        </w:rPr>
        <w:t xml:space="preserve">estructured </w:t>
      </w:r>
      <w:r w:rsidRPr="006874FD">
        <w:rPr>
          <w:sz w:val="24"/>
          <w:szCs w:val="24"/>
        </w:rPr>
        <w:t xml:space="preserve">our Fire Protection </w:t>
      </w:r>
      <w:r w:rsidR="00B85DBE" w:rsidRPr="006874FD">
        <w:rPr>
          <w:sz w:val="24"/>
          <w:szCs w:val="24"/>
        </w:rPr>
        <w:t xml:space="preserve">function to meet challenges posed by </w:t>
      </w:r>
      <w:r w:rsidRPr="006874FD">
        <w:rPr>
          <w:sz w:val="24"/>
          <w:szCs w:val="24"/>
        </w:rPr>
        <w:t xml:space="preserve">risks within the built </w:t>
      </w:r>
      <w:r w:rsidR="00B85DBE" w:rsidRPr="006874FD">
        <w:rPr>
          <w:sz w:val="24"/>
          <w:szCs w:val="24"/>
        </w:rPr>
        <w:t>environment</w:t>
      </w:r>
      <w:r w:rsidRPr="006874FD">
        <w:rPr>
          <w:sz w:val="24"/>
          <w:szCs w:val="24"/>
        </w:rPr>
        <w:t xml:space="preserve"> and the introduction of the Building Safety Regulator.</w:t>
      </w:r>
    </w:p>
    <w:p w14:paraId="3E1E9909" w14:textId="173056A3" w:rsidR="008E06E0" w:rsidRPr="006874FD" w:rsidRDefault="008E06E0" w:rsidP="006874FD">
      <w:pPr>
        <w:rPr>
          <w:sz w:val="24"/>
          <w:szCs w:val="24"/>
        </w:rPr>
      </w:pPr>
      <w:r w:rsidRPr="006874FD">
        <w:rPr>
          <w:sz w:val="24"/>
          <w:szCs w:val="24"/>
        </w:rPr>
        <w:t>We have delivered further refinements to our previously e</w:t>
      </w:r>
      <w:r w:rsidR="00B85DBE" w:rsidRPr="006874FD">
        <w:rPr>
          <w:sz w:val="24"/>
          <w:szCs w:val="24"/>
        </w:rPr>
        <w:t xml:space="preserve">xternally validated Risk Based Inspection Programme to </w:t>
      </w:r>
      <w:r w:rsidRPr="006874FD">
        <w:rPr>
          <w:sz w:val="24"/>
          <w:szCs w:val="24"/>
        </w:rPr>
        <w:t xml:space="preserve">align building and occupancy risk to competence of inspectors, and thereby </w:t>
      </w:r>
      <w:r w:rsidR="00B85DBE" w:rsidRPr="006874FD">
        <w:rPr>
          <w:sz w:val="24"/>
          <w:szCs w:val="24"/>
        </w:rPr>
        <w:t xml:space="preserve">increase </w:t>
      </w:r>
      <w:r w:rsidRPr="006874FD">
        <w:rPr>
          <w:sz w:val="24"/>
          <w:szCs w:val="24"/>
        </w:rPr>
        <w:t xml:space="preserve">both the </w:t>
      </w:r>
      <w:r w:rsidR="00B85DBE" w:rsidRPr="006874FD">
        <w:rPr>
          <w:sz w:val="24"/>
          <w:szCs w:val="24"/>
        </w:rPr>
        <w:t>efficiency and effectiveness of resources deployed to undertake risk reduction activit</w:t>
      </w:r>
      <w:r w:rsidR="00A9639E" w:rsidRPr="006874FD">
        <w:rPr>
          <w:sz w:val="24"/>
          <w:szCs w:val="24"/>
        </w:rPr>
        <w:t>ies</w:t>
      </w:r>
      <w:r w:rsidRPr="006874FD">
        <w:rPr>
          <w:sz w:val="24"/>
          <w:szCs w:val="24"/>
        </w:rPr>
        <w:t>.</w:t>
      </w:r>
    </w:p>
    <w:p w14:paraId="788F3066" w14:textId="3478625D" w:rsidR="00687F47" w:rsidRPr="006874FD" w:rsidRDefault="008E06E0" w:rsidP="006874FD">
      <w:pPr>
        <w:rPr>
          <w:sz w:val="24"/>
          <w:szCs w:val="24"/>
        </w:rPr>
      </w:pPr>
      <w:r w:rsidRPr="006874FD">
        <w:rPr>
          <w:sz w:val="24"/>
          <w:szCs w:val="24"/>
        </w:rPr>
        <w:t xml:space="preserve">We have increased productivity outputs in terms of timeliness of the handling of Building Regulation Consultations, from </w:t>
      </w:r>
      <w:r w:rsidR="001F7C51" w:rsidRPr="006874FD">
        <w:rPr>
          <w:sz w:val="24"/>
          <w:szCs w:val="24"/>
        </w:rPr>
        <w:t>7</w:t>
      </w:r>
      <w:r w:rsidR="0061357F" w:rsidRPr="006874FD">
        <w:rPr>
          <w:sz w:val="24"/>
          <w:szCs w:val="24"/>
        </w:rPr>
        <w:t>6.3</w:t>
      </w:r>
      <w:r w:rsidRPr="006874FD">
        <w:rPr>
          <w:sz w:val="24"/>
          <w:szCs w:val="24"/>
        </w:rPr>
        <w:t xml:space="preserve">% </w:t>
      </w:r>
      <w:r w:rsidR="001F7C51" w:rsidRPr="006874FD">
        <w:rPr>
          <w:sz w:val="24"/>
          <w:szCs w:val="24"/>
        </w:rPr>
        <w:t>in 2022/23</w:t>
      </w:r>
      <w:r w:rsidR="00A9639E" w:rsidRPr="006874FD">
        <w:rPr>
          <w:sz w:val="24"/>
          <w:szCs w:val="24"/>
        </w:rPr>
        <w:t>,</w:t>
      </w:r>
      <w:r w:rsidR="001F7C51" w:rsidRPr="006874FD">
        <w:rPr>
          <w:sz w:val="24"/>
          <w:szCs w:val="24"/>
        </w:rPr>
        <w:t xml:space="preserve"> </w:t>
      </w:r>
      <w:r w:rsidRPr="006874FD">
        <w:rPr>
          <w:sz w:val="24"/>
          <w:szCs w:val="24"/>
        </w:rPr>
        <w:t xml:space="preserve">to </w:t>
      </w:r>
      <w:r w:rsidR="00A61CAE" w:rsidRPr="006874FD">
        <w:rPr>
          <w:sz w:val="24"/>
          <w:szCs w:val="24"/>
        </w:rPr>
        <w:t>9</w:t>
      </w:r>
      <w:r w:rsidR="0061357F" w:rsidRPr="006874FD">
        <w:rPr>
          <w:sz w:val="24"/>
          <w:szCs w:val="24"/>
        </w:rPr>
        <w:t>4.6</w:t>
      </w:r>
      <w:r w:rsidRPr="006874FD">
        <w:rPr>
          <w:sz w:val="24"/>
          <w:szCs w:val="24"/>
        </w:rPr>
        <w:t>% in the year to date</w:t>
      </w:r>
      <w:r w:rsidR="00D246E7" w:rsidRPr="006874FD">
        <w:rPr>
          <w:sz w:val="24"/>
          <w:szCs w:val="24"/>
        </w:rPr>
        <w:t>.</w:t>
      </w:r>
    </w:p>
    <w:p w14:paraId="150B41AA" w14:textId="77777777" w:rsidR="00A065B6" w:rsidRPr="006874FD" w:rsidRDefault="00A065B6" w:rsidP="006874FD">
      <w:pPr>
        <w:rPr>
          <w:sz w:val="24"/>
          <w:szCs w:val="24"/>
        </w:rPr>
      </w:pPr>
      <w:r w:rsidRPr="006874FD">
        <w:rPr>
          <w:b/>
          <w:bCs/>
          <w:sz w:val="24"/>
          <w:szCs w:val="24"/>
        </w:rPr>
        <w:t>Business Fire Safety Check</w:t>
      </w:r>
      <w:r w:rsidRPr="006874FD">
        <w:rPr>
          <w:sz w:val="24"/>
          <w:szCs w:val="24"/>
        </w:rPr>
        <w:t xml:space="preserve"> training to increase knowledge of the built </w:t>
      </w:r>
      <w:proofErr w:type="gramStart"/>
      <w:r w:rsidRPr="006874FD">
        <w:rPr>
          <w:sz w:val="24"/>
          <w:szCs w:val="24"/>
        </w:rPr>
        <w:t>environment  delivered</w:t>
      </w:r>
      <w:proofErr w:type="gramEnd"/>
      <w:r w:rsidRPr="006874FD">
        <w:rPr>
          <w:sz w:val="24"/>
          <w:szCs w:val="24"/>
        </w:rPr>
        <w:t xml:space="preserve"> across wholetime and on-call operational crews along with flexi duty officers has produced efficiency and productivity savings of c.225 hours of wholetime operational crew time (reduced travel), alleviated 111 hours of On Call travel time and provided an overall direct financial saving of c.£12k through the use of new digital technology and bespoke delivery.</w:t>
      </w:r>
    </w:p>
    <w:p w14:paraId="5087EA18" w14:textId="526D295A" w:rsidR="00955034" w:rsidRPr="006874FD" w:rsidRDefault="008E06E0" w:rsidP="006874FD">
      <w:pPr>
        <w:rPr>
          <w:sz w:val="24"/>
          <w:szCs w:val="24"/>
        </w:rPr>
      </w:pPr>
      <w:r w:rsidRPr="006874FD">
        <w:rPr>
          <w:sz w:val="24"/>
          <w:szCs w:val="24"/>
        </w:rPr>
        <w:t xml:space="preserve">We intend to explore the potential to undertake system replacement over </w:t>
      </w:r>
      <w:r w:rsidR="00C6144D" w:rsidRPr="006874FD">
        <w:rPr>
          <w:sz w:val="24"/>
          <w:szCs w:val="24"/>
        </w:rPr>
        <w:t>2024/25</w:t>
      </w:r>
      <w:r w:rsidRPr="006874FD">
        <w:rPr>
          <w:sz w:val="24"/>
          <w:szCs w:val="24"/>
        </w:rPr>
        <w:t xml:space="preserve"> which will synergise and streamline current P&amp;P and Contact Centre systems, to increase efficiency </w:t>
      </w:r>
      <w:r w:rsidRPr="006874FD">
        <w:rPr>
          <w:sz w:val="24"/>
          <w:szCs w:val="24"/>
        </w:rPr>
        <w:lastRenderedPageBreak/>
        <w:t xml:space="preserve">in the handling, </w:t>
      </w:r>
      <w:proofErr w:type="gramStart"/>
      <w:r w:rsidRPr="006874FD">
        <w:rPr>
          <w:sz w:val="24"/>
          <w:szCs w:val="24"/>
        </w:rPr>
        <w:t>scheduling</w:t>
      </w:r>
      <w:proofErr w:type="gramEnd"/>
      <w:r w:rsidRPr="006874FD">
        <w:rPr>
          <w:sz w:val="24"/>
          <w:szCs w:val="24"/>
        </w:rPr>
        <w:t xml:space="preserve"> and booking of P&amp;P visits, </w:t>
      </w:r>
      <w:r w:rsidR="00480CB6" w:rsidRPr="006874FD">
        <w:rPr>
          <w:sz w:val="24"/>
          <w:szCs w:val="24"/>
        </w:rPr>
        <w:t xml:space="preserve">reduce wastage in appliance journey times, </w:t>
      </w:r>
      <w:r w:rsidRPr="006874FD">
        <w:rPr>
          <w:sz w:val="24"/>
          <w:szCs w:val="24"/>
        </w:rPr>
        <w:t>alongside delivering reduced system costs.</w:t>
      </w:r>
    </w:p>
    <w:p w14:paraId="7A265E62" w14:textId="092C7F80" w:rsidR="00D566FF" w:rsidRPr="006874FD" w:rsidRDefault="00AD4928" w:rsidP="006874FD">
      <w:pPr>
        <w:rPr>
          <w:sz w:val="24"/>
          <w:szCs w:val="24"/>
        </w:rPr>
      </w:pPr>
      <w:r w:rsidRPr="006874FD">
        <w:rPr>
          <w:sz w:val="24"/>
          <w:szCs w:val="24"/>
        </w:rPr>
        <w:t xml:space="preserve">We are actively streamlining policy and procedure in relation to the gathering of operational risk information </w:t>
      </w:r>
      <w:r w:rsidR="00C6144D" w:rsidRPr="006874FD">
        <w:rPr>
          <w:sz w:val="24"/>
          <w:szCs w:val="24"/>
        </w:rPr>
        <w:t xml:space="preserve">(SSRI) </w:t>
      </w:r>
      <w:r w:rsidRPr="006874FD">
        <w:rPr>
          <w:sz w:val="24"/>
          <w:szCs w:val="24"/>
        </w:rPr>
        <w:t xml:space="preserve">to ensure that the collation of information is appropriate to risk, based on a data-led approach and that subjectivity in risk assessment is removed to make the process as reliable and </w:t>
      </w:r>
      <w:r w:rsidR="00480CB6" w:rsidRPr="006874FD">
        <w:rPr>
          <w:sz w:val="24"/>
          <w:szCs w:val="24"/>
        </w:rPr>
        <w:t>efficient</w:t>
      </w:r>
      <w:r w:rsidRPr="006874FD">
        <w:rPr>
          <w:sz w:val="24"/>
          <w:szCs w:val="24"/>
        </w:rPr>
        <w:t xml:space="preserve"> as it can be.  We expect to see a reduction in the number of SSRI files held </w:t>
      </w:r>
      <w:r w:rsidR="00C6144D" w:rsidRPr="006874FD">
        <w:rPr>
          <w:sz w:val="24"/>
          <w:szCs w:val="24"/>
        </w:rPr>
        <w:t>over</w:t>
      </w:r>
      <w:r w:rsidRPr="006874FD">
        <w:rPr>
          <w:sz w:val="24"/>
          <w:szCs w:val="24"/>
        </w:rPr>
        <w:t xml:space="preserve"> the coming year and the resultant reduction in unnecessary time spent maintaining th</w:t>
      </w:r>
      <w:r w:rsidR="00480CB6" w:rsidRPr="006874FD">
        <w:rPr>
          <w:sz w:val="24"/>
          <w:szCs w:val="24"/>
        </w:rPr>
        <w:t>e</w:t>
      </w:r>
      <w:r w:rsidRPr="006874FD">
        <w:rPr>
          <w:sz w:val="24"/>
          <w:szCs w:val="24"/>
        </w:rPr>
        <w:t>se records</w:t>
      </w:r>
      <w:r w:rsidR="00480CB6" w:rsidRPr="006874FD">
        <w:rPr>
          <w:sz w:val="24"/>
          <w:szCs w:val="24"/>
        </w:rPr>
        <w:t xml:space="preserve"> by operational crews over </w:t>
      </w:r>
      <w:r w:rsidR="00C6144D" w:rsidRPr="006874FD">
        <w:rPr>
          <w:sz w:val="24"/>
          <w:szCs w:val="24"/>
        </w:rPr>
        <w:t>2024/25</w:t>
      </w:r>
      <w:r w:rsidR="00480CB6" w:rsidRPr="006874FD">
        <w:rPr>
          <w:sz w:val="24"/>
          <w:szCs w:val="24"/>
        </w:rPr>
        <w:t xml:space="preserve"> and beyond</w:t>
      </w:r>
      <w:r w:rsidRPr="006874FD">
        <w:rPr>
          <w:sz w:val="24"/>
          <w:szCs w:val="24"/>
        </w:rPr>
        <w:t>.</w:t>
      </w:r>
    </w:p>
    <w:p w14:paraId="00616C22" w14:textId="32ACA04A" w:rsidR="00D566FF" w:rsidRPr="00385261" w:rsidRDefault="007756C5" w:rsidP="006874FD">
      <w:pPr>
        <w:rPr>
          <w:sz w:val="24"/>
          <w:szCs w:val="24"/>
        </w:rPr>
      </w:pPr>
      <w:r w:rsidRPr="00385261">
        <w:rPr>
          <w:sz w:val="24"/>
          <w:szCs w:val="24"/>
        </w:rPr>
        <w:t xml:space="preserve">A </w:t>
      </w:r>
      <w:r w:rsidR="00D566FF" w:rsidRPr="00385261">
        <w:rPr>
          <w:b/>
          <w:bCs/>
          <w:sz w:val="24"/>
          <w:szCs w:val="24"/>
        </w:rPr>
        <w:t>Training review</w:t>
      </w:r>
      <w:r w:rsidR="00D566FF" w:rsidRPr="00385261">
        <w:rPr>
          <w:sz w:val="24"/>
          <w:szCs w:val="24"/>
        </w:rPr>
        <w:t xml:space="preserve"> </w:t>
      </w:r>
      <w:r w:rsidRPr="00385261">
        <w:rPr>
          <w:sz w:val="24"/>
          <w:szCs w:val="24"/>
        </w:rPr>
        <w:t xml:space="preserve">is </w:t>
      </w:r>
      <w:r w:rsidR="00D566FF" w:rsidRPr="00385261">
        <w:rPr>
          <w:sz w:val="24"/>
          <w:szCs w:val="24"/>
        </w:rPr>
        <w:t>planned</w:t>
      </w:r>
      <w:r w:rsidR="00F24B52" w:rsidRPr="00385261">
        <w:rPr>
          <w:sz w:val="24"/>
          <w:szCs w:val="24"/>
        </w:rPr>
        <w:t xml:space="preserve"> </w:t>
      </w:r>
      <w:r w:rsidRPr="00385261">
        <w:rPr>
          <w:sz w:val="24"/>
          <w:szCs w:val="24"/>
        </w:rPr>
        <w:t xml:space="preserve">for </w:t>
      </w:r>
      <w:r w:rsidR="00F24B52" w:rsidRPr="00385261">
        <w:rPr>
          <w:sz w:val="24"/>
          <w:szCs w:val="24"/>
        </w:rPr>
        <w:t>202</w:t>
      </w:r>
      <w:r w:rsidR="6928E020" w:rsidRPr="00385261">
        <w:rPr>
          <w:sz w:val="24"/>
          <w:szCs w:val="24"/>
        </w:rPr>
        <w:t>4</w:t>
      </w:r>
      <w:r w:rsidR="005C7326" w:rsidRPr="00385261">
        <w:rPr>
          <w:sz w:val="24"/>
          <w:szCs w:val="24"/>
        </w:rPr>
        <w:t>-2</w:t>
      </w:r>
      <w:r w:rsidR="547BBF9A" w:rsidRPr="00385261">
        <w:rPr>
          <w:sz w:val="24"/>
          <w:szCs w:val="24"/>
        </w:rPr>
        <w:t>5</w:t>
      </w:r>
      <w:r w:rsidR="00D566FF" w:rsidRPr="00385261">
        <w:rPr>
          <w:sz w:val="24"/>
          <w:szCs w:val="24"/>
        </w:rPr>
        <w:t xml:space="preserve"> to streamline service wide training delivery to optimise </w:t>
      </w:r>
      <w:r w:rsidR="00A9639E" w:rsidRPr="00385261">
        <w:rPr>
          <w:sz w:val="24"/>
          <w:szCs w:val="24"/>
        </w:rPr>
        <w:t>our arrangements</w:t>
      </w:r>
      <w:r w:rsidR="00D566FF" w:rsidRPr="00385261">
        <w:rPr>
          <w:sz w:val="24"/>
          <w:szCs w:val="24"/>
        </w:rPr>
        <w:t xml:space="preserve"> and build back capacity into both Training and Op</w:t>
      </w:r>
      <w:r w:rsidR="00001C08" w:rsidRPr="00385261">
        <w:rPr>
          <w:sz w:val="24"/>
          <w:szCs w:val="24"/>
        </w:rPr>
        <w:t xml:space="preserve">erational Response </w:t>
      </w:r>
      <w:r w:rsidR="00090B35" w:rsidRPr="00385261">
        <w:rPr>
          <w:sz w:val="24"/>
          <w:szCs w:val="24"/>
        </w:rPr>
        <w:t>functions.  The review aims to:</w:t>
      </w:r>
    </w:p>
    <w:p w14:paraId="0A3227F5" w14:textId="77777777" w:rsidR="00090B35" w:rsidRPr="00385261" w:rsidRDefault="00090B35" w:rsidP="00385261">
      <w:pPr>
        <w:pStyle w:val="ListParagraph"/>
        <w:numPr>
          <w:ilvl w:val="0"/>
          <w:numId w:val="26"/>
        </w:numPr>
        <w:rPr>
          <w:sz w:val="24"/>
          <w:szCs w:val="24"/>
        </w:rPr>
      </w:pPr>
      <w:r w:rsidRPr="00385261">
        <w:rPr>
          <w:sz w:val="24"/>
          <w:szCs w:val="24"/>
        </w:rPr>
        <w:t xml:space="preserve">Assure effective and proportionate training </w:t>
      </w:r>
      <w:proofErr w:type="gramStart"/>
      <w:r w:rsidRPr="00385261">
        <w:rPr>
          <w:sz w:val="24"/>
          <w:szCs w:val="24"/>
        </w:rPr>
        <w:t>delivery</w:t>
      </w:r>
      <w:proofErr w:type="gramEnd"/>
    </w:p>
    <w:p w14:paraId="23A1C66D" w14:textId="2BC3C764" w:rsidR="00090B35" w:rsidRPr="00385261" w:rsidRDefault="00090B35" w:rsidP="00385261">
      <w:pPr>
        <w:pStyle w:val="ListParagraph"/>
        <w:numPr>
          <w:ilvl w:val="0"/>
          <w:numId w:val="26"/>
        </w:numPr>
        <w:rPr>
          <w:sz w:val="24"/>
          <w:szCs w:val="24"/>
        </w:rPr>
      </w:pPr>
      <w:r w:rsidRPr="00385261">
        <w:rPr>
          <w:sz w:val="24"/>
          <w:szCs w:val="24"/>
        </w:rPr>
        <w:t xml:space="preserve">Reduce training </w:t>
      </w:r>
      <w:proofErr w:type="gramStart"/>
      <w:r w:rsidRPr="00385261">
        <w:rPr>
          <w:sz w:val="24"/>
          <w:szCs w:val="24"/>
        </w:rPr>
        <w:t>costs</w:t>
      </w:r>
      <w:proofErr w:type="gramEnd"/>
    </w:p>
    <w:p w14:paraId="32B98E51" w14:textId="6381540A" w:rsidR="00D566FF" w:rsidRPr="00385261" w:rsidRDefault="00090B35" w:rsidP="00385261">
      <w:pPr>
        <w:pStyle w:val="ListParagraph"/>
        <w:numPr>
          <w:ilvl w:val="0"/>
          <w:numId w:val="26"/>
        </w:numPr>
        <w:rPr>
          <w:sz w:val="24"/>
          <w:szCs w:val="24"/>
        </w:rPr>
      </w:pPr>
      <w:r w:rsidRPr="00385261">
        <w:rPr>
          <w:sz w:val="24"/>
          <w:szCs w:val="24"/>
        </w:rPr>
        <w:t>Produce f</w:t>
      </w:r>
      <w:r w:rsidR="00D566FF" w:rsidRPr="00385261">
        <w:rPr>
          <w:sz w:val="24"/>
          <w:szCs w:val="24"/>
        </w:rPr>
        <w:t xml:space="preserve">urther productivity gains </w:t>
      </w:r>
      <w:r w:rsidRPr="00385261">
        <w:rPr>
          <w:sz w:val="24"/>
          <w:szCs w:val="24"/>
        </w:rPr>
        <w:t>for operational crews i</w:t>
      </w:r>
      <w:r w:rsidR="00D566FF" w:rsidRPr="00385261">
        <w:rPr>
          <w:sz w:val="24"/>
          <w:szCs w:val="24"/>
        </w:rPr>
        <w:t xml:space="preserve">n future </w:t>
      </w:r>
      <w:proofErr w:type="gramStart"/>
      <w:r w:rsidR="00D566FF" w:rsidRPr="00385261">
        <w:rPr>
          <w:sz w:val="24"/>
          <w:szCs w:val="24"/>
        </w:rPr>
        <w:t>years</w:t>
      </w:r>
      <w:proofErr w:type="gramEnd"/>
    </w:p>
    <w:p w14:paraId="41E99AF5" w14:textId="159AD346" w:rsidR="00D566FF" w:rsidRPr="00385261" w:rsidRDefault="00D566FF" w:rsidP="00385261">
      <w:pPr>
        <w:pStyle w:val="ListParagraph"/>
        <w:numPr>
          <w:ilvl w:val="0"/>
          <w:numId w:val="26"/>
        </w:numPr>
        <w:rPr>
          <w:sz w:val="24"/>
          <w:szCs w:val="24"/>
        </w:rPr>
      </w:pPr>
      <w:r w:rsidRPr="00385261">
        <w:rPr>
          <w:sz w:val="24"/>
          <w:szCs w:val="24"/>
        </w:rPr>
        <w:t xml:space="preserve">Reduce rota abstractions </w:t>
      </w:r>
      <w:r w:rsidR="00090B35" w:rsidRPr="00385261">
        <w:rPr>
          <w:sz w:val="24"/>
          <w:szCs w:val="24"/>
        </w:rPr>
        <w:t xml:space="preserve">due to </w:t>
      </w:r>
      <w:r w:rsidRPr="00385261">
        <w:rPr>
          <w:sz w:val="24"/>
          <w:szCs w:val="24"/>
        </w:rPr>
        <w:t xml:space="preserve">training </w:t>
      </w:r>
      <w:proofErr w:type="gramStart"/>
      <w:r w:rsidRPr="00385261">
        <w:rPr>
          <w:sz w:val="24"/>
          <w:szCs w:val="24"/>
        </w:rPr>
        <w:t>attendance</w:t>
      </w:r>
      <w:proofErr w:type="gramEnd"/>
    </w:p>
    <w:p w14:paraId="4CB730DE" w14:textId="73BA8510" w:rsidR="00706457" w:rsidRPr="00385261" w:rsidRDefault="00D566FF" w:rsidP="00385261">
      <w:pPr>
        <w:pStyle w:val="ListParagraph"/>
        <w:numPr>
          <w:ilvl w:val="0"/>
          <w:numId w:val="26"/>
        </w:numPr>
        <w:rPr>
          <w:sz w:val="24"/>
          <w:szCs w:val="24"/>
        </w:rPr>
      </w:pPr>
      <w:r w:rsidRPr="00385261">
        <w:rPr>
          <w:sz w:val="24"/>
          <w:szCs w:val="24"/>
        </w:rPr>
        <w:t xml:space="preserve">Reduce overtime </w:t>
      </w:r>
      <w:proofErr w:type="gramStart"/>
      <w:r w:rsidRPr="00385261">
        <w:rPr>
          <w:sz w:val="24"/>
          <w:szCs w:val="24"/>
        </w:rPr>
        <w:t>costs</w:t>
      </w:r>
      <w:proofErr w:type="gramEnd"/>
    </w:p>
    <w:p w14:paraId="5ED1242C" w14:textId="07A2CC9D" w:rsidR="00D318D0" w:rsidRPr="00385261" w:rsidRDefault="00D318D0" w:rsidP="00385261">
      <w:pPr>
        <w:pStyle w:val="ListParagraph"/>
        <w:numPr>
          <w:ilvl w:val="0"/>
          <w:numId w:val="26"/>
        </w:numPr>
        <w:rPr>
          <w:sz w:val="24"/>
          <w:szCs w:val="24"/>
        </w:rPr>
      </w:pPr>
      <w:r w:rsidRPr="00385261">
        <w:rPr>
          <w:sz w:val="24"/>
          <w:szCs w:val="24"/>
        </w:rPr>
        <w:t>Deliver a more flexible training model for On Call staff, reducing the need for time away from primary employment and therefore a reduction in the associated loss of earnings claims</w:t>
      </w:r>
      <w:r w:rsidR="0023320E" w:rsidRPr="00385261">
        <w:rPr>
          <w:sz w:val="24"/>
          <w:szCs w:val="24"/>
        </w:rPr>
        <w:t>.</w:t>
      </w:r>
    </w:p>
    <w:p w14:paraId="37CD0606" w14:textId="47A985DB" w:rsidR="00480CB6" w:rsidRPr="00385261" w:rsidRDefault="00A9639E" w:rsidP="006874FD">
      <w:pPr>
        <w:rPr>
          <w:sz w:val="24"/>
          <w:szCs w:val="24"/>
        </w:rPr>
      </w:pPr>
      <w:r w:rsidRPr="00385261">
        <w:rPr>
          <w:sz w:val="24"/>
          <w:szCs w:val="24"/>
        </w:rPr>
        <w:t>Our ‘</w:t>
      </w:r>
      <w:r w:rsidR="000036A6" w:rsidRPr="00385261">
        <w:rPr>
          <w:sz w:val="24"/>
          <w:szCs w:val="24"/>
        </w:rPr>
        <w:t xml:space="preserve">Climate Change Operational Response Plan </w:t>
      </w:r>
      <w:r w:rsidR="00480CB6" w:rsidRPr="00385261">
        <w:rPr>
          <w:sz w:val="24"/>
          <w:szCs w:val="24"/>
        </w:rPr>
        <w:t>2022-27</w:t>
      </w:r>
      <w:r w:rsidRPr="00385261">
        <w:rPr>
          <w:sz w:val="24"/>
          <w:szCs w:val="24"/>
        </w:rPr>
        <w:t>’</w:t>
      </w:r>
      <w:r w:rsidR="00480CB6" w:rsidRPr="00385261">
        <w:rPr>
          <w:sz w:val="24"/>
          <w:szCs w:val="24"/>
        </w:rPr>
        <w:t xml:space="preserve"> was </w:t>
      </w:r>
      <w:r w:rsidR="000036A6" w:rsidRPr="00385261">
        <w:rPr>
          <w:sz w:val="24"/>
          <w:szCs w:val="24"/>
        </w:rPr>
        <w:t>developed with investment in</w:t>
      </w:r>
      <w:r w:rsidR="00480CB6" w:rsidRPr="00385261">
        <w:rPr>
          <w:sz w:val="24"/>
          <w:szCs w:val="24"/>
        </w:rPr>
        <w:t>to</w:t>
      </w:r>
      <w:r w:rsidR="000036A6" w:rsidRPr="00385261">
        <w:rPr>
          <w:sz w:val="24"/>
          <w:szCs w:val="24"/>
        </w:rPr>
        <w:t xml:space="preserve"> new capabilities</w:t>
      </w:r>
      <w:r w:rsidR="000071C6" w:rsidRPr="00385261">
        <w:rPr>
          <w:sz w:val="24"/>
          <w:szCs w:val="24"/>
        </w:rPr>
        <w:t>.</w:t>
      </w:r>
      <w:r w:rsidR="00486CD6" w:rsidRPr="00385261">
        <w:rPr>
          <w:sz w:val="24"/>
          <w:szCs w:val="24"/>
        </w:rPr>
        <w:t xml:space="preserve"> </w:t>
      </w:r>
      <w:r w:rsidR="00480CB6" w:rsidRPr="00385261">
        <w:rPr>
          <w:sz w:val="24"/>
          <w:szCs w:val="24"/>
        </w:rPr>
        <w:t xml:space="preserve"> Evaluation of several key deliverables to date has provided operational efficiencies across:</w:t>
      </w:r>
    </w:p>
    <w:p w14:paraId="215FF6D7" w14:textId="64CE1350" w:rsidR="00480CB6" w:rsidRPr="00385261" w:rsidRDefault="00480CB6" w:rsidP="00385261">
      <w:pPr>
        <w:pStyle w:val="ListParagraph"/>
        <w:numPr>
          <w:ilvl w:val="0"/>
          <w:numId w:val="26"/>
        </w:numPr>
      </w:pPr>
      <w:r w:rsidRPr="00385261">
        <w:t xml:space="preserve">Fleet </w:t>
      </w:r>
      <w:proofErr w:type="gramStart"/>
      <w:r w:rsidRPr="00385261">
        <w:t>vehicles</w:t>
      </w:r>
      <w:proofErr w:type="gramEnd"/>
      <w:r w:rsidRPr="00385261">
        <w:t xml:space="preserve"> </w:t>
      </w:r>
    </w:p>
    <w:p w14:paraId="2CDF9972" w14:textId="2017042F" w:rsidR="00480CB6" w:rsidRPr="00385261" w:rsidRDefault="00480CB6" w:rsidP="00385261">
      <w:pPr>
        <w:pStyle w:val="ListParagraph"/>
        <w:numPr>
          <w:ilvl w:val="0"/>
          <w:numId w:val="26"/>
        </w:numPr>
      </w:pPr>
      <w:r w:rsidRPr="00385261">
        <w:t xml:space="preserve">Specialist training </w:t>
      </w:r>
    </w:p>
    <w:p w14:paraId="1A18E48B" w14:textId="36FC1A15" w:rsidR="00480CB6" w:rsidRPr="00385261" w:rsidRDefault="00480CB6" w:rsidP="00385261">
      <w:pPr>
        <w:pStyle w:val="ListParagraph"/>
        <w:numPr>
          <w:ilvl w:val="0"/>
          <w:numId w:val="26"/>
        </w:numPr>
      </w:pPr>
      <w:r w:rsidRPr="00385261">
        <w:t xml:space="preserve">PPE </w:t>
      </w:r>
    </w:p>
    <w:p w14:paraId="07806E40" w14:textId="008159DF" w:rsidR="00480CB6" w:rsidRPr="00385261" w:rsidRDefault="00480CB6" w:rsidP="00385261">
      <w:pPr>
        <w:pStyle w:val="ListParagraph"/>
        <w:numPr>
          <w:ilvl w:val="0"/>
          <w:numId w:val="26"/>
        </w:numPr>
      </w:pPr>
      <w:r w:rsidRPr="00385261">
        <w:t xml:space="preserve">Technology &amp; Equipment </w:t>
      </w:r>
    </w:p>
    <w:p w14:paraId="57F6646E" w14:textId="29CF548A" w:rsidR="00480CB6" w:rsidRPr="00385261" w:rsidRDefault="000071C6" w:rsidP="006874FD">
      <w:pPr>
        <w:rPr>
          <w:sz w:val="24"/>
          <w:szCs w:val="24"/>
        </w:rPr>
      </w:pPr>
      <w:r w:rsidRPr="00385261">
        <w:rPr>
          <w:sz w:val="24"/>
          <w:szCs w:val="24"/>
        </w:rPr>
        <w:t>I</w:t>
      </w:r>
      <w:r w:rsidR="000036A6" w:rsidRPr="00385261">
        <w:rPr>
          <w:sz w:val="24"/>
          <w:szCs w:val="24"/>
        </w:rPr>
        <w:t>ncreased partnership working via L</w:t>
      </w:r>
      <w:r w:rsidRPr="00385261">
        <w:rPr>
          <w:sz w:val="24"/>
          <w:szCs w:val="24"/>
        </w:rPr>
        <w:t>ancashire Fire Operations Group (L</w:t>
      </w:r>
      <w:r w:rsidR="000036A6" w:rsidRPr="00385261">
        <w:rPr>
          <w:sz w:val="24"/>
          <w:szCs w:val="24"/>
        </w:rPr>
        <w:t>FOG</w:t>
      </w:r>
      <w:r w:rsidRPr="00385261">
        <w:rPr>
          <w:sz w:val="24"/>
          <w:szCs w:val="24"/>
        </w:rPr>
        <w:t>)</w:t>
      </w:r>
      <w:r w:rsidR="000036A6" w:rsidRPr="00385261">
        <w:rPr>
          <w:sz w:val="24"/>
          <w:szCs w:val="24"/>
        </w:rPr>
        <w:t xml:space="preserve"> </w:t>
      </w:r>
      <w:r w:rsidR="00480CB6" w:rsidRPr="00385261">
        <w:rPr>
          <w:sz w:val="24"/>
          <w:szCs w:val="24"/>
        </w:rPr>
        <w:t xml:space="preserve">has seen the launch of </w:t>
      </w:r>
      <w:r w:rsidR="000036A6" w:rsidRPr="00385261">
        <w:rPr>
          <w:sz w:val="24"/>
          <w:szCs w:val="24"/>
        </w:rPr>
        <w:t>PSPO’s</w:t>
      </w:r>
      <w:r w:rsidR="00001C08" w:rsidRPr="00385261">
        <w:rPr>
          <w:sz w:val="24"/>
          <w:szCs w:val="24"/>
        </w:rPr>
        <w:t xml:space="preserve"> (Public Space Protection Orders)</w:t>
      </w:r>
      <w:r w:rsidR="000036A6" w:rsidRPr="00385261">
        <w:rPr>
          <w:sz w:val="24"/>
          <w:szCs w:val="24"/>
        </w:rPr>
        <w:t xml:space="preserve"> </w:t>
      </w:r>
      <w:r w:rsidR="00480CB6" w:rsidRPr="00385261">
        <w:rPr>
          <w:sz w:val="24"/>
          <w:szCs w:val="24"/>
        </w:rPr>
        <w:t xml:space="preserve">over the last year, </w:t>
      </w:r>
      <w:r w:rsidR="000036A6" w:rsidRPr="00385261">
        <w:rPr>
          <w:sz w:val="24"/>
          <w:szCs w:val="24"/>
        </w:rPr>
        <w:t>for sites deemed high risk for wildfire activity</w:t>
      </w:r>
      <w:r w:rsidRPr="00385261">
        <w:rPr>
          <w:sz w:val="24"/>
          <w:szCs w:val="24"/>
        </w:rPr>
        <w:t>.</w:t>
      </w:r>
      <w:r w:rsidR="00480CB6" w:rsidRPr="00385261">
        <w:rPr>
          <w:sz w:val="24"/>
          <w:szCs w:val="24"/>
        </w:rPr>
        <w:t xml:space="preserve">  The introduction of PSPO’s should deter unwanted and unnecessary fire-setting in </w:t>
      </w:r>
      <w:r w:rsidR="00A9639E" w:rsidRPr="00385261">
        <w:rPr>
          <w:sz w:val="24"/>
          <w:szCs w:val="24"/>
        </w:rPr>
        <w:t>high-risk</w:t>
      </w:r>
      <w:r w:rsidR="00480CB6" w:rsidRPr="00385261">
        <w:rPr>
          <w:sz w:val="24"/>
          <w:szCs w:val="24"/>
        </w:rPr>
        <w:t xml:space="preserve"> areas, reducing mobilisations and incidents.  The success of the PSPO’s introduced, will be measured after the 2024/25 wildfire season.</w:t>
      </w:r>
    </w:p>
    <w:p w14:paraId="25A4DFB7" w14:textId="34464ABF" w:rsidR="005427FF" w:rsidRPr="00385261" w:rsidRDefault="005427FF" w:rsidP="006874FD">
      <w:pPr>
        <w:rPr>
          <w:sz w:val="24"/>
          <w:szCs w:val="24"/>
        </w:rPr>
      </w:pPr>
      <w:r w:rsidRPr="00385261">
        <w:rPr>
          <w:sz w:val="24"/>
          <w:szCs w:val="24"/>
        </w:rPr>
        <w:t xml:space="preserve">Our </w:t>
      </w:r>
      <w:r w:rsidRPr="00385261">
        <w:rPr>
          <w:b/>
          <w:bCs/>
          <w:sz w:val="24"/>
          <w:szCs w:val="24"/>
        </w:rPr>
        <w:t>On Call Improvement Programme</w:t>
      </w:r>
      <w:r w:rsidRPr="00385261">
        <w:rPr>
          <w:sz w:val="24"/>
          <w:szCs w:val="24"/>
        </w:rPr>
        <w:t xml:space="preserve"> provides a fundamental review of our On Call system to ensure that it remains an efficient and effective use of resources.  The programme focuses upon recruitment, selection, development, and retention of On Call staff and takes in reviews of induction, initial training, role capabilities, remuneration, employment contracts, </w:t>
      </w:r>
      <w:proofErr w:type="gramStart"/>
      <w:r w:rsidRPr="00385261">
        <w:rPr>
          <w:sz w:val="24"/>
          <w:szCs w:val="24"/>
        </w:rPr>
        <w:t>mobilising</w:t>
      </w:r>
      <w:proofErr w:type="gramEnd"/>
      <w:r w:rsidRPr="00385261">
        <w:rPr>
          <w:sz w:val="24"/>
          <w:szCs w:val="24"/>
        </w:rPr>
        <w:t xml:space="preserve"> and resilience of special appliances. Several projects were delivered during 2023/24, which included a ‘Hybrid Working’ trial which enables people to work from an On Call station during essential daytime hours and simultaneously provide availability for the On Call </w:t>
      </w:r>
      <w:r w:rsidR="00A9639E" w:rsidRPr="00385261">
        <w:rPr>
          <w:sz w:val="24"/>
          <w:szCs w:val="24"/>
        </w:rPr>
        <w:t>f</w:t>
      </w:r>
      <w:r w:rsidRPr="00385261">
        <w:rPr>
          <w:sz w:val="24"/>
          <w:szCs w:val="24"/>
        </w:rPr>
        <w:t xml:space="preserve">ire </w:t>
      </w:r>
      <w:r w:rsidR="00A9639E" w:rsidRPr="00385261">
        <w:rPr>
          <w:sz w:val="24"/>
          <w:szCs w:val="24"/>
        </w:rPr>
        <w:t>e</w:t>
      </w:r>
      <w:r w:rsidRPr="00385261">
        <w:rPr>
          <w:sz w:val="24"/>
          <w:szCs w:val="24"/>
        </w:rPr>
        <w:t xml:space="preserve">ngine. </w:t>
      </w:r>
      <w:r w:rsidR="00A9639E" w:rsidRPr="00385261">
        <w:rPr>
          <w:sz w:val="24"/>
          <w:szCs w:val="24"/>
        </w:rPr>
        <w:t xml:space="preserve"> </w:t>
      </w:r>
      <w:r w:rsidRPr="00385261">
        <w:rPr>
          <w:sz w:val="24"/>
          <w:szCs w:val="24"/>
        </w:rPr>
        <w:t xml:space="preserve">This has resulted in more effective recruitment and improved </w:t>
      </w:r>
      <w:r w:rsidRPr="00385261">
        <w:rPr>
          <w:sz w:val="24"/>
          <w:szCs w:val="24"/>
        </w:rPr>
        <w:lastRenderedPageBreak/>
        <w:t xml:space="preserve">availability of a fire engine where the trial has taken place. </w:t>
      </w:r>
      <w:r w:rsidR="00A9639E" w:rsidRPr="00385261">
        <w:rPr>
          <w:sz w:val="24"/>
          <w:szCs w:val="24"/>
        </w:rPr>
        <w:t xml:space="preserve"> </w:t>
      </w:r>
      <w:r w:rsidRPr="00385261">
        <w:rPr>
          <w:sz w:val="24"/>
          <w:szCs w:val="24"/>
        </w:rPr>
        <w:t>The learning from this project is being shared nationally as positive practice.</w:t>
      </w:r>
    </w:p>
    <w:p w14:paraId="1E6DD984" w14:textId="66038354" w:rsidR="00706457" w:rsidRPr="00385261" w:rsidRDefault="00AC13D0" w:rsidP="006874FD">
      <w:pPr>
        <w:rPr>
          <w:sz w:val="24"/>
          <w:szCs w:val="24"/>
        </w:rPr>
      </w:pPr>
      <w:r w:rsidRPr="00385261">
        <w:rPr>
          <w:sz w:val="24"/>
          <w:szCs w:val="24"/>
        </w:rPr>
        <w:t>We recognise the need to continue to review and invest in the On Call system to ensure its sustainability longer term.  During 2023-24 we implement</w:t>
      </w:r>
      <w:r w:rsidR="00D54D44" w:rsidRPr="00385261">
        <w:rPr>
          <w:sz w:val="24"/>
          <w:szCs w:val="24"/>
        </w:rPr>
        <w:t>ed</w:t>
      </w:r>
      <w:r w:rsidRPr="00385261">
        <w:rPr>
          <w:sz w:val="24"/>
          <w:szCs w:val="24"/>
        </w:rPr>
        <w:t xml:space="preserve"> a F</w:t>
      </w:r>
      <w:r w:rsidR="00486CD6" w:rsidRPr="00385261">
        <w:rPr>
          <w:sz w:val="24"/>
          <w:szCs w:val="24"/>
        </w:rPr>
        <w:t xml:space="preserve">lexi </w:t>
      </w:r>
      <w:r w:rsidRPr="00385261">
        <w:rPr>
          <w:sz w:val="24"/>
          <w:szCs w:val="24"/>
        </w:rPr>
        <w:t>D</w:t>
      </w:r>
      <w:r w:rsidR="00486CD6" w:rsidRPr="00385261">
        <w:rPr>
          <w:sz w:val="24"/>
          <w:szCs w:val="24"/>
        </w:rPr>
        <w:t xml:space="preserve">uty </w:t>
      </w:r>
      <w:r w:rsidRPr="00385261">
        <w:rPr>
          <w:sz w:val="24"/>
          <w:szCs w:val="24"/>
        </w:rPr>
        <w:t>O</w:t>
      </w:r>
      <w:r w:rsidR="00486CD6" w:rsidRPr="00385261">
        <w:rPr>
          <w:sz w:val="24"/>
          <w:szCs w:val="24"/>
        </w:rPr>
        <w:t>fficer (FDO)</w:t>
      </w:r>
      <w:r w:rsidRPr="00385261">
        <w:rPr>
          <w:sz w:val="24"/>
          <w:szCs w:val="24"/>
        </w:rPr>
        <w:t xml:space="preserve"> restructure to redistribute workloads to create a specific station manager post to drive the improvement and progression across our On Call programme.</w:t>
      </w:r>
      <w:r w:rsidR="002F29AC" w:rsidRPr="00385261">
        <w:rPr>
          <w:sz w:val="24"/>
          <w:szCs w:val="24"/>
        </w:rPr>
        <w:t xml:space="preserve"> </w:t>
      </w:r>
      <w:r w:rsidR="00A9639E" w:rsidRPr="00385261">
        <w:rPr>
          <w:sz w:val="24"/>
          <w:szCs w:val="24"/>
        </w:rPr>
        <w:t xml:space="preserve"> </w:t>
      </w:r>
      <w:r w:rsidR="002F29AC" w:rsidRPr="00385261">
        <w:rPr>
          <w:sz w:val="24"/>
          <w:szCs w:val="24"/>
        </w:rPr>
        <w:t>This redistribution of resources avoids the need to invest in new posts, saving 0.1m</w:t>
      </w:r>
      <w:r w:rsidR="005C7326" w:rsidRPr="00385261">
        <w:rPr>
          <w:sz w:val="24"/>
          <w:szCs w:val="24"/>
        </w:rPr>
        <w:t>.</w:t>
      </w:r>
    </w:p>
    <w:p w14:paraId="058EC4AA" w14:textId="11DD6545" w:rsidR="005C7326" w:rsidRPr="00385261" w:rsidRDefault="005C7326" w:rsidP="006874FD">
      <w:pPr>
        <w:rPr>
          <w:sz w:val="24"/>
          <w:szCs w:val="24"/>
        </w:rPr>
      </w:pPr>
      <w:r w:rsidRPr="00385261">
        <w:rPr>
          <w:sz w:val="24"/>
          <w:szCs w:val="24"/>
        </w:rPr>
        <w:t xml:space="preserve">We have recently commissioned work on a bespoke software solution to provide rich data for each of our on-call units to ensure they are sustainable and able to increase availability of our on-call fire appliances. </w:t>
      </w:r>
      <w:r w:rsidR="00C34443" w:rsidRPr="00385261">
        <w:rPr>
          <w:sz w:val="24"/>
          <w:szCs w:val="24"/>
        </w:rPr>
        <w:t xml:space="preserve"> </w:t>
      </w:r>
      <w:r w:rsidRPr="00385261">
        <w:rPr>
          <w:sz w:val="24"/>
          <w:szCs w:val="24"/>
        </w:rPr>
        <w:t xml:space="preserve">It is anticipated that this innovative software will lead to improved availability of resources and allow us to target specific individuals based on intelligent data, for upskilling around incident command and driving, in particular. </w:t>
      </w:r>
    </w:p>
    <w:p w14:paraId="61E59505" w14:textId="2AB38DE7" w:rsidR="009E16DA" w:rsidRPr="006874FD" w:rsidRDefault="009E16DA" w:rsidP="006874FD">
      <w:pPr>
        <w:pStyle w:val="Heading2"/>
        <w:rPr>
          <w:rStyle w:val="normaltextrun"/>
          <w:color w:val="auto"/>
        </w:rPr>
      </w:pPr>
      <w:r w:rsidRPr="006874FD">
        <w:rPr>
          <w:rStyle w:val="normaltextrun"/>
          <w:color w:val="auto"/>
        </w:rPr>
        <w:t>Charging policies</w:t>
      </w:r>
    </w:p>
    <w:p w14:paraId="45261FC5" w14:textId="30315763" w:rsidR="000B7285" w:rsidRPr="00385261" w:rsidRDefault="000B7285" w:rsidP="006874FD">
      <w:pPr>
        <w:rPr>
          <w:sz w:val="24"/>
          <w:szCs w:val="24"/>
        </w:rPr>
      </w:pPr>
      <w:r w:rsidRPr="00385261">
        <w:rPr>
          <w:sz w:val="24"/>
          <w:szCs w:val="24"/>
        </w:rPr>
        <w:t>Our focus in recent years has been to deliver collaborative p</w:t>
      </w:r>
      <w:r w:rsidR="007F712A" w:rsidRPr="00385261">
        <w:rPr>
          <w:sz w:val="24"/>
          <w:szCs w:val="24"/>
        </w:rPr>
        <w:t xml:space="preserve">rojects with a </w:t>
      </w:r>
      <w:r w:rsidR="00F24B52" w:rsidRPr="00385261">
        <w:rPr>
          <w:sz w:val="24"/>
          <w:szCs w:val="24"/>
        </w:rPr>
        <w:t>priority of</w:t>
      </w:r>
      <w:r w:rsidR="007F712A" w:rsidRPr="00385261">
        <w:rPr>
          <w:sz w:val="24"/>
          <w:szCs w:val="24"/>
        </w:rPr>
        <w:t xml:space="preserve"> delivering the best community outcomes. </w:t>
      </w:r>
      <w:r w:rsidR="00C34443" w:rsidRPr="00385261">
        <w:rPr>
          <w:sz w:val="24"/>
          <w:szCs w:val="24"/>
        </w:rPr>
        <w:t xml:space="preserve"> </w:t>
      </w:r>
      <w:r w:rsidR="007F712A" w:rsidRPr="00385261">
        <w:rPr>
          <w:sz w:val="24"/>
          <w:szCs w:val="24"/>
        </w:rPr>
        <w:t xml:space="preserve">We have an innovative approach to service delivery and are a trusted partner that can, and does, support regional and national partners during emergency incidents. </w:t>
      </w:r>
      <w:r w:rsidR="00D54D44" w:rsidRPr="00385261">
        <w:rPr>
          <w:sz w:val="24"/>
          <w:szCs w:val="24"/>
        </w:rPr>
        <w:t xml:space="preserve"> </w:t>
      </w:r>
      <w:r w:rsidR="007F712A" w:rsidRPr="00385261">
        <w:rPr>
          <w:sz w:val="24"/>
          <w:szCs w:val="24"/>
        </w:rPr>
        <w:t xml:space="preserve">We have arrangements in place across our neighbouring </w:t>
      </w:r>
      <w:r w:rsidR="00C34443" w:rsidRPr="00385261">
        <w:rPr>
          <w:sz w:val="24"/>
          <w:szCs w:val="24"/>
        </w:rPr>
        <w:t xml:space="preserve">FRS </w:t>
      </w:r>
      <w:r w:rsidR="007F712A" w:rsidRPr="00385261">
        <w:rPr>
          <w:sz w:val="24"/>
          <w:szCs w:val="24"/>
        </w:rPr>
        <w:t xml:space="preserve">to deliver the quickest and most suitable response, generally on a ‘knock for knock’ basis. </w:t>
      </w:r>
      <w:r w:rsidR="00C34443" w:rsidRPr="00385261">
        <w:rPr>
          <w:sz w:val="24"/>
          <w:szCs w:val="24"/>
        </w:rPr>
        <w:t xml:space="preserve"> </w:t>
      </w:r>
      <w:r w:rsidR="007F712A" w:rsidRPr="00385261">
        <w:rPr>
          <w:sz w:val="24"/>
          <w:szCs w:val="24"/>
        </w:rPr>
        <w:t xml:space="preserve">Over </w:t>
      </w:r>
      <w:r w:rsidR="00D54D44" w:rsidRPr="00385261">
        <w:rPr>
          <w:sz w:val="24"/>
          <w:szCs w:val="24"/>
        </w:rPr>
        <w:t xml:space="preserve">last </w:t>
      </w:r>
      <w:r w:rsidR="007F712A" w:rsidRPr="00385261">
        <w:rPr>
          <w:sz w:val="24"/>
          <w:szCs w:val="24"/>
        </w:rPr>
        <w:t>12 months we introduce</w:t>
      </w:r>
      <w:r w:rsidR="00D54D44" w:rsidRPr="00385261">
        <w:rPr>
          <w:sz w:val="24"/>
          <w:szCs w:val="24"/>
        </w:rPr>
        <w:t>d</w:t>
      </w:r>
      <w:r w:rsidR="007F712A" w:rsidRPr="00385261">
        <w:rPr>
          <w:sz w:val="24"/>
          <w:szCs w:val="24"/>
        </w:rPr>
        <w:t>:</w:t>
      </w:r>
    </w:p>
    <w:p w14:paraId="1123F4BF" w14:textId="341A27D3" w:rsidR="007710B4" w:rsidRPr="00385261" w:rsidRDefault="00574DCE" w:rsidP="00385261">
      <w:pPr>
        <w:pStyle w:val="ListParagraph"/>
        <w:numPr>
          <w:ilvl w:val="0"/>
          <w:numId w:val="26"/>
        </w:numPr>
        <w:rPr>
          <w:sz w:val="24"/>
          <w:szCs w:val="24"/>
        </w:rPr>
      </w:pPr>
      <w:r w:rsidRPr="00385261">
        <w:rPr>
          <w:b/>
          <w:bCs/>
          <w:sz w:val="24"/>
          <w:szCs w:val="24"/>
        </w:rPr>
        <w:t>Charging for out of county asset deployment</w:t>
      </w:r>
      <w:r w:rsidRPr="00385261">
        <w:rPr>
          <w:sz w:val="24"/>
          <w:szCs w:val="24"/>
        </w:rPr>
        <w:t xml:space="preserve"> in line with NFCC</w:t>
      </w:r>
      <w:r w:rsidR="007710B4" w:rsidRPr="00385261">
        <w:rPr>
          <w:sz w:val="24"/>
          <w:szCs w:val="24"/>
        </w:rPr>
        <w:t xml:space="preserve"> Guidelines on FRS Charging for Mutual Assistance</w:t>
      </w:r>
      <w:r w:rsidR="00F24B52" w:rsidRPr="00385261">
        <w:rPr>
          <w:sz w:val="24"/>
          <w:szCs w:val="24"/>
        </w:rPr>
        <w:t>.</w:t>
      </w:r>
      <w:r w:rsidR="00C478BD" w:rsidRPr="00385261">
        <w:rPr>
          <w:sz w:val="24"/>
          <w:szCs w:val="24"/>
        </w:rPr>
        <w:t xml:space="preserve"> </w:t>
      </w:r>
    </w:p>
    <w:p w14:paraId="28F888B1" w14:textId="167E1D08" w:rsidR="007F712A" w:rsidRPr="00385261" w:rsidRDefault="007710B4" w:rsidP="00385261">
      <w:pPr>
        <w:pStyle w:val="ListParagraph"/>
        <w:numPr>
          <w:ilvl w:val="0"/>
          <w:numId w:val="26"/>
        </w:numPr>
        <w:rPr>
          <w:sz w:val="24"/>
          <w:szCs w:val="24"/>
        </w:rPr>
      </w:pPr>
      <w:r w:rsidRPr="00385261">
        <w:rPr>
          <w:b/>
          <w:bCs/>
          <w:sz w:val="24"/>
          <w:szCs w:val="24"/>
        </w:rPr>
        <w:t>Charging model</w:t>
      </w:r>
      <w:r w:rsidR="00090B35" w:rsidRPr="00385261">
        <w:rPr>
          <w:b/>
          <w:bCs/>
          <w:sz w:val="24"/>
          <w:szCs w:val="24"/>
        </w:rPr>
        <w:t xml:space="preserve"> for other agencies</w:t>
      </w:r>
      <w:r w:rsidRPr="00385261">
        <w:rPr>
          <w:sz w:val="24"/>
          <w:szCs w:val="24"/>
        </w:rPr>
        <w:t xml:space="preserve"> </w:t>
      </w:r>
      <w:r w:rsidR="00090B35" w:rsidRPr="00385261">
        <w:rPr>
          <w:sz w:val="24"/>
          <w:szCs w:val="24"/>
        </w:rPr>
        <w:t>for application when FRS assets are used for non-statutory duties in</w:t>
      </w:r>
      <w:r w:rsidRPr="00385261">
        <w:rPr>
          <w:sz w:val="24"/>
          <w:szCs w:val="24"/>
        </w:rPr>
        <w:t xml:space="preserve"> support </w:t>
      </w:r>
      <w:r w:rsidR="00090B35" w:rsidRPr="00385261">
        <w:rPr>
          <w:sz w:val="24"/>
          <w:szCs w:val="24"/>
        </w:rPr>
        <w:t>of o</w:t>
      </w:r>
      <w:r w:rsidRPr="00385261">
        <w:rPr>
          <w:sz w:val="24"/>
          <w:szCs w:val="24"/>
        </w:rPr>
        <w:t>ther agencies</w:t>
      </w:r>
      <w:r w:rsidR="007F712A" w:rsidRPr="00385261">
        <w:rPr>
          <w:sz w:val="24"/>
          <w:szCs w:val="24"/>
        </w:rPr>
        <w:t>, for example use of our Drones with Lancashire Constabulary</w:t>
      </w:r>
      <w:r w:rsidR="00F24B52" w:rsidRPr="00385261">
        <w:rPr>
          <w:sz w:val="24"/>
          <w:szCs w:val="24"/>
        </w:rPr>
        <w:t>.</w:t>
      </w:r>
    </w:p>
    <w:p w14:paraId="4E703615" w14:textId="3111EB1D" w:rsidR="009E16DA" w:rsidRPr="006874FD" w:rsidRDefault="009E16DA" w:rsidP="006874FD">
      <w:pPr>
        <w:pStyle w:val="Heading2"/>
        <w:rPr>
          <w:rStyle w:val="normaltextrun"/>
          <w:b/>
          <w:bCs/>
          <w:color w:val="auto"/>
        </w:rPr>
      </w:pPr>
      <w:r w:rsidRPr="006874FD">
        <w:rPr>
          <w:rStyle w:val="normaltextrun"/>
          <w:b/>
          <w:bCs/>
          <w:color w:val="auto"/>
        </w:rPr>
        <w:t>Asset Management and Investment in Technology</w:t>
      </w:r>
    </w:p>
    <w:p w14:paraId="3B3A4316" w14:textId="3A389485" w:rsidR="007F712A" w:rsidRPr="00385261" w:rsidRDefault="007F712A" w:rsidP="006874FD">
      <w:pPr>
        <w:rPr>
          <w:sz w:val="24"/>
          <w:szCs w:val="24"/>
        </w:rPr>
      </w:pPr>
      <w:r w:rsidRPr="00385261">
        <w:rPr>
          <w:sz w:val="24"/>
          <w:szCs w:val="24"/>
        </w:rPr>
        <w:t xml:space="preserve">We have developed a </w:t>
      </w:r>
      <w:r w:rsidRPr="00385261">
        <w:rPr>
          <w:b/>
          <w:bCs/>
          <w:sz w:val="24"/>
          <w:szCs w:val="24"/>
        </w:rPr>
        <w:t>Digital Strategy</w:t>
      </w:r>
      <w:r w:rsidRPr="00385261">
        <w:rPr>
          <w:sz w:val="24"/>
          <w:szCs w:val="24"/>
        </w:rPr>
        <w:t xml:space="preserve"> that outlines our 5-year trajectory to deliver improved productivity and efficiency both internally and externally. </w:t>
      </w:r>
      <w:r w:rsidR="00D54D44" w:rsidRPr="00385261">
        <w:rPr>
          <w:sz w:val="24"/>
          <w:szCs w:val="24"/>
        </w:rPr>
        <w:t xml:space="preserve"> Our </w:t>
      </w:r>
      <w:r w:rsidR="00335BB3" w:rsidRPr="00385261">
        <w:rPr>
          <w:sz w:val="24"/>
          <w:szCs w:val="24"/>
        </w:rPr>
        <w:t>high-level</w:t>
      </w:r>
      <w:r w:rsidRPr="00385261">
        <w:rPr>
          <w:sz w:val="24"/>
          <w:szCs w:val="24"/>
        </w:rPr>
        <w:t xml:space="preserve"> projects and plans </w:t>
      </w:r>
      <w:r w:rsidR="00D54D44" w:rsidRPr="00385261">
        <w:rPr>
          <w:sz w:val="24"/>
          <w:szCs w:val="24"/>
        </w:rPr>
        <w:t>are progressing well</w:t>
      </w:r>
      <w:r w:rsidRPr="00385261">
        <w:rPr>
          <w:sz w:val="24"/>
          <w:szCs w:val="24"/>
        </w:rPr>
        <w:t>:</w:t>
      </w:r>
    </w:p>
    <w:p w14:paraId="6F355418" w14:textId="42F1F883" w:rsidR="00F37468" w:rsidRPr="00385261" w:rsidRDefault="00B85DBE" w:rsidP="00335BB3">
      <w:pPr>
        <w:rPr>
          <w:sz w:val="24"/>
          <w:szCs w:val="24"/>
        </w:rPr>
      </w:pPr>
      <w:r w:rsidRPr="00385261">
        <w:rPr>
          <w:b/>
          <w:bCs/>
          <w:sz w:val="24"/>
          <w:szCs w:val="24"/>
        </w:rPr>
        <w:t>Digitising fire engines</w:t>
      </w:r>
      <w:r w:rsidRPr="00385261">
        <w:rPr>
          <w:sz w:val="24"/>
          <w:szCs w:val="24"/>
        </w:rPr>
        <w:t xml:space="preserve"> </w:t>
      </w:r>
      <w:r w:rsidR="00D54D44" w:rsidRPr="00385261">
        <w:rPr>
          <w:sz w:val="24"/>
          <w:szCs w:val="24"/>
        </w:rPr>
        <w:t>–</w:t>
      </w:r>
      <w:r w:rsidRPr="00385261">
        <w:rPr>
          <w:sz w:val="24"/>
          <w:szCs w:val="24"/>
        </w:rPr>
        <w:t xml:space="preserve"> </w:t>
      </w:r>
      <w:r w:rsidR="477D4D1A" w:rsidRPr="00385261">
        <w:rPr>
          <w:sz w:val="24"/>
          <w:szCs w:val="24"/>
        </w:rPr>
        <w:t xml:space="preserve">We have recently replaced </w:t>
      </w:r>
      <w:proofErr w:type="gramStart"/>
      <w:r w:rsidR="477D4D1A" w:rsidRPr="00385261">
        <w:rPr>
          <w:sz w:val="24"/>
          <w:szCs w:val="24"/>
        </w:rPr>
        <w:t>all of</w:t>
      </w:r>
      <w:proofErr w:type="gramEnd"/>
      <w:r w:rsidR="477D4D1A" w:rsidRPr="00385261">
        <w:rPr>
          <w:sz w:val="24"/>
          <w:szCs w:val="24"/>
        </w:rPr>
        <w:t xml:space="preserve"> our front Mobile Data Terminals (MDTs) and will have a full roll-out of rear, demountable MDTs completed by late Spring 2024. </w:t>
      </w:r>
      <w:r w:rsidR="00C34443" w:rsidRPr="00385261">
        <w:rPr>
          <w:sz w:val="24"/>
          <w:szCs w:val="24"/>
        </w:rPr>
        <w:t xml:space="preserve"> </w:t>
      </w:r>
      <w:r w:rsidR="477D4D1A" w:rsidRPr="00385261">
        <w:rPr>
          <w:sz w:val="24"/>
          <w:szCs w:val="24"/>
        </w:rPr>
        <w:t>At the same time, we have delivered a programme of up</w:t>
      </w:r>
      <w:r w:rsidR="0622324C" w:rsidRPr="00385261">
        <w:rPr>
          <w:sz w:val="24"/>
          <w:szCs w:val="24"/>
        </w:rPr>
        <w:t>grades of iPad devices on our frontline fire engines, all of which</w:t>
      </w:r>
      <w:r w:rsidRPr="00385261">
        <w:rPr>
          <w:sz w:val="24"/>
          <w:szCs w:val="24"/>
        </w:rPr>
        <w:t xml:space="preserve"> increas</w:t>
      </w:r>
      <w:r w:rsidR="4AA97BBF" w:rsidRPr="00385261">
        <w:rPr>
          <w:sz w:val="24"/>
          <w:szCs w:val="24"/>
        </w:rPr>
        <w:t>es</w:t>
      </w:r>
      <w:r w:rsidRPr="00385261">
        <w:rPr>
          <w:sz w:val="24"/>
          <w:szCs w:val="24"/>
        </w:rPr>
        <w:t xml:space="preserve"> the ability for simultaneous activity and </w:t>
      </w:r>
      <w:r w:rsidR="006F5786" w:rsidRPr="00385261">
        <w:rPr>
          <w:sz w:val="24"/>
          <w:szCs w:val="24"/>
        </w:rPr>
        <w:t>thereby</w:t>
      </w:r>
      <w:r w:rsidR="00F37468" w:rsidRPr="00385261">
        <w:rPr>
          <w:sz w:val="24"/>
          <w:szCs w:val="24"/>
        </w:rPr>
        <w:t xml:space="preserve"> </w:t>
      </w:r>
      <w:r w:rsidRPr="00385261">
        <w:rPr>
          <w:sz w:val="24"/>
          <w:szCs w:val="24"/>
        </w:rPr>
        <w:t>productivity</w:t>
      </w:r>
      <w:r w:rsidR="00F37468" w:rsidRPr="00385261">
        <w:rPr>
          <w:sz w:val="24"/>
          <w:szCs w:val="24"/>
        </w:rPr>
        <w:t xml:space="preserve">. </w:t>
      </w:r>
      <w:r w:rsidR="00C34443" w:rsidRPr="00385261">
        <w:rPr>
          <w:sz w:val="24"/>
          <w:szCs w:val="24"/>
        </w:rPr>
        <w:t xml:space="preserve"> </w:t>
      </w:r>
      <w:r w:rsidR="32F66503" w:rsidRPr="00385261">
        <w:rPr>
          <w:sz w:val="24"/>
          <w:szCs w:val="24"/>
        </w:rPr>
        <w:t xml:space="preserve">We are currently undertaking a pilot at two of our wholetime fire stations of full </w:t>
      </w:r>
      <w:r w:rsidR="00C34443" w:rsidRPr="00385261">
        <w:rPr>
          <w:sz w:val="24"/>
          <w:szCs w:val="24"/>
        </w:rPr>
        <w:t>digitalisation</w:t>
      </w:r>
      <w:r w:rsidR="32F66503" w:rsidRPr="00385261">
        <w:rPr>
          <w:sz w:val="24"/>
          <w:szCs w:val="24"/>
        </w:rPr>
        <w:t xml:space="preserve"> of a fire engine; this includes additional work terminals and 5G wi-fi bubbles so that firefighters and officers can under</w:t>
      </w:r>
      <w:r w:rsidR="15975B97" w:rsidRPr="00385261">
        <w:rPr>
          <w:sz w:val="24"/>
          <w:szCs w:val="24"/>
        </w:rPr>
        <w:t xml:space="preserve">take office administration tasks and access various applications whilst out in communities and away from the station. </w:t>
      </w:r>
      <w:r w:rsidR="00F37468" w:rsidRPr="00385261">
        <w:rPr>
          <w:sz w:val="24"/>
          <w:szCs w:val="24"/>
        </w:rPr>
        <w:t xml:space="preserve"> Access </w:t>
      </w:r>
      <w:r w:rsidR="00C34443" w:rsidRPr="00385261">
        <w:rPr>
          <w:sz w:val="24"/>
          <w:szCs w:val="24"/>
        </w:rPr>
        <w:t xml:space="preserve">is </w:t>
      </w:r>
      <w:r w:rsidR="00F37468" w:rsidRPr="00385261">
        <w:rPr>
          <w:sz w:val="24"/>
          <w:szCs w:val="24"/>
        </w:rPr>
        <w:t>being provided to</w:t>
      </w:r>
      <w:r w:rsidR="00837755" w:rsidRPr="00385261">
        <w:rPr>
          <w:sz w:val="24"/>
          <w:szCs w:val="24"/>
        </w:rPr>
        <w:t xml:space="preserve"> the full suite of applications as is presently accessed on fire stations (e.g. HF</w:t>
      </w:r>
      <w:r w:rsidR="00F37468" w:rsidRPr="00385261">
        <w:rPr>
          <w:sz w:val="24"/>
          <w:szCs w:val="24"/>
        </w:rPr>
        <w:t>SC system</w:t>
      </w:r>
      <w:r w:rsidR="00837755" w:rsidRPr="00385261">
        <w:rPr>
          <w:sz w:val="24"/>
          <w:szCs w:val="24"/>
        </w:rPr>
        <w:t xml:space="preserve">, </w:t>
      </w:r>
      <w:r w:rsidR="00F37468" w:rsidRPr="00385261">
        <w:rPr>
          <w:sz w:val="24"/>
          <w:szCs w:val="24"/>
        </w:rPr>
        <w:t>BFSC App</w:t>
      </w:r>
      <w:r w:rsidR="00837755" w:rsidRPr="00385261">
        <w:rPr>
          <w:sz w:val="24"/>
          <w:szCs w:val="24"/>
        </w:rPr>
        <w:t xml:space="preserve">, </w:t>
      </w:r>
      <w:r w:rsidR="00F37468" w:rsidRPr="00385261">
        <w:rPr>
          <w:sz w:val="24"/>
          <w:szCs w:val="24"/>
        </w:rPr>
        <w:t xml:space="preserve">Training </w:t>
      </w:r>
      <w:r w:rsidR="006F5786" w:rsidRPr="00385261">
        <w:rPr>
          <w:sz w:val="24"/>
          <w:szCs w:val="24"/>
        </w:rPr>
        <w:t>M</w:t>
      </w:r>
      <w:r w:rsidR="00F37468" w:rsidRPr="00385261">
        <w:rPr>
          <w:sz w:val="24"/>
          <w:szCs w:val="24"/>
        </w:rPr>
        <w:t>anagement</w:t>
      </w:r>
      <w:r w:rsidR="00837755" w:rsidRPr="00385261">
        <w:rPr>
          <w:sz w:val="24"/>
          <w:szCs w:val="24"/>
        </w:rPr>
        <w:t xml:space="preserve">, </w:t>
      </w:r>
      <w:r w:rsidR="00F37468" w:rsidRPr="00385261">
        <w:rPr>
          <w:sz w:val="24"/>
          <w:szCs w:val="24"/>
        </w:rPr>
        <w:t>Incident Recording System</w:t>
      </w:r>
      <w:r w:rsidR="00837755" w:rsidRPr="00385261">
        <w:rPr>
          <w:sz w:val="24"/>
          <w:szCs w:val="24"/>
        </w:rPr>
        <w:t xml:space="preserve">, </w:t>
      </w:r>
      <w:r w:rsidR="00F37468" w:rsidRPr="00385261">
        <w:rPr>
          <w:sz w:val="24"/>
          <w:szCs w:val="24"/>
        </w:rPr>
        <w:t xml:space="preserve">Rota </w:t>
      </w:r>
      <w:r w:rsidR="006F5786" w:rsidRPr="00385261">
        <w:rPr>
          <w:sz w:val="24"/>
          <w:szCs w:val="24"/>
        </w:rPr>
        <w:t>M</w:t>
      </w:r>
      <w:r w:rsidR="00F37468" w:rsidRPr="00385261">
        <w:rPr>
          <w:sz w:val="24"/>
          <w:szCs w:val="24"/>
        </w:rPr>
        <w:t xml:space="preserve">anagement </w:t>
      </w:r>
      <w:r w:rsidR="006F5786" w:rsidRPr="00385261">
        <w:rPr>
          <w:sz w:val="24"/>
          <w:szCs w:val="24"/>
        </w:rPr>
        <w:t>S</w:t>
      </w:r>
      <w:r w:rsidR="00F37468" w:rsidRPr="00385261">
        <w:rPr>
          <w:sz w:val="24"/>
          <w:szCs w:val="24"/>
        </w:rPr>
        <w:t>ystem</w:t>
      </w:r>
      <w:r w:rsidR="00837755" w:rsidRPr="00385261">
        <w:rPr>
          <w:sz w:val="24"/>
          <w:szCs w:val="24"/>
        </w:rPr>
        <w:t>, S</w:t>
      </w:r>
      <w:r w:rsidR="00F37468" w:rsidRPr="00385261">
        <w:rPr>
          <w:sz w:val="24"/>
          <w:szCs w:val="24"/>
        </w:rPr>
        <w:t>ervice Intranet</w:t>
      </w:r>
      <w:r w:rsidR="00837755" w:rsidRPr="00385261">
        <w:rPr>
          <w:sz w:val="24"/>
          <w:szCs w:val="24"/>
        </w:rPr>
        <w:t>)</w:t>
      </w:r>
      <w:r w:rsidR="00186AC0" w:rsidRPr="00385261">
        <w:rPr>
          <w:sz w:val="24"/>
          <w:szCs w:val="24"/>
        </w:rPr>
        <w:t>.</w:t>
      </w:r>
      <w:r w:rsidR="00D54D44" w:rsidRPr="00385261">
        <w:rPr>
          <w:sz w:val="24"/>
          <w:szCs w:val="24"/>
        </w:rPr>
        <w:t xml:space="preserve"> </w:t>
      </w:r>
    </w:p>
    <w:p w14:paraId="1A7A6F76" w14:textId="3B9BB25E" w:rsidR="00837755" w:rsidRPr="00385261" w:rsidRDefault="00837755" w:rsidP="006874FD">
      <w:pPr>
        <w:rPr>
          <w:sz w:val="24"/>
          <w:szCs w:val="24"/>
        </w:rPr>
      </w:pPr>
      <w:r w:rsidRPr="00385261">
        <w:rPr>
          <w:b/>
          <w:bCs/>
          <w:sz w:val="24"/>
          <w:szCs w:val="24"/>
        </w:rPr>
        <w:lastRenderedPageBreak/>
        <w:t xml:space="preserve">CCTV </w:t>
      </w:r>
      <w:r w:rsidR="00C34443" w:rsidRPr="00385261">
        <w:rPr>
          <w:b/>
          <w:bCs/>
          <w:sz w:val="24"/>
          <w:szCs w:val="24"/>
        </w:rPr>
        <w:t xml:space="preserve">installations </w:t>
      </w:r>
      <w:r w:rsidRPr="00385261">
        <w:rPr>
          <w:b/>
          <w:bCs/>
          <w:sz w:val="24"/>
          <w:szCs w:val="24"/>
        </w:rPr>
        <w:t xml:space="preserve">on </w:t>
      </w:r>
      <w:r w:rsidR="00335BB3" w:rsidRPr="00385261">
        <w:rPr>
          <w:b/>
          <w:bCs/>
          <w:sz w:val="24"/>
          <w:szCs w:val="24"/>
        </w:rPr>
        <w:t>S</w:t>
      </w:r>
      <w:r w:rsidRPr="00385261">
        <w:rPr>
          <w:b/>
          <w:bCs/>
          <w:sz w:val="24"/>
          <w:szCs w:val="24"/>
        </w:rPr>
        <w:t>ervice vehicles</w:t>
      </w:r>
      <w:r w:rsidRPr="00385261">
        <w:rPr>
          <w:sz w:val="24"/>
          <w:szCs w:val="24"/>
        </w:rPr>
        <w:t xml:space="preserve"> </w:t>
      </w:r>
      <w:r w:rsidR="00335BB3" w:rsidRPr="00385261">
        <w:rPr>
          <w:sz w:val="24"/>
          <w:szCs w:val="24"/>
        </w:rPr>
        <w:t xml:space="preserve">- </w:t>
      </w:r>
      <w:r w:rsidRPr="00385261">
        <w:rPr>
          <w:sz w:val="24"/>
          <w:szCs w:val="24"/>
        </w:rPr>
        <w:t xml:space="preserve">to reduce accident and injury costs, </w:t>
      </w:r>
      <w:r w:rsidR="006F5786" w:rsidRPr="00385261">
        <w:rPr>
          <w:sz w:val="24"/>
          <w:szCs w:val="24"/>
        </w:rPr>
        <w:t xml:space="preserve">also a </w:t>
      </w:r>
      <w:r w:rsidRPr="00385261">
        <w:rPr>
          <w:sz w:val="24"/>
          <w:szCs w:val="24"/>
        </w:rPr>
        <w:t>deterrent for anti-social behaviour</w:t>
      </w:r>
      <w:r w:rsidR="006F5786" w:rsidRPr="00385261">
        <w:rPr>
          <w:sz w:val="24"/>
          <w:szCs w:val="24"/>
        </w:rPr>
        <w:t xml:space="preserve"> and spurious claims</w:t>
      </w:r>
      <w:r w:rsidR="00186AC0" w:rsidRPr="00385261">
        <w:rPr>
          <w:sz w:val="24"/>
          <w:szCs w:val="24"/>
        </w:rPr>
        <w:t>.</w:t>
      </w:r>
      <w:r w:rsidR="005305C5" w:rsidRPr="00385261">
        <w:rPr>
          <w:sz w:val="24"/>
          <w:szCs w:val="24"/>
        </w:rPr>
        <w:t xml:space="preserve">  The Service has seen a 30% reduction in accident numbers since 2021/22.</w:t>
      </w:r>
    </w:p>
    <w:p w14:paraId="573C6EA3" w14:textId="1BEF000E" w:rsidR="007F3A90" w:rsidRPr="00385261" w:rsidRDefault="007F3A90" w:rsidP="006874FD">
      <w:pPr>
        <w:rPr>
          <w:sz w:val="24"/>
          <w:szCs w:val="24"/>
        </w:rPr>
      </w:pPr>
      <w:r w:rsidRPr="00385261">
        <w:rPr>
          <w:b/>
          <w:bCs/>
          <w:sz w:val="24"/>
          <w:szCs w:val="24"/>
        </w:rPr>
        <w:t>Business Intelligence</w:t>
      </w:r>
      <w:r w:rsidRPr="00385261">
        <w:rPr>
          <w:sz w:val="24"/>
          <w:szCs w:val="24"/>
        </w:rPr>
        <w:t xml:space="preserve"> </w:t>
      </w:r>
      <w:r w:rsidR="00C34443" w:rsidRPr="00385261">
        <w:rPr>
          <w:sz w:val="24"/>
          <w:szCs w:val="24"/>
        </w:rPr>
        <w:t>–</w:t>
      </w:r>
      <w:r w:rsidR="00335BB3" w:rsidRPr="00385261">
        <w:rPr>
          <w:sz w:val="24"/>
          <w:szCs w:val="24"/>
        </w:rPr>
        <w:t xml:space="preserve"> </w:t>
      </w:r>
      <w:r w:rsidR="00C34443" w:rsidRPr="00385261">
        <w:rPr>
          <w:sz w:val="24"/>
          <w:szCs w:val="24"/>
        </w:rPr>
        <w:t xml:space="preserve">the </w:t>
      </w:r>
      <w:r w:rsidR="00837755" w:rsidRPr="00385261">
        <w:rPr>
          <w:sz w:val="24"/>
          <w:szCs w:val="24"/>
        </w:rPr>
        <w:t xml:space="preserve">function </w:t>
      </w:r>
      <w:r w:rsidR="00C34443" w:rsidRPr="00385261">
        <w:rPr>
          <w:sz w:val="24"/>
          <w:szCs w:val="24"/>
        </w:rPr>
        <w:t xml:space="preserve">is </w:t>
      </w:r>
      <w:r w:rsidR="00837755" w:rsidRPr="00385261">
        <w:rPr>
          <w:sz w:val="24"/>
          <w:szCs w:val="24"/>
        </w:rPr>
        <w:t xml:space="preserve">being strengthened with use of </w:t>
      </w:r>
      <w:r w:rsidR="00F24B52" w:rsidRPr="00385261">
        <w:rPr>
          <w:sz w:val="24"/>
          <w:szCs w:val="24"/>
        </w:rPr>
        <w:t xml:space="preserve">a </w:t>
      </w:r>
      <w:r w:rsidR="00837755" w:rsidRPr="00385261">
        <w:rPr>
          <w:sz w:val="24"/>
          <w:szCs w:val="24"/>
        </w:rPr>
        <w:t>d</w:t>
      </w:r>
      <w:r w:rsidRPr="00385261">
        <w:rPr>
          <w:sz w:val="24"/>
          <w:szCs w:val="24"/>
        </w:rPr>
        <w:t>ata</w:t>
      </w:r>
      <w:r w:rsidR="00837755" w:rsidRPr="00385261">
        <w:rPr>
          <w:sz w:val="24"/>
          <w:szCs w:val="24"/>
        </w:rPr>
        <w:t xml:space="preserve"> w</w:t>
      </w:r>
      <w:r w:rsidRPr="00385261">
        <w:rPr>
          <w:sz w:val="24"/>
          <w:szCs w:val="24"/>
        </w:rPr>
        <w:t xml:space="preserve">arehouse, </w:t>
      </w:r>
      <w:r w:rsidR="00837755" w:rsidRPr="00385261">
        <w:rPr>
          <w:sz w:val="24"/>
          <w:szCs w:val="24"/>
        </w:rPr>
        <w:t>new Service level K</w:t>
      </w:r>
      <w:r w:rsidR="00335BB3" w:rsidRPr="00385261">
        <w:rPr>
          <w:sz w:val="24"/>
          <w:szCs w:val="24"/>
        </w:rPr>
        <w:t xml:space="preserve">ey </w:t>
      </w:r>
      <w:r w:rsidR="00837755" w:rsidRPr="00385261">
        <w:rPr>
          <w:sz w:val="24"/>
          <w:szCs w:val="24"/>
        </w:rPr>
        <w:t>P</w:t>
      </w:r>
      <w:r w:rsidR="00335BB3" w:rsidRPr="00385261">
        <w:rPr>
          <w:sz w:val="24"/>
          <w:szCs w:val="24"/>
        </w:rPr>
        <w:t xml:space="preserve">erformance </w:t>
      </w:r>
      <w:r w:rsidR="00837755" w:rsidRPr="00385261">
        <w:rPr>
          <w:sz w:val="24"/>
          <w:szCs w:val="24"/>
        </w:rPr>
        <w:t>I</w:t>
      </w:r>
      <w:r w:rsidR="00335BB3" w:rsidRPr="00385261">
        <w:rPr>
          <w:sz w:val="24"/>
          <w:szCs w:val="24"/>
        </w:rPr>
        <w:t>ndicator (KPI)</w:t>
      </w:r>
      <w:r w:rsidR="00837755" w:rsidRPr="00385261">
        <w:rPr>
          <w:sz w:val="24"/>
          <w:szCs w:val="24"/>
        </w:rPr>
        <w:t xml:space="preserve"> reporting, performance dashboards for use by managers to improve understanding of performance outcomes and inform </w:t>
      </w:r>
      <w:r w:rsidRPr="00385261">
        <w:rPr>
          <w:sz w:val="24"/>
          <w:szCs w:val="24"/>
        </w:rPr>
        <w:t xml:space="preserve">efficient </w:t>
      </w:r>
      <w:r w:rsidR="00837755" w:rsidRPr="00385261">
        <w:rPr>
          <w:sz w:val="24"/>
          <w:szCs w:val="24"/>
        </w:rPr>
        <w:t>and</w:t>
      </w:r>
      <w:r w:rsidRPr="00385261">
        <w:rPr>
          <w:sz w:val="24"/>
          <w:szCs w:val="24"/>
        </w:rPr>
        <w:t xml:space="preserve"> effective targeting of resources</w:t>
      </w:r>
      <w:r w:rsidR="00186AC0" w:rsidRPr="00385261">
        <w:rPr>
          <w:sz w:val="24"/>
          <w:szCs w:val="24"/>
        </w:rPr>
        <w:t>.</w:t>
      </w:r>
    </w:p>
    <w:p w14:paraId="6F295A6D" w14:textId="3DE1A71A" w:rsidR="00335BB3" w:rsidRPr="00385261" w:rsidRDefault="00D318D0" w:rsidP="006874FD">
      <w:pPr>
        <w:rPr>
          <w:sz w:val="24"/>
          <w:szCs w:val="24"/>
        </w:rPr>
      </w:pPr>
      <w:r w:rsidRPr="00385261">
        <w:rPr>
          <w:b/>
          <w:bCs/>
          <w:sz w:val="24"/>
          <w:szCs w:val="24"/>
        </w:rPr>
        <w:t>Training delivery</w:t>
      </w:r>
      <w:r w:rsidRPr="00385261">
        <w:rPr>
          <w:sz w:val="24"/>
          <w:szCs w:val="24"/>
        </w:rPr>
        <w:t xml:space="preserve"> – the current implementation of a new </w:t>
      </w:r>
      <w:r w:rsidR="00C34443" w:rsidRPr="00385261">
        <w:rPr>
          <w:sz w:val="24"/>
          <w:szCs w:val="24"/>
        </w:rPr>
        <w:t>L</w:t>
      </w:r>
      <w:r w:rsidRPr="00385261">
        <w:rPr>
          <w:sz w:val="24"/>
          <w:szCs w:val="24"/>
        </w:rPr>
        <w:t xml:space="preserve">earning </w:t>
      </w:r>
      <w:r w:rsidR="00C34443" w:rsidRPr="00385261">
        <w:rPr>
          <w:sz w:val="24"/>
          <w:szCs w:val="24"/>
        </w:rPr>
        <w:t>M</w:t>
      </w:r>
      <w:r w:rsidRPr="00385261">
        <w:rPr>
          <w:sz w:val="24"/>
          <w:szCs w:val="24"/>
        </w:rPr>
        <w:t xml:space="preserve">anagement </w:t>
      </w:r>
      <w:r w:rsidR="00C34443" w:rsidRPr="00385261">
        <w:rPr>
          <w:sz w:val="24"/>
          <w:szCs w:val="24"/>
        </w:rPr>
        <w:t>S</w:t>
      </w:r>
      <w:r w:rsidRPr="00385261">
        <w:rPr>
          <w:sz w:val="24"/>
          <w:szCs w:val="24"/>
        </w:rPr>
        <w:t xml:space="preserve">ystem will vastly reduce the administration demands for operational staff, managers, and training department. </w:t>
      </w:r>
      <w:r w:rsidR="00C34443" w:rsidRPr="00385261">
        <w:rPr>
          <w:sz w:val="24"/>
          <w:szCs w:val="24"/>
        </w:rPr>
        <w:t xml:space="preserve"> </w:t>
      </w:r>
      <w:r w:rsidRPr="00385261">
        <w:rPr>
          <w:sz w:val="24"/>
          <w:szCs w:val="24"/>
        </w:rPr>
        <w:t xml:space="preserve">Capturing evidence of competency in a digital format will also enable development programmes to be delivered more efficiently and free up capacity. </w:t>
      </w:r>
      <w:r w:rsidR="00C34443" w:rsidRPr="00385261">
        <w:rPr>
          <w:sz w:val="24"/>
          <w:szCs w:val="24"/>
        </w:rPr>
        <w:t xml:space="preserve"> </w:t>
      </w:r>
      <w:r w:rsidRPr="00385261">
        <w:rPr>
          <w:sz w:val="24"/>
          <w:szCs w:val="24"/>
        </w:rPr>
        <w:t xml:space="preserve">Incident Command workshop events for On Call staff are being delivered using a hybrid approach, i.e. in person at the On Call station, or </w:t>
      </w:r>
      <w:r w:rsidR="00186AC0" w:rsidRPr="00385261">
        <w:rPr>
          <w:sz w:val="24"/>
          <w:szCs w:val="24"/>
        </w:rPr>
        <w:t>digitally via Microsoft</w:t>
      </w:r>
      <w:r w:rsidRPr="00385261">
        <w:rPr>
          <w:sz w:val="24"/>
          <w:szCs w:val="24"/>
        </w:rPr>
        <w:t xml:space="preserve"> Teams</w:t>
      </w:r>
      <w:r w:rsidR="00186AC0" w:rsidRPr="00385261">
        <w:rPr>
          <w:sz w:val="24"/>
          <w:szCs w:val="24"/>
        </w:rPr>
        <w:t>, reducing travel and time costs</w:t>
      </w:r>
      <w:r w:rsidRPr="00385261">
        <w:rPr>
          <w:sz w:val="24"/>
          <w:szCs w:val="24"/>
        </w:rPr>
        <w:t>.</w:t>
      </w:r>
    </w:p>
    <w:p w14:paraId="62D559A8" w14:textId="7C62BCEC" w:rsidR="00287B59" w:rsidRPr="00385261" w:rsidRDefault="00287B59" w:rsidP="006874FD">
      <w:pPr>
        <w:rPr>
          <w:sz w:val="24"/>
          <w:szCs w:val="24"/>
        </w:rPr>
      </w:pPr>
      <w:r w:rsidRPr="00385261">
        <w:rPr>
          <w:b/>
          <w:bCs/>
          <w:sz w:val="24"/>
          <w:szCs w:val="24"/>
        </w:rPr>
        <w:t>Equipment and appliance checks</w:t>
      </w:r>
      <w:r w:rsidRPr="00385261">
        <w:rPr>
          <w:sz w:val="24"/>
          <w:szCs w:val="24"/>
        </w:rPr>
        <w:t xml:space="preserve">, </w:t>
      </w:r>
      <w:proofErr w:type="gramStart"/>
      <w:r w:rsidRPr="00385261">
        <w:rPr>
          <w:sz w:val="24"/>
          <w:szCs w:val="24"/>
        </w:rPr>
        <w:t>inventories</w:t>
      </w:r>
      <w:proofErr w:type="gramEnd"/>
      <w:r w:rsidRPr="00385261">
        <w:rPr>
          <w:sz w:val="24"/>
          <w:szCs w:val="24"/>
        </w:rPr>
        <w:t xml:space="preserve"> and defects - </w:t>
      </w:r>
      <w:r w:rsidR="00C34443" w:rsidRPr="00385261">
        <w:rPr>
          <w:sz w:val="24"/>
          <w:szCs w:val="24"/>
        </w:rPr>
        <w:t>i</w:t>
      </w:r>
      <w:r w:rsidRPr="00385261">
        <w:rPr>
          <w:sz w:val="24"/>
          <w:szCs w:val="24"/>
        </w:rPr>
        <w:t xml:space="preserve">n line with the appliance digitisation programme, </w:t>
      </w:r>
      <w:r w:rsidR="00186AC0" w:rsidRPr="00385261">
        <w:rPr>
          <w:sz w:val="24"/>
          <w:szCs w:val="24"/>
        </w:rPr>
        <w:t>we</w:t>
      </w:r>
      <w:r w:rsidRPr="00385261">
        <w:rPr>
          <w:sz w:val="24"/>
          <w:szCs w:val="24"/>
        </w:rPr>
        <w:t xml:space="preserve"> are currently exploring new fleet management software to remove the manual entries and improve on-station equipment and maintenance checks. </w:t>
      </w:r>
      <w:r w:rsidR="00C34443" w:rsidRPr="00385261">
        <w:rPr>
          <w:sz w:val="24"/>
          <w:szCs w:val="24"/>
        </w:rPr>
        <w:t xml:space="preserve"> </w:t>
      </w:r>
      <w:r w:rsidRPr="00385261">
        <w:rPr>
          <w:sz w:val="24"/>
          <w:szCs w:val="24"/>
        </w:rPr>
        <w:t xml:space="preserve">This will enable visibility of equipment and vehicle inspections. </w:t>
      </w:r>
      <w:r w:rsidR="00C34443" w:rsidRPr="00385261">
        <w:rPr>
          <w:sz w:val="24"/>
          <w:szCs w:val="24"/>
        </w:rPr>
        <w:t xml:space="preserve"> </w:t>
      </w:r>
      <w:r w:rsidRPr="00385261">
        <w:rPr>
          <w:sz w:val="24"/>
          <w:szCs w:val="24"/>
        </w:rPr>
        <w:t xml:space="preserve">The new system will be App based, so inspections can be verified </w:t>
      </w:r>
      <w:proofErr w:type="gramStart"/>
      <w:r w:rsidRPr="00385261">
        <w:rPr>
          <w:sz w:val="24"/>
          <w:szCs w:val="24"/>
        </w:rPr>
        <w:t>remotely</w:t>
      </w:r>
      <w:proofErr w:type="gramEnd"/>
      <w:r w:rsidRPr="00385261">
        <w:rPr>
          <w:sz w:val="24"/>
          <w:szCs w:val="24"/>
        </w:rPr>
        <w:t xml:space="preserve"> and live updates posted on the system. </w:t>
      </w:r>
      <w:r w:rsidR="00C34443" w:rsidRPr="00385261">
        <w:rPr>
          <w:sz w:val="24"/>
          <w:szCs w:val="24"/>
        </w:rPr>
        <w:t xml:space="preserve"> </w:t>
      </w:r>
      <w:r w:rsidRPr="00385261">
        <w:rPr>
          <w:sz w:val="24"/>
          <w:szCs w:val="24"/>
        </w:rPr>
        <w:t xml:space="preserve">In addition, </w:t>
      </w:r>
      <w:r w:rsidR="00C80BC4" w:rsidRPr="00385261">
        <w:rPr>
          <w:sz w:val="24"/>
          <w:szCs w:val="24"/>
        </w:rPr>
        <w:t>we</w:t>
      </w:r>
      <w:r w:rsidRPr="00385261">
        <w:rPr>
          <w:sz w:val="24"/>
          <w:szCs w:val="24"/>
        </w:rPr>
        <w:t xml:space="preserve"> now operate an in-house vehicle compliance/safety checking procedure at station level. </w:t>
      </w:r>
      <w:r w:rsidR="00C34443" w:rsidRPr="00385261">
        <w:rPr>
          <w:sz w:val="24"/>
          <w:szCs w:val="24"/>
        </w:rPr>
        <w:t xml:space="preserve"> </w:t>
      </w:r>
      <w:r w:rsidRPr="00385261">
        <w:rPr>
          <w:sz w:val="24"/>
          <w:szCs w:val="24"/>
        </w:rPr>
        <w:t>This ensures appliance safety inspections are completed on-time, keeping defect rectification to a minimum, which provides enhanced appliance availability</w:t>
      </w:r>
      <w:r w:rsidR="00C80BC4" w:rsidRPr="00385261">
        <w:rPr>
          <w:sz w:val="24"/>
          <w:szCs w:val="24"/>
        </w:rPr>
        <w:t xml:space="preserve"> and efficiencies</w:t>
      </w:r>
      <w:r w:rsidRPr="00385261">
        <w:rPr>
          <w:sz w:val="24"/>
          <w:szCs w:val="24"/>
        </w:rPr>
        <w:t>.</w:t>
      </w:r>
    </w:p>
    <w:p w14:paraId="21FAA55C" w14:textId="3A8DFF03" w:rsidR="009E16DA" w:rsidRPr="006874FD" w:rsidRDefault="009E16DA" w:rsidP="006874FD">
      <w:pPr>
        <w:pStyle w:val="Heading2"/>
        <w:rPr>
          <w:rStyle w:val="normaltextrun"/>
          <w:b/>
          <w:bCs/>
          <w:color w:val="auto"/>
        </w:rPr>
      </w:pPr>
      <w:r w:rsidRPr="006874FD">
        <w:rPr>
          <w:rStyle w:val="normaltextrun"/>
          <w:b/>
          <w:bCs/>
          <w:color w:val="auto"/>
        </w:rPr>
        <w:t>Resourcing </w:t>
      </w:r>
    </w:p>
    <w:p w14:paraId="0ACC62B1" w14:textId="3CAE6123" w:rsidR="00AE3EA4" w:rsidRPr="00385261" w:rsidRDefault="00AE3EA4" w:rsidP="006874FD">
      <w:pPr>
        <w:rPr>
          <w:sz w:val="24"/>
          <w:szCs w:val="24"/>
        </w:rPr>
      </w:pPr>
      <w:r w:rsidRPr="00385261">
        <w:rPr>
          <w:sz w:val="24"/>
          <w:szCs w:val="24"/>
        </w:rPr>
        <w:t>We aim to undertake a strategic review of Emergency Cover resources on a cyclical 3 yearly basis, aligned to refreshed ‘</w:t>
      </w:r>
      <w:r w:rsidR="00171764" w:rsidRPr="00385261">
        <w:rPr>
          <w:sz w:val="24"/>
          <w:szCs w:val="24"/>
        </w:rPr>
        <w:t>S</w:t>
      </w:r>
      <w:r w:rsidRPr="00385261">
        <w:rPr>
          <w:sz w:val="24"/>
          <w:szCs w:val="24"/>
        </w:rPr>
        <w:t xml:space="preserve">trategic </w:t>
      </w:r>
      <w:r w:rsidR="00171764" w:rsidRPr="00385261">
        <w:rPr>
          <w:sz w:val="24"/>
          <w:szCs w:val="24"/>
        </w:rPr>
        <w:t>A</w:t>
      </w:r>
      <w:r w:rsidRPr="00385261">
        <w:rPr>
          <w:sz w:val="24"/>
          <w:szCs w:val="24"/>
        </w:rPr>
        <w:t xml:space="preserve">ssessments of </w:t>
      </w:r>
      <w:r w:rsidR="00171764" w:rsidRPr="00385261">
        <w:rPr>
          <w:sz w:val="24"/>
          <w:szCs w:val="24"/>
        </w:rPr>
        <w:t>R</w:t>
      </w:r>
      <w:r w:rsidRPr="00385261">
        <w:rPr>
          <w:sz w:val="24"/>
          <w:szCs w:val="24"/>
        </w:rPr>
        <w:t xml:space="preserve">isk’ across Lancashire. </w:t>
      </w:r>
      <w:r w:rsidR="00D54D44" w:rsidRPr="00385261">
        <w:rPr>
          <w:sz w:val="24"/>
          <w:szCs w:val="24"/>
        </w:rPr>
        <w:t xml:space="preserve"> </w:t>
      </w:r>
      <w:r w:rsidR="00171764" w:rsidRPr="00385261">
        <w:rPr>
          <w:sz w:val="24"/>
          <w:szCs w:val="24"/>
        </w:rPr>
        <w:t>Our latest Emergency Cover Review (ECR) was conducted in 2022 and will be delivered over the next 3 planning years:</w:t>
      </w:r>
    </w:p>
    <w:p w14:paraId="15B87B1D" w14:textId="649323E7" w:rsidR="00780F6B" w:rsidRPr="00385261" w:rsidRDefault="00780F6B" w:rsidP="006874FD">
      <w:pPr>
        <w:rPr>
          <w:sz w:val="24"/>
          <w:szCs w:val="24"/>
        </w:rPr>
      </w:pPr>
      <w:r w:rsidRPr="00385261">
        <w:rPr>
          <w:b/>
          <w:bCs/>
          <w:sz w:val="24"/>
          <w:szCs w:val="24"/>
        </w:rPr>
        <w:t>Emergency Cover Review (</w:t>
      </w:r>
      <w:r w:rsidR="00171764" w:rsidRPr="00385261">
        <w:rPr>
          <w:b/>
          <w:bCs/>
          <w:sz w:val="24"/>
          <w:szCs w:val="24"/>
        </w:rPr>
        <w:t>2023-26</w:t>
      </w:r>
      <w:r w:rsidRPr="00385261">
        <w:rPr>
          <w:b/>
          <w:bCs/>
          <w:sz w:val="24"/>
          <w:szCs w:val="24"/>
        </w:rPr>
        <w:t>)</w:t>
      </w:r>
      <w:r w:rsidRPr="00385261">
        <w:rPr>
          <w:sz w:val="24"/>
          <w:szCs w:val="24"/>
        </w:rPr>
        <w:t>:</w:t>
      </w:r>
      <w:r w:rsidR="00F76379" w:rsidRPr="00385261">
        <w:rPr>
          <w:sz w:val="24"/>
          <w:szCs w:val="24"/>
        </w:rPr>
        <w:t xml:space="preserve"> </w:t>
      </w:r>
      <w:r w:rsidR="00653BE6" w:rsidRPr="00385261">
        <w:rPr>
          <w:sz w:val="24"/>
          <w:szCs w:val="24"/>
        </w:rPr>
        <w:t>Our latest</w:t>
      </w:r>
      <w:r w:rsidR="00F76379" w:rsidRPr="00385261">
        <w:rPr>
          <w:sz w:val="24"/>
          <w:szCs w:val="24"/>
        </w:rPr>
        <w:t xml:space="preserve"> operational review of emergency cover and duty systems will result in a budget saving of c.</w:t>
      </w:r>
      <w:r w:rsidR="5BF1D8AA" w:rsidRPr="00385261">
        <w:rPr>
          <w:sz w:val="24"/>
          <w:szCs w:val="24"/>
        </w:rPr>
        <w:t>£</w:t>
      </w:r>
      <w:r w:rsidR="00F76379" w:rsidRPr="00385261">
        <w:rPr>
          <w:sz w:val="24"/>
          <w:szCs w:val="24"/>
        </w:rPr>
        <w:t>400</w:t>
      </w:r>
      <w:r w:rsidR="5B7C89F1" w:rsidRPr="00385261">
        <w:rPr>
          <w:sz w:val="24"/>
          <w:szCs w:val="24"/>
        </w:rPr>
        <w:t>,000</w:t>
      </w:r>
      <w:r w:rsidR="00F76379" w:rsidRPr="00385261">
        <w:rPr>
          <w:sz w:val="24"/>
          <w:szCs w:val="24"/>
        </w:rPr>
        <w:t xml:space="preserve">, whilst at the same time increasing overall wholetime firefighter numbers by 8 and increasing the number of available ‘positive’ hours on stations that change from Day Crewing Plus (DCP) to Wholetime. </w:t>
      </w:r>
      <w:r w:rsidR="00C34443" w:rsidRPr="00385261">
        <w:rPr>
          <w:sz w:val="24"/>
          <w:szCs w:val="24"/>
        </w:rPr>
        <w:t xml:space="preserve"> </w:t>
      </w:r>
      <w:r w:rsidR="00F76379" w:rsidRPr="00385261">
        <w:rPr>
          <w:sz w:val="24"/>
          <w:szCs w:val="24"/>
        </w:rPr>
        <w:t xml:space="preserve">In summary, the ECR </w:t>
      </w:r>
      <w:r w:rsidR="00653BE6" w:rsidRPr="00385261">
        <w:rPr>
          <w:sz w:val="24"/>
          <w:szCs w:val="24"/>
        </w:rPr>
        <w:t>will deliver</w:t>
      </w:r>
      <w:r w:rsidR="00F76379" w:rsidRPr="00385261">
        <w:rPr>
          <w:sz w:val="24"/>
          <w:szCs w:val="24"/>
        </w:rPr>
        <w:t>:</w:t>
      </w:r>
    </w:p>
    <w:p w14:paraId="5CBD76E4" w14:textId="2E702753" w:rsidR="00780F6B" w:rsidRPr="00385261" w:rsidRDefault="00780F6B" w:rsidP="00385261">
      <w:pPr>
        <w:pStyle w:val="ListParagraph"/>
        <w:numPr>
          <w:ilvl w:val="0"/>
          <w:numId w:val="26"/>
        </w:numPr>
        <w:rPr>
          <w:sz w:val="24"/>
          <w:szCs w:val="24"/>
        </w:rPr>
      </w:pPr>
      <w:r w:rsidRPr="00385261">
        <w:rPr>
          <w:sz w:val="24"/>
          <w:szCs w:val="24"/>
        </w:rPr>
        <w:t>R</w:t>
      </w:r>
      <w:r w:rsidR="007F3A90" w:rsidRPr="00385261">
        <w:rPr>
          <w:sz w:val="24"/>
          <w:szCs w:val="24"/>
        </w:rPr>
        <w:t>eductions in crewing levels</w:t>
      </w:r>
      <w:r w:rsidRPr="00385261">
        <w:rPr>
          <w:sz w:val="24"/>
          <w:szCs w:val="24"/>
        </w:rPr>
        <w:t xml:space="preserve"> across DCP stations</w:t>
      </w:r>
      <w:r w:rsidR="00653BE6" w:rsidRPr="00385261">
        <w:rPr>
          <w:sz w:val="24"/>
          <w:szCs w:val="24"/>
        </w:rPr>
        <w:t xml:space="preserve"> from 14 to 13 per station</w:t>
      </w:r>
    </w:p>
    <w:p w14:paraId="75B40D33" w14:textId="6CBF4442" w:rsidR="00AD0CE0" w:rsidRPr="00385261" w:rsidRDefault="00AD0CE0" w:rsidP="00385261">
      <w:pPr>
        <w:pStyle w:val="ListParagraph"/>
        <w:numPr>
          <w:ilvl w:val="0"/>
          <w:numId w:val="26"/>
        </w:numPr>
        <w:rPr>
          <w:sz w:val="24"/>
          <w:szCs w:val="24"/>
        </w:rPr>
      </w:pPr>
      <w:r w:rsidRPr="00385261">
        <w:rPr>
          <w:sz w:val="24"/>
          <w:szCs w:val="24"/>
        </w:rPr>
        <w:t>Reductions in crewing levels at Flexi Day Crewed stations</w:t>
      </w:r>
      <w:r w:rsidR="00653BE6" w:rsidRPr="00385261">
        <w:rPr>
          <w:sz w:val="24"/>
          <w:szCs w:val="24"/>
        </w:rPr>
        <w:t xml:space="preserve"> from 14 to 13 per station</w:t>
      </w:r>
    </w:p>
    <w:p w14:paraId="2994A5F1" w14:textId="3C39A542" w:rsidR="00653BE6" w:rsidRPr="00385261" w:rsidRDefault="00653BE6" w:rsidP="00385261">
      <w:pPr>
        <w:pStyle w:val="ListParagraph"/>
        <w:numPr>
          <w:ilvl w:val="0"/>
          <w:numId w:val="26"/>
        </w:numPr>
        <w:rPr>
          <w:sz w:val="24"/>
          <w:szCs w:val="24"/>
        </w:rPr>
      </w:pPr>
      <w:r w:rsidRPr="00385261">
        <w:rPr>
          <w:sz w:val="24"/>
          <w:szCs w:val="24"/>
        </w:rPr>
        <w:t xml:space="preserve">Change </w:t>
      </w:r>
      <w:r w:rsidR="00C80BC4" w:rsidRPr="00385261">
        <w:rPr>
          <w:sz w:val="24"/>
          <w:szCs w:val="24"/>
        </w:rPr>
        <w:t>several</w:t>
      </w:r>
      <w:r w:rsidRPr="00385261">
        <w:rPr>
          <w:sz w:val="24"/>
          <w:szCs w:val="24"/>
        </w:rPr>
        <w:t xml:space="preserve"> DCP stations to Wholetime, whilst at the same time reducing overall crewing numbers on single pump Wholetime stations across the county from 28 to 24</w:t>
      </w:r>
    </w:p>
    <w:p w14:paraId="7BA3C2CA" w14:textId="687A6041" w:rsidR="00AD0CE0" w:rsidRPr="00385261" w:rsidRDefault="00AD0CE0" w:rsidP="00385261">
      <w:pPr>
        <w:pStyle w:val="ListParagraph"/>
        <w:numPr>
          <w:ilvl w:val="0"/>
          <w:numId w:val="26"/>
        </w:numPr>
        <w:rPr>
          <w:sz w:val="24"/>
          <w:szCs w:val="24"/>
        </w:rPr>
      </w:pPr>
      <w:r w:rsidRPr="00385261">
        <w:rPr>
          <w:sz w:val="24"/>
          <w:szCs w:val="24"/>
        </w:rPr>
        <w:t>Mainstreaming alternative vehicles into the appliance fleet</w:t>
      </w:r>
      <w:r w:rsidR="00C34443" w:rsidRPr="00385261">
        <w:rPr>
          <w:sz w:val="24"/>
          <w:szCs w:val="24"/>
        </w:rPr>
        <w:t xml:space="preserve"> such as </w:t>
      </w:r>
      <w:r w:rsidRPr="00385261">
        <w:rPr>
          <w:sz w:val="24"/>
          <w:szCs w:val="24"/>
        </w:rPr>
        <w:t>Climate Change vehicles for use in flooding and wildfire response</w:t>
      </w:r>
    </w:p>
    <w:p w14:paraId="7BC65C96" w14:textId="77777777" w:rsidR="00D54D44" w:rsidRPr="00385261" w:rsidRDefault="00653BE6" w:rsidP="00385261">
      <w:pPr>
        <w:pStyle w:val="ListParagraph"/>
        <w:numPr>
          <w:ilvl w:val="0"/>
          <w:numId w:val="26"/>
        </w:numPr>
        <w:rPr>
          <w:sz w:val="24"/>
          <w:szCs w:val="24"/>
        </w:rPr>
      </w:pPr>
      <w:r w:rsidRPr="00385261">
        <w:rPr>
          <w:sz w:val="24"/>
          <w:szCs w:val="24"/>
        </w:rPr>
        <w:lastRenderedPageBreak/>
        <w:t xml:space="preserve">Consider how we utilise On Call firefighters in a more productive manner to create efficiencies, for example using them to drive our Aerial Ladder Platforms at 2 fire stations instead of providing dedicated wholetime </w:t>
      </w:r>
      <w:proofErr w:type="gramStart"/>
      <w:r w:rsidR="00C80BC4" w:rsidRPr="00385261">
        <w:rPr>
          <w:sz w:val="24"/>
          <w:szCs w:val="24"/>
        </w:rPr>
        <w:t>staffing</w:t>
      </w:r>
      <w:proofErr w:type="gramEnd"/>
      <w:r w:rsidR="00D54D44" w:rsidRPr="00385261">
        <w:rPr>
          <w:sz w:val="24"/>
          <w:szCs w:val="24"/>
        </w:rPr>
        <w:t xml:space="preserve"> </w:t>
      </w:r>
    </w:p>
    <w:p w14:paraId="4C6D5447" w14:textId="167432E6" w:rsidR="00D54D44" w:rsidRPr="00385261" w:rsidRDefault="00D54D44" w:rsidP="00385261">
      <w:pPr>
        <w:pStyle w:val="ListParagraph"/>
        <w:numPr>
          <w:ilvl w:val="0"/>
          <w:numId w:val="26"/>
        </w:numPr>
        <w:rPr>
          <w:sz w:val="24"/>
          <w:szCs w:val="24"/>
        </w:rPr>
      </w:pPr>
      <w:r w:rsidRPr="00385261">
        <w:rPr>
          <w:sz w:val="24"/>
          <w:szCs w:val="24"/>
        </w:rPr>
        <w:t xml:space="preserve">We </w:t>
      </w:r>
      <w:r w:rsidR="1EDB90A4" w:rsidRPr="00385261">
        <w:rPr>
          <w:sz w:val="24"/>
          <w:szCs w:val="24"/>
        </w:rPr>
        <w:t xml:space="preserve">are continuing to explore opportunities for more flexible ways of </w:t>
      </w:r>
      <w:r w:rsidR="491BE314" w:rsidRPr="00385261">
        <w:rPr>
          <w:sz w:val="24"/>
          <w:szCs w:val="24"/>
        </w:rPr>
        <w:t>operating our duty systems with relevant Trade Unions, for the benefit of our staff and to create more efficient and effective working practices.</w:t>
      </w:r>
    </w:p>
    <w:p w14:paraId="173A160D" w14:textId="3721BE44" w:rsidR="00335BB3" w:rsidRPr="00385261" w:rsidRDefault="00335BB3" w:rsidP="006874FD">
      <w:pPr>
        <w:rPr>
          <w:sz w:val="24"/>
          <w:szCs w:val="24"/>
        </w:rPr>
      </w:pPr>
      <w:r w:rsidRPr="00385261">
        <w:rPr>
          <w:b/>
          <w:bCs/>
          <w:sz w:val="24"/>
          <w:szCs w:val="24"/>
        </w:rPr>
        <w:t>Dynamic Cover Tool (DCT)</w:t>
      </w:r>
      <w:r w:rsidRPr="00385261">
        <w:rPr>
          <w:sz w:val="24"/>
          <w:szCs w:val="24"/>
        </w:rPr>
        <w:t xml:space="preserve"> – </w:t>
      </w:r>
      <w:r w:rsidR="00D54D44" w:rsidRPr="00385261">
        <w:rPr>
          <w:sz w:val="24"/>
          <w:szCs w:val="24"/>
        </w:rPr>
        <w:t xml:space="preserve">has now been introduced into the Service and operates 24/7 within our Command Support Room to </w:t>
      </w:r>
      <w:r w:rsidRPr="00385261">
        <w:rPr>
          <w:sz w:val="24"/>
          <w:szCs w:val="24"/>
        </w:rPr>
        <w:t xml:space="preserve">optimise fire cover </w:t>
      </w:r>
      <w:r w:rsidR="00D54D44" w:rsidRPr="00385261">
        <w:rPr>
          <w:sz w:val="24"/>
          <w:szCs w:val="24"/>
        </w:rPr>
        <w:t xml:space="preserve">ensuring </w:t>
      </w:r>
      <w:r w:rsidRPr="00385261">
        <w:rPr>
          <w:sz w:val="24"/>
          <w:szCs w:val="24"/>
        </w:rPr>
        <w:t xml:space="preserve">efficient and effective disposition of resources.  </w:t>
      </w:r>
      <w:r w:rsidR="00D54D44" w:rsidRPr="00385261">
        <w:rPr>
          <w:sz w:val="24"/>
          <w:szCs w:val="24"/>
        </w:rPr>
        <w:t>During spate conditions</w:t>
      </w:r>
      <w:r w:rsidR="0064280C" w:rsidRPr="00385261">
        <w:rPr>
          <w:sz w:val="24"/>
          <w:szCs w:val="24"/>
        </w:rPr>
        <w:t xml:space="preserve">, use of the DCT has reduced appliance movements (based upon comparison against previous notional cover arrangements), supported reduced usage of overtime, reduced unnecessary disruption to business activities and thereby supported the broader productivity increases.  Over the coming year, our aim is to move to full DCT implementation within </w:t>
      </w:r>
      <w:proofErr w:type="gramStart"/>
      <w:r w:rsidR="0064280C" w:rsidRPr="00385261">
        <w:rPr>
          <w:sz w:val="24"/>
          <w:szCs w:val="24"/>
        </w:rPr>
        <w:t>North West</w:t>
      </w:r>
      <w:proofErr w:type="gramEnd"/>
      <w:r w:rsidR="0064280C" w:rsidRPr="00385261">
        <w:rPr>
          <w:sz w:val="24"/>
          <w:szCs w:val="24"/>
        </w:rPr>
        <w:t xml:space="preserve"> Fire Control, on a collaborative footing, and subsequent</w:t>
      </w:r>
      <w:r w:rsidR="00606B09" w:rsidRPr="00385261">
        <w:rPr>
          <w:sz w:val="24"/>
          <w:szCs w:val="24"/>
        </w:rPr>
        <w:t>l</w:t>
      </w:r>
      <w:r w:rsidR="0064280C" w:rsidRPr="00385261">
        <w:rPr>
          <w:sz w:val="24"/>
          <w:szCs w:val="24"/>
        </w:rPr>
        <w:t xml:space="preserve">y the removal of traditional </w:t>
      </w:r>
      <w:r w:rsidRPr="00385261">
        <w:rPr>
          <w:sz w:val="24"/>
          <w:szCs w:val="24"/>
        </w:rPr>
        <w:t>notional fire cover policies</w:t>
      </w:r>
      <w:r w:rsidR="0064280C" w:rsidRPr="00385261">
        <w:rPr>
          <w:sz w:val="24"/>
          <w:szCs w:val="24"/>
        </w:rPr>
        <w:t xml:space="preserve"> and procedures</w:t>
      </w:r>
      <w:r w:rsidRPr="00385261">
        <w:rPr>
          <w:sz w:val="24"/>
          <w:szCs w:val="24"/>
        </w:rPr>
        <w:t>.</w:t>
      </w:r>
    </w:p>
    <w:p w14:paraId="512D3E87" w14:textId="3B18D7D7" w:rsidR="0064280C" w:rsidRPr="00385261" w:rsidRDefault="00335BB3" w:rsidP="006874FD">
      <w:pPr>
        <w:rPr>
          <w:sz w:val="24"/>
          <w:szCs w:val="24"/>
        </w:rPr>
      </w:pPr>
      <w:r w:rsidRPr="00385261">
        <w:rPr>
          <w:b/>
          <w:bCs/>
          <w:sz w:val="24"/>
          <w:szCs w:val="24"/>
        </w:rPr>
        <w:t>Rota Management</w:t>
      </w:r>
      <w:r w:rsidRPr="00385261">
        <w:rPr>
          <w:sz w:val="24"/>
          <w:szCs w:val="24"/>
        </w:rPr>
        <w:t xml:space="preserve"> – </w:t>
      </w:r>
      <w:r w:rsidR="0064280C" w:rsidRPr="00385261">
        <w:rPr>
          <w:sz w:val="24"/>
          <w:szCs w:val="24"/>
        </w:rPr>
        <w:t>alongside</w:t>
      </w:r>
      <w:r w:rsidRPr="00385261">
        <w:rPr>
          <w:sz w:val="24"/>
          <w:szCs w:val="24"/>
        </w:rPr>
        <w:t xml:space="preserve"> the implementation of the DCT, </w:t>
      </w:r>
      <w:r w:rsidR="0064280C" w:rsidRPr="00385261">
        <w:rPr>
          <w:sz w:val="24"/>
          <w:szCs w:val="24"/>
        </w:rPr>
        <w:t xml:space="preserve">we have </w:t>
      </w:r>
      <w:r w:rsidRPr="00385261">
        <w:rPr>
          <w:sz w:val="24"/>
          <w:szCs w:val="24"/>
        </w:rPr>
        <w:t>create</w:t>
      </w:r>
      <w:r w:rsidR="0064280C" w:rsidRPr="00385261">
        <w:rPr>
          <w:sz w:val="24"/>
          <w:szCs w:val="24"/>
        </w:rPr>
        <w:t>d</w:t>
      </w:r>
      <w:r w:rsidRPr="00385261">
        <w:rPr>
          <w:sz w:val="24"/>
          <w:szCs w:val="24"/>
        </w:rPr>
        <w:t xml:space="preserve"> a dedicated central </w:t>
      </w:r>
      <w:r w:rsidR="0064280C" w:rsidRPr="00385261">
        <w:rPr>
          <w:sz w:val="24"/>
          <w:szCs w:val="24"/>
        </w:rPr>
        <w:t xml:space="preserve">Rota Management Team </w:t>
      </w:r>
      <w:r w:rsidRPr="00385261">
        <w:rPr>
          <w:sz w:val="24"/>
          <w:szCs w:val="24"/>
        </w:rPr>
        <w:t xml:space="preserve">to streamline and optimise crewing arrangements, </w:t>
      </w:r>
      <w:r w:rsidR="0064280C" w:rsidRPr="00385261">
        <w:rPr>
          <w:sz w:val="24"/>
          <w:szCs w:val="24"/>
        </w:rPr>
        <w:t xml:space="preserve">reduce inefficient practices in the management of </w:t>
      </w:r>
      <w:r w:rsidRPr="00385261">
        <w:rPr>
          <w:sz w:val="24"/>
          <w:szCs w:val="24"/>
        </w:rPr>
        <w:t>detached duties</w:t>
      </w:r>
      <w:r w:rsidR="0064280C" w:rsidRPr="00385261">
        <w:rPr>
          <w:sz w:val="24"/>
          <w:szCs w:val="24"/>
        </w:rPr>
        <w:t xml:space="preserve"> and</w:t>
      </w:r>
      <w:r w:rsidRPr="00385261">
        <w:rPr>
          <w:sz w:val="24"/>
          <w:szCs w:val="24"/>
        </w:rPr>
        <w:t xml:space="preserve"> overtime</w:t>
      </w:r>
      <w:r w:rsidR="0064280C" w:rsidRPr="00385261">
        <w:rPr>
          <w:sz w:val="24"/>
          <w:szCs w:val="24"/>
        </w:rPr>
        <w:t>,</w:t>
      </w:r>
      <w:r w:rsidRPr="00385261">
        <w:rPr>
          <w:sz w:val="24"/>
          <w:szCs w:val="24"/>
        </w:rPr>
        <w:t xml:space="preserve"> and </w:t>
      </w:r>
      <w:r w:rsidR="0064280C" w:rsidRPr="00385261">
        <w:rPr>
          <w:sz w:val="24"/>
          <w:szCs w:val="24"/>
        </w:rPr>
        <w:t xml:space="preserve">to optimise </w:t>
      </w:r>
      <w:r w:rsidRPr="00385261">
        <w:rPr>
          <w:sz w:val="24"/>
          <w:szCs w:val="24"/>
        </w:rPr>
        <w:t xml:space="preserve">emergency cover aligned to prevailing risk. </w:t>
      </w:r>
    </w:p>
    <w:p w14:paraId="59655453" w14:textId="52FB7E72" w:rsidR="00335BB3" w:rsidRPr="00385261" w:rsidRDefault="0064280C" w:rsidP="006874FD">
      <w:pPr>
        <w:rPr>
          <w:sz w:val="24"/>
          <w:szCs w:val="24"/>
        </w:rPr>
      </w:pPr>
      <w:r w:rsidRPr="00385261">
        <w:rPr>
          <w:sz w:val="24"/>
          <w:szCs w:val="24"/>
        </w:rPr>
        <w:t xml:space="preserve">Over the last year we have </w:t>
      </w:r>
      <w:r w:rsidR="00335BB3" w:rsidRPr="00385261">
        <w:rPr>
          <w:sz w:val="24"/>
          <w:szCs w:val="24"/>
        </w:rPr>
        <w:t>undertake</w:t>
      </w:r>
      <w:r w:rsidRPr="00385261">
        <w:rPr>
          <w:sz w:val="24"/>
          <w:szCs w:val="24"/>
        </w:rPr>
        <w:t>n</w:t>
      </w:r>
      <w:r w:rsidR="00335BB3" w:rsidRPr="00385261">
        <w:rPr>
          <w:sz w:val="24"/>
          <w:szCs w:val="24"/>
        </w:rPr>
        <w:t xml:space="preserve"> a review of operational protected assets (</w:t>
      </w:r>
      <w:r w:rsidRPr="00385261">
        <w:rPr>
          <w:sz w:val="24"/>
          <w:szCs w:val="24"/>
        </w:rPr>
        <w:t xml:space="preserve">which </w:t>
      </w:r>
      <w:r w:rsidR="00335BB3" w:rsidRPr="00385261">
        <w:rPr>
          <w:sz w:val="24"/>
          <w:szCs w:val="24"/>
        </w:rPr>
        <w:t>resources we keep available 24/7), to ensure we are delivering effective and efficient response arrangements.</w:t>
      </w:r>
    </w:p>
    <w:p w14:paraId="64E0B34E" w14:textId="6C621341" w:rsidR="004E52EF" w:rsidRPr="00385261" w:rsidRDefault="004E52EF" w:rsidP="006874FD">
      <w:pPr>
        <w:rPr>
          <w:sz w:val="24"/>
          <w:szCs w:val="24"/>
        </w:rPr>
      </w:pPr>
      <w:r w:rsidRPr="00385261">
        <w:rPr>
          <w:b/>
          <w:bCs/>
          <w:sz w:val="24"/>
          <w:szCs w:val="24"/>
        </w:rPr>
        <w:t>Investment in additional Water Tower dual purpose Fire Appliances</w:t>
      </w:r>
      <w:r w:rsidRPr="00385261">
        <w:rPr>
          <w:sz w:val="24"/>
          <w:szCs w:val="24"/>
        </w:rPr>
        <w:t xml:space="preserve"> </w:t>
      </w:r>
      <w:r w:rsidR="00653BE6" w:rsidRPr="00385261">
        <w:rPr>
          <w:sz w:val="24"/>
          <w:szCs w:val="24"/>
        </w:rPr>
        <w:t xml:space="preserve">- </w:t>
      </w:r>
      <w:r w:rsidRPr="00385261">
        <w:rPr>
          <w:sz w:val="24"/>
          <w:szCs w:val="24"/>
        </w:rPr>
        <w:t>to ensure LFRS can deliver high volumes of water for firefighting and reduce the number of appliances required to safely deal with protracted commercial (and to a lesser degree domestic) fires</w:t>
      </w:r>
      <w:r w:rsidR="00C34443" w:rsidRPr="00385261">
        <w:rPr>
          <w:sz w:val="24"/>
          <w:szCs w:val="24"/>
        </w:rPr>
        <w:t>.  W</w:t>
      </w:r>
      <w:r w:rsidR="0064280C" w:rsidRPr="00385261">
        <w:rPr>
          <w:sz w:val="24"/>
          <w:szCs w:val="24"/>
        </w:rPr>
        <w:t>e have procured two additional water towers which will replace two conventional ‘B’ type appliances within our fleet</w:t>
      </w:r>
      <w:r w:rsidR="0023320E" w:rsidRPr="00385261">
        <w:rPr>
          <w:sz w:val="24"/>
          <w:szCs w:val="24"/>
        </w:rPr>
        <w:t>.</w:t>
      </w:r>
      <w:r w:rsidR="0064280C" w:rsidRPr="00385261">
        <w:rPr>
          <w:sz w:val="24"/>
          <w:szCs w:val="24"/>
        </w:rPr>
        <w:t xml:space="preserve">  With a higher pumping capability, aerial water </w:t>
      </w:r>
      <w:proofErr w:type="gramStart"/>
      <w:r w:rsidR="0064280C" w:rsidRPr="00385261">
        <w:rPr>
          <w:sz w:val="24"/>
          <w:szCs w:val="24"/>
        </w:rPr>
        <w:t>throw</w:t>
      </w:r>
      <w:proofErr w:type="gramEnd"/>
      <w:r w:rsidR="0064280C" w:rsidRPr="00385261">
        <w:rPr>
          <w:sz w:val="24"/>
          <w:szCs w:val="24"/>
        </w:rPr>
        <w:t xml:space="preserve"> and piercing capacity, these versatile appliances reduce the size of attendances to structural fires. </w:t>
      </w:r>
    </w:p>
    <w:p w14:paraId="6A46957E" w14:textId="69400174" w:rsidR="009E16DA" w:rsidRPr="006874FD" w:rsidRDefault="009E16DA" w:rsidP="006874FD">
      <w:pPr>
        <w:pStyle w:val="Heading2"/>
        <w:rPr>
          <w:rStyle w:val="normaltextrun"/>
          <w:b/>
          <w:bCs/>
          <w:color w:val="auto"/>
        </w:rPr>
      </w:pPr>
      <w:r w:rsidRPr="006874FD">
        <w:rPr>
          <w:rStyle w:val="normaltextrun"/>
          <w:b/>
          <w:bCs/>
          <w:color w:val="auto"/>
        </w:rPr>
        <w:t>Procurement  </w:t>
      </w:r>
    </w:p>
    <w:p w14:paraId="41491993" w14:textId="26F81288" w:rsidR="002761AE" w:rsidRPr="00385261" w:rsidRDefault="002761AE" w:rsidP="006874FD">
      <w:pPr>
        <w:rPr>
          <w:sz w:val="24"/>
          <w:szCs w:val="24"/>
        </w:rPr>
      </w:pPr>
      <w:bookmarkStart w:id="2" w:name="_Hlk160532629"/>
      <w:r w:rsidRPr="00385261">
        <w:rPr>
          <w:sz w:val="24"/>
          <w:szCs w:val="24"/>
        </w:rPr>
        <w:t xml:space="preserve">We are </w:t>
      </w:r>
      <w:r w:rsidR="00DE7F32" w:rsidRPr="00385261">
        <w:rPr>
          <w:sz w:val="24"/>
          <w:szCs w:val="24"/>
        </w:rPr>
        <w:t>invo</w:t>
      </w:r>
      <w:r w:rsidR="00C34443" w:rsidRPr="00385261">
        <w:rPr>
          <w:sz w:val="24"/>
          <w:szCs w:val="24"/>
        </w:rPr>
        <w:t>lv</w:t>
      </w:r>
      <w:r w:rsidR="00DE7F32" w:rsidRPr="00385261">
        <w:rPr>
          <w:sz w:val="24"/>
          <w:szCs w:val="24"/>
        </w:rPr>
        <w:t>ed</w:t>
      </w:r>
      <w:r w:rsidRPr="00385261">
        <w:rPr>
          <w:sz w:val="24"/>
          <w:szCs w:val="24"/>
        </w:rPr>
        <w:t xml:space="preserve"> in both national and </w:t>
      </w:r>
      <w:r w:rsidR="00DE7F32" w:rsidRPr="00385261">
        <w:rPr>
          <w:sz w:val="24"/>
          <w:szCs w:val="24"/>
        </w:rPr>
        <w:t>regional</w:t>
      </w:r>
      <w:r w:rsidRPr="00385261">
        <w:rPr>
          <w:sz w:val="24"/>
          <w:szCs w:val="24"/>
        </w:rPr>
        <w:t xml:space="preserve"> procurement projects as well as undertaking our own local procurement</w:t>
      </w:r>
      <w:r w:rsidR="00DE7F32" w:rsidRPr="00385261">
        <w:rPr>
          <w:sz w:val="24"/>
          <w:szCs w:val="24"/>
        </w:rPr>
        <w:t xml:space="preserve"> activities</w:t>
      </w:r>
      <w:r w:rsidRPr="00385261">
        <w:rPr>
          <w:sz w:val="24"/>
          <w:szCs w:val="24"/>
        </w:rPr>
        <w:t xml:space="preserve">. </w:t>
      </w:r>
      <w:r w:rsidR="00C34443" w:rsidRPr="00385261">
        <w:rPr>
          <w:sz w:val="24"/>
          <w:szCs w:val="24"/>
        </w:rPr>
        <w:t xml:space="preserve"> </w:t>
      </w:r>
      <w:r w:rsidRPr="00385261">
        <w:rPr>
          <w:sz w:val="24"/>
          <w:szCs w:val="24"/>
        </w:rPr>
        <w:t xml:space="preserve">In all </w:t>
      </w:r>
      <w:r w:rsidR="00DE7F32" w:rsidRPr="00385261">
        <w:rPr>
          <w:sz w:val="24"/>
          <w:szCs w:val="24"/>
        </w:rPr>
        <w:t>instances</w:t>
      </w:r>
      <w:r w:rsidRPr="00385261">
        <w:rPr>
          <w:sz w:val="24"/>
          <w:szCs w:val="24"/>
        </w:rPr>
        <w:t xml:space="preserve"> we</w:t>
      </w:r>
      <w:r w:rsidR="00DE7F32" w:rsidRPr="00385261">
        <w:rPr>
          <w:sz w:val="24"/>
          <w:szCs w:val="24"/>
        </w:rPr>
        <w:t xml:space="preserve"> </w:t>
      </w:r>
      <w:r w:rsidRPr="00385261">
        <w:rPr>
          <w:sz w:val="24"/>
          <w:szCs w:val="24"/>
        </w:rPr>
        <w:t>seek t</w:t>
      </w:r>
      <w:r w:rsidR="00DE7F32" w:rsidRPr="00385261">
        <w:rPr>
          <w:sz w:val="24"/>
          <w:szCs w:val="24"/>
        </w:rPr>
        <w:t xml:space="preserve">o </w:t>
      </w:r>
      <w:r w:rsidRPr="00385261">
        <w:rPr>
          <w:sz w:val="24"/>
          <w:szCs w:val="24"/>
        </w:rPr>
        <w:t xml:space="preserve">maximise the </w:t>
      </w:r>
      <w:r w:rsidR="00DE7F32" w:rsidRPr="00385261">
        <w:rPr>
          <w:sz w:val="24"/>
          <w:szCs w:val="24"/>
        </w:rPr>
        <w:t>benefits</w:t>
      </w:r>
      <w:r w:rsidRPr="00385261">
        <w:rPr>
          <w:sz w:val="24"/>
          <w:szCs w:val="24"/>
        </w:rPr>
        <w:t xml:space="preserve"> offered by existing </w:t>
      </w:r>
      <w:r w:rsidR="00DE7F32" w:rsidRPr="00385261">
        <w:rPr>
          <w:sz w:val="24"/>
          <w:szCs w:val="24"/>
        </w:rPr>
        <w:t>frameworks</w:t>
      </w:r>
      <w:r w:rsidRPr="00385261">
        <w:rPr>
          <w:sz w:val="24"/>
          <w:szCs w:val="24"/>
        </w:rPr>
        <w:t xml:space="preserve"> to </w:t>
      </w:r>
      <w:r w:rsidR="00DE7F32" w:rsidRPr="00385261">
        <w:rPr>
          <w:sz w:val="24"/>
          <w:szCs w:val="24"/>
        </w:rPr>
        <w:t>deliver</w:t>
      </w:r>
      <w:r w:rsidRPr="00385261">
        <w:rPr>
          <w:sz w:val="24"/>
          <w:szCs w:val="24"/>
        </w:rPr>
        <w:t xml:space="preserve"> savings, both </w:t>
      </w:r>
      <w:r w:rsidR="00DE7F32" w:rsidRPr="00385261">
        <w:rPr>
          <w:sz w:val="24"/>
          <w:szCs w:val="24"/>
        </w:rPr>
        <w:t>cashable</w:t>
      </w:r>
      <w:r w:rsidRPr="00385261">
        <w:rPr>
          <w:sz w:val="24"/>
          <w:szCs w:val="24"/>
        </w:rPr>
        <w:t xml:space="preserve"> and non-</w:t>
      </w:r>
      <w:r w:rsidR="00DE7F32" w:rsidRPr="00385261">
        <w:rPr>
          <w:sz w:val="24"/>
          <w:szCs w:val="24"/>
        </w:rPr>
        <w:t>cashable</w:t>
      </w:r>
      <w:r w:rsidRPr="00385261">
        <w:rPr>
          <w:sz w:val="24"/>
          <w:szCs w:val="24"/>
        </w:rPr>
        <w:t xml:space="preserve">, and to maximise the commercial </w:t>
      </w:r>
      <w:r w:rsidR="00DE7F32" w:rsidRPr="00385261">
        <w:rPr>
          <w:sz w:val="24"/>
          <w:szCs w:val="24"/>
        </w:rPr>
        <w:t>advantages</w:t>
      </w:r>
      <w:r w:rsidRPr="00385261">
        <w:rPr>
          <w:sz w:val="24"/>
          <w:szCs w:val="24"/>
        </w:rPr>
        <w:t xml:space="preserve"> offered by collaboration. </w:t>
      </w:r>
      <w:r w:rsidR="00C34443" w:rsidRPr="00385261">
        <w:rPr>
          <w:sz w:val="24"/>
          <w:szCs w:val="24"/>
        </w:rPr>
        <w:t xml:space="preserve"> </w:t>
      </w:r>
      <w:r w:rsidRPr="00385261">
        <w:rPr>
          <w:sz w:val="24"/>
          <w:szCs w:val="24"/>
        </w:rPr>
        <w:t>Some examples being:</w:t>
      </w:r>
    </w:p>
    <w:p w14:paraId="58D56788" w14:textId="4233F2B3" w:rsidR="002761AE" w:rsidRPr="00385261" w:rsidRDefault="00DE7F32" w:rsidP="00385261">
      <w:pPr>
        <w:pStyle w:val="ListParagraph"/>
        <w:numPr>
          <w:ilvl w:val="0"/>
          <w:numId w:val="26"/>
        </w:numPr>
        <w:rPr>
          <w:sz w:val="24"/>
          <w:szCs w:val="24"/>
        </w:rPr>
      </w:pPr>
      <w:r w:rsidRPr="00385261">
        <w:rPr>
          <w:sz w:val="24"/>
          <w:szCs w:val="24"/>
        </w:rPr>
        <w:t>Active</w:t>
      </w:r>
      <w:r w:rsidR="002761AE" w:rsidRPr="00385261">
        <w:rPr>
          <w:sz w:val="24"/>
          <w:szCs w:val="24"/>
        </w:rPr>
        <w:t xml:space="preserve"> member of the Facilities Management and Construction National </w:t>
      </w:r>
      <w:r w:rsidRPr="00385261">
        <w:rPr>
          <w:sz w:val="24"/>
          <w:szCs w:val="24"/>
        </w:rPr>
        <w:t>Strategic</w:t>
      </w:r>
      <w:r w:rsidR="002761AE" w:rsidRPr="00385261">
        <w:rPr>
          <w:sz w:val="24"/>
          <w:szCs w:val="24"/>
        </w:rPr>
        <w:t xml:space="preserve"> Task and </w:t>
      </w:r>
      <w:r w:rsidRPr="00385261">
        <w:rPr>
          <w:sz w:val="24"/>
          <w:szCs w:val="24"/>
        </w:rPr>
        <w:t>Finish</w:t>
      </w:r>
      <w:r w:rsidR="002761AE" w:rsidRPr="00385261">
        <w:rPr>
          <w:sz w:val="24"/>
          <w:szCs w:val="24"/>
        </w:rPr>
        <w:t xml:space="preserve"> Group, currently working on procurement of a </w:t>
      </w:r>
      <w:r w:rsidRPr="00385261">
        <w:rPr>
          <w:sz w:val="24"/>
          <w:szCs w:val="24"/>
        </w:rPr>
        <w:t>national</w:t>
      </w:r>
      <w:r w:rsidR="002761AE" w:rsidRPr="00385261">
        <w:rPr>
          <w:sz w:val="24"/>
          <w:szCs w:val="24"/>
        </w:rPr>
        <w:t xml:space="preserve"> </w:t>
      </w:r>
      <w:r w:rsidRPr="00385261">
        <w:rPr>
          <w:sz w:val="24"/>
          <w:szCs w:val="24"/>
        </w:rPr>
        <w:t>cleaning</w:t>
      </w:r>
      <w:r w:rsidR="002761AE" w:rsidRPr="00385261">
        <w:rPr>
          <w:sz w:val="24"/>
          <w:szCs w:val="24"/>
        </w:rPr>
        <w:t xml:space="preserve"> contract</w:t>
      </w:r>
      <w:r w:rsidR="00F24B52" w:rsidRPr="00385261">
        <w:rPr>
          <w:sz w:val="24"/>
          <w:szCs w:val="24"/>
        </w:rPr>
        <w:t>.</w:t>
      </w:r>
    </w:p>
    <w:p w14:paraId="634E00AD" w14:textId="0BB3D058" w:rsidR="00DE7F32" w:rsidRPr="00385261" w:rsidRDefault="00C34443" w:rsidP="00385261">
      <w:pPr>
        <w:pStyle w:val="ListParagraph"/>
        <w:numPr>
          <w:ilvl w:val="0"/>
          <w:numId w:val="26"/>
        </w:numPr>
        <w:rPr>
          <w:sz w:val="24"/>
          <w:szCs w:val="24"/>
        </w:rPr>
      </w:pPr>
      <w:r w:rsidRPr="00385261">
        <w:rPr>
          <w:sz w:val="24"/>
          <w:szCs w:val="24"/>
        </w:rPr>
        <w:t>U</w:t>
      </w:r>
      <w:r w:rsidR="00DE7F32" w:rsidRPr="00385261">
        <w:rPr>
          <w:sz w:val="24"/>
          <w:szCs w:val="24"/>
        </w:rPr>
        <w:t xml:space="preserve">tilised various Fire Specific National Frameworks such as provision of specialist vehicles, including an Aerial Ladder Platform which delivered a saving of </w:t>
      </w:r>
      <w:r w:rsidR="52E345C3" w:rsidRPr="00385261">
        <w:rPr>
          <w:sz w:val="24"/>
          <w:szCs w:val="24"/>
        </w:rPr>
        <w:t>£</w:t>
      </w:r>
      <w:r w:rsidR="006766DD" w:rsidRPr="00385261">
        <w:rPr>
          <w:sz w:val="24"/>
          <w:szCs w:val="24"/>
        </w:rPr>
        <w:t>150</w:t>
      </w:r>
      <w:r w:rsidR="7C3D909E" w:rsidRPr="00385261">
        <w:rPr>
          <w:sz w:val="24"/>
          <w:szCs w:val="24"/>
        </w:rPr>
        <w:t>,000</w:t>
      </w:r>
      <w:r w:rsidR="00F24B52" w:rsidRPr="00385261">
        <w:rPr>
          <w:sz w:val="24"/>
          <w:szCs w:val="24"/>
        </w:rPr>
        <w:t>.</w:t>
      </w:r>
    </w:p>
    <w:p w14:paraId="69B65049" w14:textId="3FC9065A" w:rsidR="009619AF" w:rsidRPr="00385261" w:rsidRDefault="009619AF" w:rsidP="00385261">
      <w:pPr>
        <w:pStyle w:val="ListParagraph"/>
        <w:numPr>
          <w:ilvl w:val="0"/>
          <w:numId w:val="26"/>
        </w:numPr>
        <w:rPr>
          <w:sz w:val="24"/>
          <w:szCs w:val="24"/>
        </w:rPr>
      </w:pPr>
      <w:r w:rsidRPr="00385261">
        <w:rPr>
          <w:sz w:val="24"/>
          <w:szCs w:val="24"/>
        </w:rPr>
        <w:lastRenderedPageBreak/>
        <w:t>We have utilised blue light specific frameworks, such as the Police framework for the supply of footwear</w:t>
      </w:r>
      <w:r w:rsidR="00F24B52" w:rsidRPr="00385261">
        <w:rPr>
          <w:sz w:val="24"/>
          <w:szCs w:val="24"/>
        </w:rPr>
        <w:t>.</w:t>
      </w:r>
    </w:p>
    <w:p w14:paraId="77DA79C2" w14:textId="1E05935F" w:rsidR="00DE7F32" w:rsidRPr="00385261" w:rsidRDefault="00DE7F32" w:rsidP="00385261">
      <w:pPr>
        <w:pStyle w:val="ListParagraph"/>
        <w:numPr>
          <w:ilvl w:val="0"/>
          <w:numId w:val="26"/>
        </w:numPr>
        <w:rPr>
          <w:sz w:val="24"/>
          <w:szCs w:val="24"/>
        </w:rPr>
      </w:pPr>
      <w:r w:rsidRPr="00385261">
        <w:rPr>
          <w:sz w:val="24"/>
          <w:szCs w:val="24"/>
        </w:rPr>
        <w:t xml:space="preserve">We have utilised non-fire frameworks, such as Crown Commercial Services for support vehicles, G-Cloud for software support, YPO for </w:t>
      </w:r>
      <w:r w:rsidR="009619AF" w:rsidRPr="00385261">
        <w:rPr>
          <w:sz w:val="24"/>
          <w:szCs w:val="24"/>
        </w:rPr>
        <w:t>PPE/</w:t>
      </w:r>
      <w:r w:rsidRPr="00385261">
        <w:rPr>
          <w:sz w:val="24"/>
          <w:szCs w:val="24"/>
        </w:rPr>
        <w:t>station uniform and Health Trust Europe for IT related services</w:t>
      </w:r>
      <w:r w:rsidR="00F24B52" w:rsidRPr="00385261">
        <w:rPr>
          <w:sz w:val="24"/>
          <w:szCs w:val="24"/>
        </w:rPr>
        <w:t>.</w:t>
      </w:r>
    </w:p>
    <w:p w14:paraId="2BA2D407" w14:textId="56F373D5" w:rsidR="009619AF" w:rsidRPr="00385261" w:rsidRDefault="002761AE" w:rsidP="00385261">
      <w:pPr>
        <w:pStyle w:val="ListParagraph"/>
        <w:numPr>
          <w:ilvl w:val="0"/>
          <w:numId w:val="26"/>
        </w:numPr>
        <w:rPr>
          <w:sz w:val="24"/>
          <w:szCs w:val="24"/>
        </w:rPr>
      </w:pPr>
      <w:r w:rsidRPr="00385261">
        <w:rPr>
          <w:sz w:val="24"/>
          <w:szCs w:val="24"/>
        </w:rPr>
        <w:t xml:space="preserve">Part of the </w:t>
      </w:r>
      <w:proofErr w:type="gramStart"/>
      <w:r w:rsidRPr="00385261">
        <w:rPr>
          <w:sz w:val="24"/>
          <w:szCs w:val="24"/>
        </w:rPr>
        <w:t>North</w:t>
      </w:r>
      <w:r w:rsidR="00DE7F32" w:rsidRPr="00385261">
        <w:rPr>
          <w:sz w:val="24"/>
          <w:szCs w:val="24"/>
        </w:rPr>
        <w:t xml:space="preserve"> </w:t>
      </w:r>
      <w:r w:rsidRPr="00385261">
        <w:rPr>
          <w:sz w:val="24"/>
          <w:szCs w:val="24"/>
        </w:rPr>
        <w:t>West</w:t>
      </w:r>
      <w:proofErr w:type="gramEnd"/>
      <w:r w:rsidRPr="00385261">
        <w:rPr>
          <w:sz w:val="24"/>
          <w:szCs w:val="24"/>
        </w:rPr>
        <w:t xml:space="preserve"> Group, </w:t>
      </w:r>
      <w:r w:rsidR="00DE7F32" w:rsidRPr="00385261">
        <w:rPr>
          <w:sz w:val="24"/>
          <w:szCs w:val="24"/>
        </w:rPr>
        <w:t>responsible</w:t>
      </w:r>
      <w:r w:rsidRPr="00385261">
        <w:rPr>
          <w:sz w:val="24"/>
          <w:szCs w:val="24"/>
        </w:rPr>
        <w:t xml:space="preserve"> for </w:t>
      </w:r>
      <w:r w:rsidR="00DE7F32" w:rsidRPr="00385261">
        <w:rPr>
          <w:sz w:val="24"/>
          <w:szCs w:val="24"/>
        </w:rPr>
        <w:t>aligning</w:t>
      </w:r>
      <w:r w:rsidRPr="00385261">
        <w:rPr>
          <w:sz w:val="24"/>
          <w:szCs w:val="24"/>
        </w:rPr>
        <w:t xml:space="preserve"> requirements and undertaking regional </w:t>
      </w:r>
      <w:r w:rsidR="00DE7F32" w:rsidRPr="00385261">
        <w:rPr>
          <w:sz w:val="24"/>
          <w:szCs w:val="24"/>
        </w:rPr>
        <w:t>procurement</w:t>
      </w:r>
      <w:r w:rsidRPr="00385261">
        <w:rPr>
          <w:sz w:val="24"/>
          <w:szCs w:val="24"/>
        </w:rPr>
        <w:t xml:space="preserve"> </w:t>
      </w:r>
      <w:r w:rsidR="00DE7F32" w:rsidRPr="00385261">
        <w:rPr>
          <w:sz w:val="24"/>
          <w:szCs w:val="24"/>
        </w:rPr>
        <w:t xml:space="preserve">activities across </w:t>
      </w:r>
      <w:r w:rsidRPr="00385261">
        <w:rPr>
          <w:sz w:val="24"/>
          <w:szCs w:val="24"/>
        </w:rPr>
        <w:t>various headin</w:t>
      </w:r>
      <w:r w:rsidR="00DE7F32" w:rsidRPr="00385261">
        <w:rPr>
          <w:sz w:val="24"/>
          <w:szCs w:val="24"/>
        </w:rPr>
        <w:t>g</w:t>
      </w:r>
      <w:r w:rsidRPr="00385261">
        <w:rPr>
          <w:sz w:val="24"/>
          <w:szCs w:val="24"/>
        </w:rPr>
        <w:t>s</w:t>
      </w:r>
      <w:r w:rsidR="009619AF" w:rsidRPr="00385261">
        <w:rPr>
          <w:sz w:val="24"/>
          <w:szCs w:val="24"/>
        </w:rPr>
        <w:t>, such as laundry of PPE, provision of flood suits</w:t>
      </w:r>
      <w:r w:rsidR="00F24B52" w:rsidRPr="00385261">
        <w:rPr>
          <w:sz w:val="24"/>
          <w:szCs w:val="24"/>
        </w:rPr>
        <w:t>.</w:t>
      </w:r>
    </w:p>
    <w:p w14:paraId="183ABC4D" w14:textId="54AFA7CA" w:rsidR="00DE7F32" w:rsidRPr="00385261" w:rsidRDefault="00DE7F32" w:rsidP="00385261">
      <w:pPr>
        <w:pStyle w:val="ListParagraph"/>
        <w:numPr>
          <w:ilvl w:val="0"/>
          <w:numId w:val="26"/>
        </w:numPr>
        <w:rPr>
          <w:sz w:val="24"/>
          <w:szCs w:val="24"/>
        </w:rPr>
      </w:pPr>
      <w:r w:rsidRPr="00385261">
        <w:rPr>
          <w:sz w:val="24"/>
          <w:szCs w:val="24"/>
        </w:rPr>
        <w:t xml:space="preserve">As </w:t>
      </w:r>
      <w:r w:rsidR="009619AF" w:rsidRPr="00385261">
        <w:rPr>
          <w:sz w:val="24"/>
          <w:szCs w:val="24"/>
        </w:rPr>
        <w:t>part</w:t>
      </w:r>
      <w:r w:rsidRPr="00385261">
        <w:rPr>
          <w:sz w:val="24"/>
          <w:szCs w:val="24"/>
        </w:rPr>
        <w:t xml:space="preserve"> of the Regional </w:t>
      </w:r>
      <w:proofErr w:type="gramStart"/>
      <w:r w:rsidRPr="00385261">
        <w:rPr>
          <w:sz w:val="24"/>
          <w:szCs w:val="24"/>
        </w:rPr>
        <w:t>Group</w:t>
      </w:r>
      <w:proofErr w:type="gramEnd"/>
      <w:r w:rsidRPr="00385261">
        <w:rPr>
          <w:sz w:val="24"/>
          <w:szCs w:val="24"/>
        </w:rPr>
        <w:t xml:space="preserve"> we also invite other </w:t>
      </w:r>
      <w:r w:rsidR="009619AF" w:rsidRPr="00385261">
        <w:rPr>
          <w:sz w:val="24"/>
          <w:szCs w:val="24"/>
        </w:rPr>
        <w:t>organisations</w:t>
      </w:r>
      <w:r w:rsidRPr="00385261">
        <w:rPr>
          <w:sz w:val="24"/>
          <w:szCs w:val="24"/>
        </w:rPr>
        <w:t xml:space="preserve"> to join in </w:t>
      </w:r>
      <w:r w:rsidR="009619AF" w:rsidRPr="00385261">
        <w:rPr>
          <w:sz w:val="24"/>
          <w:szCs w:val="24"/>
        </w:rPr>
        <w:t>appropriate</w:t>
      </w:r>
      <w:r w:rsidRPr="00385261">
        <w:rPr>
          <w:sz w:val="24"/>
          <w:szCs w:val="24"/>
        </w:rPr>
        <w:t xml:space="preserve"> </w:t>
      </w:r>
      <w:r w:rsidR="009619AF" w:rsidRPr="00385261">
        <w:rPr>
          <w:sz w:val="24"/>
          <w:szCs w:val="24"/>
        </w:rPr>
        <w:t>exercises</w:t>
      </w:r>
      <w:r w:rsidRPr="00385261">
        <w:rPr>
          <w:sz w:val="24"/>
          <w:szCs w:val="24"/>
        </w:rPr>
        <w:t xml:space="preserve">, one </w:t>
      </w:r>
      <w:r w:rsidR="009619AF" w:rsidRPr="00385261">
        <w:rPr>
          <w:sz w:val="24"/>
          <w:szCs w:val="24"/>
        </w:rPr>
        <w:t>example</w:t>
      </w:r>
      <w:r w:rsidRPr="00385261">
        <w:rPr>
          <w:sz w:val="24"/>
          <w:szCs w:val="24"/>
        </w:rPr>
        <w:t xml:space="preserve"> being for </w:t>
      </w:r>
      <w:r w:rsidR="009619AF" w:rsidRPr="00385261">
        <w:rPr>
          <w:sz w:val="24"/>
          <w:szCs w:val="24"/>
        </w:rPr>
        <w:t xml:space="preserve">maintenance </w:t>
      </w:r>
      <w:r w:rsidRPr="00385261">
        <w:rPr>
          <w:sz w:val="24"/>
          <w:szCs w:val="24"/>
        </w:rPr>
        <w:t xml:space="preserve">and repair of </w:t>
      </w:r>
      <w:r w:rsidR="009619AF" w:rsidRPr="00385261">
        <w:rPr>
          <w:sz w:val="24"/>
          <w:szCs w:val="24"/>
        </w:rPr>
        <w:t>Appliance</w:t>
      </w:r>
      <w:r w:rsidRPr="00385261">
        <w:rPr>
          <w:sz w:val="24"/>
          <w:szCs w:val="24"/>
        </w:rPr>
        <w:t xml:space="preserve"> Bay Doors where NWAS joined the </w:t>
      </w:r>
      <w:r w:rsidR="009619AF" w:rsidRPr="00385261">
        <w:rPr>
          <w:sz w:val="24"/>
          <w:szCs w:val="24"/>
        </w:rPr>
        <w:t>project</w:t>
      </w:r>
      <w:r w:rsidR="00F24B52" w:rsidRPr="00385261">
        <w:rPr>
          <w:sz w:val="24"/>
          <w:szCs w:val="24"/>
        </w:rPr>
        <w:t>.</w:t>
      </w:r>
    </w:p>
    <w:p w14:paraId="71A93768" w14:textId="37322A95" w:rsidR="002761AE" w:rsidRPr="00385261" w:rsidRDefault="00DE7F32" w:rsidP="006874FD">
      <w:pPr>
        <w:rPr>
          <w:sz w:val="24"/>
          <w:szCs w:val="24"/>
        </w:rPr>
      </w:pPr>
      <w:r w:rsidRPr="00385261">
        <w:rPr>
          <w:sz w:val="24"/>
          <w:szCs w:val="24"/>
        </w:rPr>
        <w:t xml:space="preserve">We record savings generated by procurement on an annual basis, identifying savings of </w:t>
      </w:r>
      <w:r w:rsidR="650EA4AB" w:rsidRPr="00385261">
        <w:rPr>
          <w:sz w:val="24"/>
          <w:szCs w:val="24"/>
        </w:rPr>
        <w:t>£</w:t>
      </w:r>
      <w:r w:rsidR="006766DD" w:rsidRPr="00385261">
        <w:rPr>
          <w:sz w:val="24"/>
          <w:szCs w:val="24"/>
        </w:rPr>
        <w:t>0.5m</w:t>
      </w:r>
      <w:r w:rsidRPr="00385261">
        <w:rPr>
          <w:sz w:val="24"/>
          <w:szCs w:val="24"/>
        </w:rPr>
        <w:t xml:space="preserve"> in </w:t>
      </w:r>
      <w:r w:rsidR="3A40BE62" w:rsidRPr="00385261">
        <w:rPr>
          <w:sz w:val="24"/>
          <w:szCs w:val="24"/>
        </w:rPr>
        <w:t>20</w:t>
      </w:r>
      <w:r w:rsidRPr="00385261">
        <w:rPr>
          <w:sz w:val="24"/>
          <w:szCs w:val="24"/>
        </w:rPr>
        <w:t>22/23.</w:t>
      </w:r>
    </w:p>
    <w:bookmarkEnd w:id="2"/>
    <w:p w14:paraId="50A326B5" w14:textId="24384DBC" w:rsidR="009E16DA" w:rsidRPr="006874FD" w:rsidRDefault="009E16DA" w:rsidP="006874FD">
      <w:pPr>
        <w:pStyle w:val="Heading2"/>
        <w:rPr>
          <w:rStyle w:val="normaltextrun"/>
          <w:color w:val="auto"/>
        </w:rPr>
      </w:pPr>
      <w:r w:rsidRPr="006874FD">
        <w:rPr>
          <w:rStyle w:val="normaltextrun"/>
          <w:b/>
          <w:bCs/>
          <w:color w:val="auto"/>
        </w:rPr>
        <w:t>Productivity </w:t>
      </w:r>
      <w:r w:rsidRPr="006874FD">
        <w:rPr>
          <w:rStyle w:val="normaltextrun"/>
          <w:color w:val="auto"/>
        </w:rPr>
        <w:t> </w:t>
      </w:r>
    </w:p>
    <w:p w14:paraId="718F77B9" w14:textId="77777777" w:rsidR="00606B09" w:rsidRPr="00385261" w:rsidRDefault="00606B09" w:rsidP="006874FD">
      <w:pPr>
        <w:rPr>
          <w:sz w:val="24"/>
          <w:szCs w:val="24"/>
        </w:rPr>
      </w:pPr>
      <w:r w:rsidRPr="00385261">
        <w:rPr>
          <w:sz w:val="24"/>
          <w:szCs w:val="24"/>
        </w:rPr>
        <w:t xml:space="preserve">LFRS is well placed to deliver the 3% productivity increase under </w:t>
      </w:r>
      <w:r w:rsidR="008A5E82" w:rsidRPr="00385261">
        <w:rPr>
          <w:sz w:val="24"/>
          <w:szCs w:val="24"/>
        </w:rPr>
        <w:t xml:space="preserve">the sector wide Spending Review </w:t>
      </w:r>
      <w:r w:rsidR="00404E88" w:rsidRPr="00385261">
        <w:rPr>
          <w:sz w:val="24"/>
          <w:szCs w:val="24"/>
        </w:rPr>
        <w:t>(2021/22-2024/25</w:t>
      </w:r>
      <w:r w:rsidRPr="00385261">
        <w:rPr>
          <w:sz w:val="24"/>
          <w:szCs w:val="24"/>
        </w:rPr>
        <w:t xml:space="preserve">) </w:t>
      </w:r>
      <w:r w:rsidR="00E33CFC" w:rsidRPr="00385261">
        <w:rPr>
          <w:sz w:val="24"/>
          <w:szCs w:val="24"/>
        </w:rPr>
        <w:t>with productivity gains already amassed and evident from our increased outputs.</w:t>
      </w:r>
      <w:r w:rsidRPr="00385261">
        <w:rPr>
          <w:sz w:val="24"/>
          <w:szCs w:val="24"/>
        </w:rPr>
        <w:t xml:space="preserve">  </w:t>
      </w:r>
      <w:r w:rsidR="00E33CFC" w:rsidRPr="00385261">
        <w:rPr>
          <w:sz w:val="24"/>
          <w:szCs w:val="24"/>
        </w:rPr>
        <w:t xml:space="preserve">As we move into year 2, we aim to consolidate the gains made, whilst delivering further improvements via the ambitions of various Service priorities.  </w:t>
      </w:r>
    </w:p>
    <w:p w14:paraId="39220743" w14:textId="76325AB9" w:rsidR="00E33CFC" w:rsidRPr="00385261" w:rsidRDefault="00E33CFC" w:rsidP="006874FD">
      <w:pPr>
        <w:rPr>
          <w:sz w:val="24"/>
          <w:szCs w:val="24"/>
        </w:rPr>
      </w:pPr>
      <w:r w:rsidRPr="00385261">
        <w:rPr>
          <w:sz w:val="24"/>
          <w:szCs w:val="24"/>
        </w:rPr>
        <w:t xml:space="preserve">These gains will be balanced against the need to facilitate capacity to manage through sizeable Service change programmes arising from our Emergency Cover Review.  Most notable in this regard, are the significant training burdens arising from duty system changes and staff relocations around the county, and our requirement to train at pace new fire appliance drivers, and a spectrum of specialist skill sets (swift water rescue, large animal rescue, water towers, aerial </w:t>
      </w:r>
      <w:r w:rsidR="006840AA" w:rsidRPr="00385261">
        <w:rPr>
          <w:sz w:val="24"/>
          <w:szCs w:val="24"/>
        </w:rPr>
        <w:t xml:space="preserve">ladder </w:t>
      </w:r>
      <w:r w:rsidRPr="00385261">
        <w:rPr>
          <w:sz w:val="24"/>
          <w:szCs w:val="24"/>
        </w:rPr>
        <w:t>platforms etc)</w:t>
      </w:r>
      <w:r w:rsidR="006840AA" w:rsidRPr="00385261">
        <w:rPr>
          <w:sz w:val="24"/>
          <w:szCs w:val="24"/>
        </w:rPr>
        <w:t xml:space="preserve"> to maintain service provision</w:t>
      </w:r>
      <w:r w:rsidRPr="00385261">
        <w:rPr>
          <w:sz w:val="24"/>
          <w:szCs w:val="24"/>
        </w:rPr>
        <w:t xml:space="preserve">.  </w:t>
      </w:r>
    </w:p>
    <w:p w14:paraId="74CC9AC2" w14:textId="67EF705A" w:rsidR="009B12AB" w:rsidRDefault="009B12AB">
      <w:pPr>
        <w:rPr>
          <w:rFonts w:ascii="Arial" w:eastAsia="Times New Roman" w:hAnsi="Arial" w:cs="Arial"/>
          <w:sz w:val="24"/>
          <w:szCs w:val="24"/>
          <w:lang w:eastAsia="en-GB"/>
        </w:rPr>
      </w:pPr>
      <w:r>
        <w:rPr>
          <w:rFonts w:ascii="Arial" w:hAnsi="Arial" w:cs="Arial"/>
        </w:rPr>
        <w:br w:type="page"/>
      </w:r>
    </w:p>
    <w:p w14:paraId="29280D37" w14:textId="450677C9" w:rsidR="004C3CD0" w:rsidRDefault="004C3CD0" w:rsidP="006874FD">
      <w:pPr>
        <w:pStyle w:val="Heading1"/>
        <w:jc w:val="right"/>
        <w:rPr>
          <w:rStyle w:val="normaltextrun"/>
          <w:b/>
          <w:bCs/>
        </w:rPr>
      </w:pPr>
      <w:r w:rsidRPr="002236CE">
        <w:rPr>
          <w:rStyle w:val="normaltextrun"/>
          <w:b/>
          <w:bCs/>
        </w:rPr>
        <w:lastRenderedPageBreak/>
        <w:t>Annex A</w:t>
      </w:r>
    </w:p>
    <w:tbl>
      <w:tblPr>
        <w:tblStyle w:val="TableGrid"/>
        <w:tblW w:w="9077" w:type="dxa"/>
        <w:tblLook w:val="04A0" w:firstRow="1" w:lastRow="0" w:firstColumn="1" w:lastColumn="0" w:noHBand="0" w:noVBand="1"/>
      </w:tblPr>
      <w:tblGrid>
        <w:gridCol w:w="5669"/>
        <w:gridCol w:w="1136"/>
        <w:gridCol w:w="1136"/>
        <w:gridCol w:w="1136"/>
      </w:tblGrid>
      <w:tr w:rsidR="00B95CB7" w:rsidRPr="00B95CB7" w14:paraId="3DE4ED06" w14:textId="77777777" w:rsidTr="00B95CB7">
        <w:trPr>
          <w:trHeight w:val="300"/>
        </w:trPr>
        <w:tc>
          <w:tcPr>
            <w:tcW w:w="5669" w:type="dxa"/>
            <w:noWrap/>
            <w:hideMark/>
          </w:tcPr>
          <w:p w14:paraId="7A098309" w14:textId="77777777" w:rsidR="00B95CB7" w:rsidRPr="00B95CB7" w:rsidRDefault="00B95CB7" w:rsidP="00B95CB7">
            <w:pPr>
              <w:jc w:val="center"/>
              <w:rPr>
                <w:rFonts w:ascii="Calibri" w:eastAsia="Times New Roman" w:hAnsi="Calibri" w:cs="Calibri"/>
                <w:b/>
                <w:bCs/>
                <w:lang w:eastAsia="en-GB"/>
              </w:rPr>
            </w:pPr>
            <w:r w:rsidRPr="00B95CB7">
              <w:rPr>
                <w:rFonts w:ascii="Calibri" w:eastAsia="Times New Roman" w:hAnsi="Calibri" w:cs="Calibri"/>
                <w:b/>
                <w:bCs/>
                <w:lang w:eastAsia="en-GB"/>
              </w:rPr>
              <w:t>£'000</w:t>
            </w:r>
          </w:p>
        </w:tc>
        <w:tc>
          <w:tcPr>
            <w:tcW w:w="1136" w:type="dxa"/>
            <w:noWrap/>
            <w:hideMark/>
          </w:tcPr>
          <w:p w14:paraId="59F4E741"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Actual</w:t>
            </w:r>
          </w:p>
        </w:tc>
        <w:tc>
          <w:tcPr>
            <w:tcW w:w="1136" w:type="dxa"/>
            <w:noWrap/>
            <w:hideMark/>
          </w:tcPr>
          <w:p w14:paraId="2358938A"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Forecast</w:t>
            </w:r>
          </w:p>
        </w:tc>
        <w:tc>
          <w:tcPr>
            <w:tcW w:w="1136" w:type="dxa"/>
            <w:noWrap/>
            <w:hideMark/>
          </w:tcPr>
          <w:p w14:paraId="1820D054"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Forecast</w:t>
            </w:r>
          </w:p>
        </w:tc>
      </w:tr>
      <w:tr w:rsidR="00B95CB7" w:rsidRPr="00B95CB7" w14:paraId="386AAF64" w14:textId="77777777" w:rsidTr="00B95CB7">
        <w:trPr>
          <w:trHeight w:val="300"/>
        </w:trPr>
        <w:tc>
          <w:tcPr>
            <w:tcW w:w="5669" w:type="dxa"/>
            <w:noWrap/>
            <w:hideMark/>
          </w:tcPr>
          <w:p w14:paraId="1265D61A" w14:textId="77777777" w:rsidR="00B95CB7" w:rsidRPr="00B95CB7" w:rsidRDefault="00B95CB7" w:rsidP="00B95CB7">
            <w:pPr>
              <w:rPr>
                <w:rFonts w:ascii="Calibri" w:eastAsia="Times New Roman" w:hAnsi="Calibri" w:cs="Calibri"/>
                <w:color w:val="FF0000"/>
                <w:lang w:eastAsia="en-GB"/>
              </w:rPr>
            </w:pPr>
            <w:r w:rsidRPr="00B95CB7">
              <w:rPr>
                <w:rFonts w:ascii="Calibri" w:eastAsia="Times New Roman" w:hAnsi="Calibri" w:cs="Calibri"/>
                <w:strike/>
                <w:color w:val="FF0000"/>
                <w:lang w:eastAsia="en-GB"/>
              </w:rPr>
              <w:t> </w:t>
            </w:r>
          </w:p>
        </w:tc>
        <w:tc>
          <w:tcPr>
            <w:tcW w:w="1136" w:type="dxa"/>
            <w:noWrap/>
            <w:hideMark/>
          </w:tcPr>
          <w:p w14:paraId="67D34B88"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2022-23</w:t>
            </w:r>
          </w:p>
        </w:tc>
        <w:tc>
          <w:tcPr>
            <w:tcW w:w="1136" w:type="dxa"/>
            <w:noWrap/>
            <w:hideMark/>
          </w:tcPr>
          <w:p w14:paraId="30058111"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2023-24</w:t>
            </w:r>
          </w:p>
        </w:tc>
        <w:tc>
          <w:tcPr>
            <w:tcW w:w="1136" w:type="dxa"/>
            <w:noWrap/>
            <w:hideMark/>
          </w:tcPr>
          <w:p w14:paraId="5E3528CA"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2024-25</w:t>
            </w:r>
          </w:p>
        </w:tc>
      </w:tr>
      <w:tr w:rsidR="00B95CB7" w:rsidRPr="00B95CB7" w14:paraId="3CBBF15C" w14:textId="77777777" w:rsidTr="00B95CB7">
        <w:trPr>
          <w:trHeight w:val="300"/>
        </w:trPr>
        <w:tc>
          <w:tcPr>
            <w:tcW w:w="5669" w:type="dxa"/>
            <w:noWrap/>
            <w:hideMark/>
          </w:tcPr>
          <w:p w14:paraId="6FD75948" w14:textId="77777777" w:rsidR="00B95CB7" w:rsidRPr="00B95CB7" w:rsidRDefault="00B95CB7" w:rsidP="00B95CB7">
            <w:pPr>
              <w:rPr>
                <w:rFonts w:ascii="Calibri" w:eastAsia="Times New Roman" w:hAnsi="Calibri" w:cs="Calibri"/>
                <w:lang w:eastAsia="en-GB"/>
              </w:rPr>
            </w:pPr>
            <w:r w:rsidRPr="00B95CB7">
              <w:rPr>
                <w:rFonts w:ascii="Calibri" w:eastAsia="Times New Roman" w:hAnsi="Calibri" w:cs="Calibri"/>
                <w:lang w:eastAsia="en-GB"/>
              </w:rPr>
              <w:t>Opening Revenue Expenditure Budget (Net)</w:t>
            </w:r>
          </w:p>
        </w:tc>
        <w:tc>
          <w:tcPr>
            <w:tcW w:w="1136" w:type="dxa"/>
            <w:noWrap/>
            <w:hideMark/>
          </w:tcPr>
          <w:p w14:paraId="338903B6"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63,024</w:t>
            </w:r>
          </w:p>
        </w:tc>
        <w:tc>
          <w:tcPr>
            <w:tcW w:w="1136" w:type="dxa"/>
            <w:noWrap/>
            <w:hideMark/>
          </w:tcPr>
          <w:p w14:paraId="2A602DF7"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68,490</w:t>
            </w:r>
          </w:p>
        </w:tc>
        <w:tc>
          <w:tcPr>
            <w:tcW w:w="1136" w:type="dxa"/>
            <w:noWrap/>
            <w:hideMark/>
          </w:tcPr>
          <w:p w14:paraId="46D03632"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75,156</w:t>
            </w:r>
          </w:p>
        </w:tc>
      </w:tr>
      <w:tr w:rsidR="00B95CB7" w:rsidRPr="00B95CB7" w14:paraId="0CF13BBC" w14:textId="77777777" w:rsidTr="00B95CB7">
        <w:trPr>
          <w:trHeight w:val="300"/>
        </w:trPr>
        <w:tc>
          <w:tcPr>
            <w:tcW w:w="5669" w:type="dxa"/>
            <w:noWrap/>
            <w:hideMark/>
          </w:tcPr>
          <w:p w14:paraId="11271E0E" w14:textId="77777777" w:rsidR="00B95CB7" w:rsidRPr="00B95CB7" w:rsidRDefault="00B95CB7" w:rsidP="00B95CB7">
            <w:pPr>
              <w:rPr>
                <w:rFonts w:ascii="Calibri" w:eastAsia="Times New Roman" w:hAnsi="Calibri" w:cs="Calibri"/>
                <w:lang w:eastAsia="en-GB"/>
              </w:rPr>
            </w:pPr>
            <w:r w:rsidRPr="00B95CB7">
              <w:rPr>
                <w:rFonts w:ascii="Calibri" w:eastAsia="Times New Roman" w:hAnsi="Calibri" w:cs="Calibri"/>
                <w:lang w:eastAsia="en-GB"/>
              </w:rPr>
              <w:t>Less Total Direct Employee Costs</w:t>
            </w:r>
          </w:p>
        </w:tc>
        <w:tc>
          <w:tcPr>
            <w:tcW w:w="1136" w:type="dxa"/>
            <w:noWrap/>
            <w:hideMark/>
          </w:tcPr>
          <w:p w14:paraId="24B8CB71"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49,868</w:t>
            </w:r>
          </w:p>
        </w:tc>
        <w:tc>
          <w:tcPr>
            <w:tcW w:w="1136" w:type="dxa"/>
            <w:noWrap/>
            <w:hideMark/>
          </w:tcPr>
          <w:p w14:paraId="6061650C"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54,303</w:t>
            </w:r>
          </w:p>
        </w:tc>
        <w:tc>
          <w:tcPr>
            <w:tcW w:w="1136" w:type="dxa"/>
            <w:noWrap/>
            <w:hideMark/>
          </w:tcPr>
          <w:p w14:paraId="136E63A4"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56,367</w:t>
            </w:r>
          </w:p>
        </w:tc>
      </w:tr>
      <w:tr w:rsidR="00B95CB7" w:rsidRPr="00B95CB7" w14:paraId="796695DD" w14:textId="77777777" w:rsidTr="00B95CB7">
        <w:trPr>
          <w:trHeight w:val="300"/>
        </w:trPr>
        <w:tc>
          <w:tcPr>
            <w:tcW w:w="5669" w:type="dxa"/>
            <w:noWrap/>
            <w:hideMark/>
          </w:tcPr>
          <w:p w14:paraId="1D8D54C5" w14:textId="77777777" w:rsidR="00B95CB7" w:rsidRPr="00B95CB7" w:rsidRDefault="00B95CB7" w:rsidP="00B95CB7">
            <w:pPr>
              <w:rPr>
                <w:rFonts w:ascii="Calibri" w:eastAsia="Times New Roman" w:hAnsi="Calibri" w:cs="Calibri"/>
                <w:lang w:eastAsia="en-GB"/>
              </w:rPr>
            </w:pPr>
            <w:proofErr w:type="gramStart"/>
            <w:r w:rsidRPr="00B95CB7">
              <w:rPr>
                <w:rFonts w:ascii="Calibri" w:eastAsia="Times New Roman" w:hAnsi="Calibri" w:cs="Calibri"/>
                <w:lang w:eastAsia="en-GB"/>
              </w:rPr>
              <w:t>Non Pay</w:t>
            </w:r>
            <w:proofErr w:type="gramEnd"/>
            <w:r w:rsidRPr="00B95CB7">
              <w:rPr>
                <w:rFonts w:ascii="Calibri" w:eastAsia="Times New Roman" w:hAnsi="Calibri" w:cs="Calibri"/>
                <w:lang w:eastAsia="en-GB"/>
              </w:rPr>
              <w:t xml:space="preserve"> Budget</w:t>
            </w:r>
          </w:p>
        </w:tc>
        <w:tc>
          <w:tcPr>
            <w:tcW w:w="1136" w:type="dxa"/>
            <w:noWrap/>
            <w:hideMark/>
          </w:tcPr>
          <w:p w14:paraId="51F9C941" w14:textId="77777777" w:rsidR="00B95CB7" w:rsidRPr="00B95CB7" w:rsidRDefault="00B95CB7" w:rsidP="00B95CB7">
            <w:pPr>
              <w:jc w:val="right"/>
              <w:rPr>
                <w:rFonts w:ascii="Calibri" w:eastAsia="Times New Roman" w:hAnsi="Calibri" w:cs="Calibri"/>
                <w:lang w:eastAsia="en-GB"/>
              </w:rPr>
            </w:pPr>
            <w:r w:rsidRPr="00B95CB7">
              <w:rPr>
                <w:rFonts w:ascii="Calibri" w:eastAsia="Times New Roman" w:hAnsi="Calibri" w:cs="Calibri"/>
                <w:lang w:eastAsia="en-GB"/>
              </w:rPr>
              <w:t>13,156</w:t>
            </w:r>
          </w:p>
        </w:tc>
        <w:tc>
          <w:tcPr>
            <w:tcW w:w="1136" w:type="dxa"/>
            <w:noWrap/>
            <w:hideMark/>
          </w:tcPr>
          <w:p w14:paraId="76AAAB96" w14:textId="77777777" w:rsidR="00B95CB7" w:rsidRPr="00B95CB7" w:rsidRDefault="00B95CB7" w:rsidP="00B95CB7">
            <w:pPr>
              <w:jc w:val="right"/>
              <w:rPr>
                <w:rFonts w:ascii="Calibri" w:eastAsia="Times New Roman" w:hAnsi="Calibri" w:cs="Calibri"/>
                <w:lang w:eastAsia="en-GB"/>
              </w:rPr>
            </w:pPr>
            <w:r w:rsidRPr="00B95CB7">
              <w:rPr>
                <w:rFonts w:ascii="Calibri" w:eastAsia="Times New Roman" w:hAnsi="Calibri" w:cs="Calibri"/>
                <w:lang w:eastAsia="en-GB"/>
              </w:rPr>
              <w:t>14,187</w:t>
            </w:r>
          </w:p>
        </w:tc>
        <w:tc>
          <w:tcPr>
            <w:tcW w:w="1136" w:type="dxa"/>
            <w:noWrap/>
            <w:hideMark/>
          </w:tcPr>
          <w:p w14:paraId="0C8585B1" w14:textId="77777777" w:rsidR="00B95CB7" w:rsidRPr="00B95CB7" w:rsidRDefault="00B95CB7" w:rsidP="00B95CB7">
            <w:pPr>
              <w:jc w:val="right"/>
              <w:rPr>
                <w:rFonts w:ascii="Calibri" w:eastAsia="Times New Roman" w:hAnsi="Calibri" w:cs="Calibri"/>
                <w:lang w:eastAsia="en-GB"/>
              </w:rPr>
            </w:pPr>
            <w:r w:rsidRPr="00B95CB7">
              <w:rPr>
                <w:rFonts w:ascii="Calibri" w:eastAsia="Times New Roman" w:hAnsi="Calibri" w:cs="Calibri"/>
                <w:lang w:eastAsia="en-GB"/>
              </w:rPr>
              <w:t>18,789</w:t>
            </w:r>
          </w:p>
        </w:tc>
      </w:tr>
      <w:tr w:rsidR="00B95CB7" w:rsidRPr="00B95CB7" w14:paraId="39744BD6" w14:textId="77777777" w:rsidTr="00B95CB7">
        <w:trPr>
          <w:trHeight w:val="300"/>
        </w:trPr>
        <w:tc>
          <w:tcPr>
            <w:tcW w:w="5669" w:type="dxa"/>
            <w:noWrap/>
            <w:hideMark/>
          </w:tcPr>
          <w:p w14:paraId="6F9032D2" w14:textId="77777777" w:rsidR="00B95CB7" w:rsidRPr="00B95CB7" w:rsidRDefault="00B95CB7" w:rsidP="00B95CB7">
            <w:pPr>
              <w:rPr>
                <w:rFonts w:ascii="Calibri" w:eastAsia="Times New Roman" w:hAnsi="Calibri" w:cs="Calibri"/>
                <w:lang w:eastAsia="en-GB"/>
              </w:rPr>
            </w:pPr>
            <w:r w:rsidRPr="00B95CB7">
              <w:rPr>
                <w:rFonts w:ascii="Calibri" w:eastAsia="Times New Roman" w:hAnsi="Calibri" w:cs="Calibri"/>
                <w:lang w:eastAsia="en-GB"/>
              </w:rPr>
              <w:t>Efficiency Target (2% of non-pay budget)</w:t>
            </w:r>
          </w:p>
        </w:tc>
        <w:tc>
          <w:tcPr>
            <w:tcW w:w="1136" w:type="dxa"/>
            <w:noWrap/>
            <w:hideMark/>
          </w:tcPr>
          <w:p w14:paraId="09FAA617"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263</w:t>
            </w:r>
          </w:p>
        </w:tc>
        <w:tc>
          <w:tcPr>
            <w:tcW w:w="1136" w:type="dxa"/>
            <w:noWrap/>
            <w:hideMark/>
          </w:tcPr>
          <w:p w14:paraId="6FC2874F"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284</w:t>
            </w:r>
          </w:p>
        </w:tc>
        <w:tc>
          <w:tcPr>
            <w:tcW w:w="1136" w:type="dxa"/>
            <w:noWrap/>
            <w:hideMark/>
          </w:tcPr>
          <w:p w14:paraId="14CDE26E" w14:textId="77777777" w:rsidR="00B95CB7" w:rsidRPr="00B95CB7" w:rsidRDefault="00B95CB7" w:rsidP="00B95CB7">
            <w:pPr>
              <w:jc w:val="right"/>
              <w:rPr>
                <w:rFonts w:ascii="Calibri" w:eastAsia="Times New Roman" w:hAnsi="Calibri" w:cs="Calibri"/>
                <w:b/>
                <w:bCs/>
                <w:lang w:eastAsia="en-GB"/>
              </w:rPr>
            </w:pPr>
            <w:r w:rsidRPr="00B95CB7">
              <w:rPr>
                <w:rFonts w:ascii="Calibri" w:eastAsia="Times New Roman" w:hAnsi="Calibri" w:cs="Calibri"/>
                <w:b/>
                <w:bCs/>
                <w:lang w:eastAsia="en-GB"/>
              </w:rPr>
              <w:t>376</w:t>
            </w:r>
          </w:p>
        </w:tc>
      </w:tr>
      <w:tr w:rsidR="00B95CB7" w:rsidRPr="00B95CB7" w14:paraId="5ADA8EC6" w14:textId="77777777" w:rsidTr="00B95CB7">
        <w:trPr>
          <w:trHeight w:val="300"/>
        </w:trPr>
        <w:tc>
          <w:tcPr>
            <w:tcW w:w="5669" w:type="dxa"/>
            <w:noWrap/>
            <w:hideMark/>
          </w:tcPr>
          <w:p w14:paraId="3D8E1B39"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0FB72251"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7FAC3146"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0BEB3EF2"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285C1CE1" w14:textId="77777777" w:rsidTr="00B95CB7">
        <w:trPr>
          <w:trHeight w:val="300"/>
        </w:trPr>
        <w:tc>
          <w:tcPr>
            <w:tcW w:w="5669" w:type="dxa"/>
            <w:noWrap/>
            <w:hideMark/>
          </w:tcPr>
          <w:p w14:paraId="0DA41900" w14:textId="77777777" w:rsidR="00B95CB7" w:rsidRPr="00B95CB7" w:rsidRDefault="00B95CB7" w:rsidP="00B95CB7">
            <w:pPr>
              <w:rPr>
                <w:rFonts w:ascii="Calibri" w:eastAsia="Times New Roman" w:hAnsi="Calibri" w:cs="Calibri"/>
                <w:b/>
                <w:bCs/>
                <w:color w:val="000000"/>
                <w:lang w:eastAsia="en-GB"/>
              </w:rPr>
            </w:pPr>
            <w:r w:rsidRPr="00B95CB7">
              <w:rPr>
                <w:rFonts w:ascii="Calibri" w:eastAsia="Times New Roman" w:hAnsi="Calibri" w:cs="Calibri"/>
                <w:b/>
                <w:bCs/>
                <w:color w:val="000000"/>
                <w:lang w:eastAsia="en-GB"/>
              </w:rPr>
              <w:t>Efficiency Savings</w:t>
            </w:r>
          </w:p>
        </w:tc>
        <w:tc>
          <w:tcPr>
            <w:tcW w:w="1136" w:type="dxa"/>
            <w:noWrap/>
            <w:hideMark/>
          </w:tcPr>
          <w:p w14:paraId="6B5FCB05"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54FC7D98"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756B16F1"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6500B0AA" w14:textId="77777777" w:rsidTr="00B95CB7">
        <w:trPr>
          <w:trHeight w:val="300"/>
        </w:trPr>
        <w:tc>
          <w:tcPr>
            <w:tcW w:w="5669" w:type="dxa"/>
            <w:noWrap/>
            <w:hideMark/>
          </w:tcPr>
          <w:p w14:paraId="70CCAAFE" w14:textId="77777777" w:rsidR="00B95CB7" w:rsidRPr="00B95CB7" w:rsidRDefault="00B95CB7" w:rsidP="00B95CB7">
            <w:pPr>
              <w:rPr>
                <w:rFonts w:ascii="Calibri" w:eastAsia="Times New Roman" w:hAnsi="Calibri" w:cs="Calibri"/>
                <w:color w:val="000000"/>
                <w:u w:val="single"/>
                <w:lang w:eastAsia="en-GB"/>
              </w:rPr>
            </w:pPr>
            <w:r w:rsidRPr="00B95CB7">
              <w:rPr>
                <w:rFonts w:ascii="Calibri" w:eastAsia="Times New Roman" w:hAnsi="Calibri" w:cs="Calibri"/>
                <w:color w:val="000000"/>
                <w:u w:val="single"/>
                <w:lang w:eastAsia="en-GB"/>
              </w:rPr>
              <w:t>Direct Employee</w:t>
            </w:r>
          </w:p>
        </w:tc>
        <w:tc>
          <w:tcPr>
            <w:tcW w:w="1136" w:type="dxa"/>
            <w:noWrap/>
            <w:hideMark/>
          </w:tcPr>
          <w:p w14:paraId="76C8C882"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0FC11558"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7D5C9D04"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7C8A78C6" w14:textId="77777777" w:rsidTr="00B95CB7">
        <w:trPr>
          <w:trHeight w:val="300"/>
        </w:trPr>
        <w:tc>
          <w:tcPr>
            <w:tcW w:w="5669" w:type="dxa"/>
            <w:noWrap/>
            <w:hideMark/>
          </w:tcPr>
          <w:p w14:paraId="668660AB"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Reduction in Prevention/Protection/Response Staff</w:t>
            </w:r>
          </w:p>
        </w:tc>
        <w:tc>
          <w:tcPr>
            <w:tcW w:w="1136" w:type="dxa"/>
            <w:noWrap/>
            <w:hideMark/>
          </w:tcPr>
          <w:p w14:paraId="4C376413"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04071296"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-400</w:t>
            </w:r>
          </w:p>
        </w:tc>
        <w:tc>
          <w:tcPr>
            <w:tcW w:w="1136" w:type="dxa"/>
            <w:noWrap/>
            <w:hideMark/>
          </w:tcPr>
          <w:p w14:paraId="1E60A444" w14:textId="77777777" w:rsidR="00B95CB7" w:rsidRPr="00B95CB7" w:rsidRDefault="00B95CB7" w:rsidP="00B95CB7">
            <w:pPr>
              <w:jc w:val="right"/>
              <w:rPr>
                <w:rFonts w:ascii="Calibri" w:eastAsia="Times New Roman" w:hAnsi="Calibri" w:cs="Calibri"/>
                <w:color w:val="000000"/>
                <w:lang w:eastAsia="en-GB"/>
              </w:rPr>
            </w:pPr>
          </w:p>
        </w:tc>
      </w:tr>
      <w:tr w:rsidR="00B95CB7" w:rsidRPr="00B95CB7" w14:paraId="00DDB740" w14:textId="77777777" w:rsidTr="00B95CB7">
        <w:trPr>
          <w:trHeight w:val="300"/>
        </w:trPr>
        <w:tc>
          <w:tcPr>
            <w:tcW w:w="5669" w:type="dxa"/>
            <w:noWrap/>
            <w:hideMark/>
          </w:tcPr>
          <w:p w14:paraId="67484D59"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Reduction in Support Staff</w:t>
            </w:r>
          </w:p>
        </w:tc>
        <w:tc>
          <w:tcPr>
            <w:tcW w:w="1136" w:type="dxa"/>
            <w:noWrap/>
            <w:hideMark/>
          </w:tcPr>
          <w:p w14:paraId="5BCC2E44"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4317C5DD"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020E7CFD"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18B3BF76" w14:textId="77777777" w:rsidTr="00B95CB7">
        <w:trPr>
          <w:trHeight w:val="300"/>
        </w:trPr>
        <w:tc>
          <w:tcPr>
            <w:tcW w:w="5669" w:type="dxa"/>
            <w:noWrap/>
            <w:hideMark/>
          </w:tcPr>
          <w:p w14:paraId="54CBD4B6" w14:textId="77777777" w:rsidR="00B95CB7" w:rsidRPr="00B95CB7" w:rsidRDefault="00B95CB7" w:rsidP="00B95CB7">
            <w:pPr>
              <w:rPr>
                <w:rFonts w:ascii="Calibri" w:eastAsia="Times New Roman" w:hAnsi="Calibri" w:cs="Calibri"/>
                <w:color w:val="000000"/>
                <w:u w:val="single"/>
                <w:lang w:eastAsia="en-GB"/>
              </w:rPr>
            </w:pPr>
            <w:r w:rsidRPr="00B95CB7">
              <w:rPr>
                <w:rFonts w:ascii="Calibri" w:eastAsia="Times New Roman" w:hAnsi="Calibri" w:cs="Calibri"/>
                <w:color w:val="000000"/>
                <w:u w:val="single"/>
                <w:lang w:eastAsia="en-GB"/>
              </w:rPr>
              <w:t>Indirect Employee (e.g. training, travel etc.)</w:t>
            </w:r>
          </w:p>
        </w:tc>
        <w:tc>
          <w:tcPr>
            <w:tcW w:w="1136" w:type="dxa"/>
            <w:noWrap/>
            <w:hideMark/>
          </w:tcPr>
          <w:p w14:paraId="2AAC3F60"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2D0816E0"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2A62506A"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1EAA8B7E" w14:textId="77777777" w:rsidTr="00B95CB7">
        <w:trPr>
          <w:trHeight w:val="300"/>
        </w:trPr>
        <w:tc>
          <w:tcPr>
            <w:tcW w:w="5669" w:type="dxa"/>
            <w:noWrap/>
            <w:hideMark/>
          </w:tcPr>
          <w:p w14:paraId="42C4DA40"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All Indirect Employee Costs</w:t>
            </w:r>
          </w:p>
        </w:tc>
        <w:tc>
          <w:tcPr>
            <w:tcW w:w="1136" w:type="dxa"/>
            <w:noWrap/>
            <w:hideMark/>
          </w:tcPr>
          <w:p w14:paraId="14F58E90"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-300</w:t>
            </w:r>
          </w:p>
        </w:tc>
        <w:tc>
          <w:tcPr>
            <w:tcW w:w="1136" w:type="dxa"/>
            <w:noWrap/>
            <w:hideMark/>
          </w:tcPr>
          <w:p w14:paraId="2B6ADE77" w14:textId="77777777" w:rsidR="00B95CB7" w:rsidRPr="00B95CB7" w:rsidRDefault="00B95CB7" w:rsidP="00B95CB7">
            <w:pPr>
              <w:jc w:val="right"/>
              <w:rPr>
                <w:rFonts w:ascii="Calibri" w:eastAsia="Times New Roman" w:hAnsi="Calibri" w:cs="Calibri"/>
                <w:color w:val="000000"/>
                <w:lang w:eastAsia="en-GB"/>
              </w:rPr>
            </w:pPr>
          </w:p>
        </w:tc>
        <w:tc>
          <w:tcPr>
            <w:tcW w:w="1136" w:type="dxa"/>
            <w:noWrap/>
            <w:hideMark/>
          </w:tcPr>
          <w:p w14:paraId="3DE53EE4"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46B2C949" w14:textId="77777777" w:rsidTr="00B95CB7">
        <w:trPr>
          <w:trHeight w:val="300"/>
        </w:trPr>
        <w:tc>
          <w:tcPr>
            <w:tcW w:w="5669" w:type="dxa"/>
            <w:noWrap/>
            <w:hideMark/>
          </w:tcPr>
          <w:p w14:paraId="0FB63260" w14:textId="77777777" w:rsidR="00B95CB7" w:rsidRPr="00B95CB7" w:rsidRDefault="00B95CB7" w:rsidP="00B95CB7">
            <w:pPr>
              <w:rPr>
                <w:rFonts w:ascii="Calibri" w:eastAsia="Times New Roman" w:hAnsi="Calibri" w:cs="Calibri"/>
                <w:color w:val="000000"/>
                <w:u w:val="single"/>
                <w:lang w:eastAsia="en-GB"/>
              </w:rPr>
            </w:pPr>
            <w:r w:rsidRPr="00B95CB7">
              <w:rPr>
                <w:rFonts w:ascii="Calibri" w:eastAsia="Times New Roman" w:hAnsi="Calibri" w:cs="Calibri"/>
                <w:color w:val="000000"/>
                <w:u w:val="single"/>
                <w:lang w:eastAsia="en-GB"/>
              </w:rPr>
              <w:t>Premises</w:t>
            </w:r>
          </w:p>
        </w:tc>
        <w:tc>
          <w:tcPr>
            <w:tcW w:w="1136" w:type="dxa"/>
            <w:noWrap/>
            <w:hideMark/>
          </w:tcPr>
          <w:p w14:paraId="5BB738EE"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1F0FFB2C"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4323925D"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13F90EC9" w14:textId="77777777" w:rsidTr="00B95CB7">
        <w:trPr>
          <w:trHeight w:val="300"/>
        </w:trPr>
        <w:tc>
          <w:tcPr>
            <w:tcW w:w="5669" w:type="dxa"/>
            <w:noWrap/>
            <w:hideMark/>
          </w:tcPr>
          <w:p w14:paraId="53E0C4A5"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Utilities</w:t>
            </w:r>
          </w:p>
        </w:tc>
        <w:tc>
          <w:tcPr>
            <w:tcW w:w="1136" w:type="dxa"/>
            <w:noWrap/>
            <w:hideMark/>
          </w:tcPr>
          <w:p w14:paraId="70E4C096"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12BD21BF"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7CC45B8C"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039A2BAB" w14:textId="77777777" w:rsidTr="00B95CB7">
        <w:trPr>
          <w:trHeight w:val="300"/>
        </w:trPr>
        <w:tc>
          <w:tcPr>
            <w:tcW w:w="5669" w:type="dxa"/>
            <w:noWrap/>
            <w:hideMark/>
          </w:tcPr>
          <w:p w14:paraId="54B8F17C"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Rent/Rates</w:t>
            </w:r>
          </w:p>
        </w:tc>
        <w:tc>
          <w:tcPr>
            <w:tcW w:w="1136" w:type="dxa"/>
            <w:noWrap/>
            <w:hideMark/>
          </w:tcPr>
          <w:p w14:paraId="5615124A"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016B7E79"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13DF966A"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79C473D2" w14:textId="77777777" w:rsidTr="00B95CB7">
        <w:trPr>
          <w:trHeight w:val="300"/>
        </w:trPr>
        <w:tc>
          <w:tcPr>
            <w:tcW w:w="5669" w:type="dxa"/>
            <w:noWrap/>
            <w:hideMark/>
          </w:tcPr>
          <w:p w14:paraId="4C89DEDA"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Other Premises Costs</w:t>
            </w:r>
          </w:p>
        </w:tc>
        <w:tc>
          <w:tcPr>
            <w:tcW w:w="1136" w:type="dxa"/>
            <w:noWrap/>
            <w:hideMark/>
          </w:tcPr>
          <w:p w14:paraId="60373B54"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41EBFDDA"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15766319"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27A7DEEC" w14:textId="77777777" w:rsidTr="00B95CB7">
        <w:trPr>
          <w:trHeight w:val="300"/>
        </w:trPr>
        <w:tc>
          <w:tcPr>
            <w:tcW w:w="5669" w:type="dxa"/>
            <w:noWrap/>
            <w:hideMark/>
          </w:tcPr>
          <w:p w14:paraId="009C32E8"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Shared Premises</w:t>
            </w:r>
          </w:p>
        </w:tc>
        <w:tc>
          <w:tcPr>
            <w:tcW w:w="1136" w:type="dxa"/>
            <w:noWrap/>
            <w:hideMark/>
          </w:tcPr>
          <w:p w14:paraId="0359AC40"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2231CF0C"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6BE0BC62"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3EAED9C0" w14:textId="77777777" w:rsidTr="00B95CB7">
        <w:trPr>
          <w:trHeight w:val="300"/>
        </w:trPr>
        <w:tc>
          <w:tcPr>
            <w:tcW w:w="5669" w:type="dxa"/>
            <w:noWrap/>
            <w:hideMark/>
          </w:tcPr>
          <w:p w14:paraId="6E1FC166" w14:textId="77777777" w:rsidR="00B95CB7" w:rsidRPr="00B95CB7" w:rsidRDefault="00B95CB7" w:rsidP="00B95CB7">
            <w:pPr>
              <w:rPr>
                <w:rFonts w:ascii="Calibri" w:eastAsia="Times New Roman" w:hAnsi="Calibri" w:cs="Calibri"/>
                <w:color w:val="000000"/>
                <w:u w:val="single"/>
                <w:lang w:eastAsia="en-GB"/>
              </w:rPr>
            </w:pPr>
            <w:r w:rsidRPr="00B95CB7">
              <w:rPr>
                <w:rFonts w:ascii="Calibri" w:eastAsia="Times New Roman" w:hAnsi="Calibri" w:cs="Calibri"/>
                <w:color w:val="000000"/>
                <w:u w:val="single"/>
                <w:lang w:eastAsia="en-GB"/>
              </w:rPr>
              <w:t>Transport</w:t>
            </w:r>
          </w:p>
        </w:tc>
        <w:tc>
          <w:tcPr>
            <w:tcW w:w="1136" w:type="dxa"/>
            <w:noWrap/>
            <w:hideMark/>
          </w:tcPr>
          <w:p w14:paraId="534B52B3"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0BB0858E"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0E005AFA"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3918D48C" w14:textId="77777777" w:rsidTr="00B95CB7">
        <w:trPr>
          <w:trHeight w:val="300"/>
        </w:trPr>
        <w:tc>
          <w:tcPr>
            <w:tcW w:w="5669" w:type="dxa"/>
            <w:noWrap/>
            <w:hideMark/>
          </w:tcPr>
          <w:p w14:paraId="54E465AD"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Fleet</w:t>
            </w:r>
          </w:p>
        </w:tc>
        <w:tc>
          <w:tcPr>
            <w:tcW w:w="1136" w:type="dxa"/>
            <w:noWrap/>
            <w:hideMark/>
          </w:tcPr>
          <w:p w14:paraId="591D9043"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5E344230"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15DC2234"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79C5F7CC" w14:textId="77777777" w:rsidTr="00B95CB7">
        <w:trPr>
          <w:trHeight w:val="300"/>
        </w:trPr>
        <w:tc>
          <w:tcPr>
            <w:tcW w:w="5669" w:type="dxa"/>
            <w:noWrap/>
            <w:hideMark/>
          </w:tcPr>
          <w:p w14:paraId="089EC66B"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Fuel</w:t>
            </w:r>
          </w:p>
        </w:tc>
        <w:tc>
          <w:tcPr>
            <w:tcW w:w="1136" w:type="dxa"/>
            <w:noWrap/>
            <w:hideMark/>
          </w:tcPr>
          <w:p w14:paraId="4E2EBC41"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71F8EB18"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755FDD9E"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41BD6F77" w14:textId="77777777" w:rsidTr="00B95CB7">
        <w:trPr>
          <w:trHeight w:val="300"/>
        </w:trPr>
        <w:tc>
          <w:tcPr>
            <w:tcW w:w="5669" w:type="dxa"/>
            <w:noWrap/>
            <w:hideMark/>
          </w:tcPr>
          <w:p w14:paraId="3AC041A0"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Other Transport Costs</w:t>
            </w:r>
          </w:p>
        </w:tc>
        <w:tc>
          <w:tcPr>
            <w:tcW w:w="1136" w:type="dxa"/>
            <w:noWrap/>
            <w:hideMark/>
          </w:tcPr>
          <w:p w14:paraId="7CA25BFB"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7BAFA99C"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1D0AC893"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2757A397" w14:textId="77777777" w:rsidTr="00B95CB7">
        <w:trPr>
          <w:trHeight w:val="300"/>
        </w:trPr>
        <w:tc>
          <w:tcPr>
            <w:tcW w:w="5669" w:type="dxa"/>
            <w:noWrap/>
            <w:hideMark/>
          </w:tcPr>
          <w:p w14:paraId="1B6A0DB0" w14:textId="77777777" w:rsidR="00B95CB7" w:rsidRPr="00B95CB7" w:rsidRDefault="00B95CB7" w:rsidP="00B95CB7">
            <w:pPr>
              <w:rPr>
                <w:rFonts w:ascii="Calibri" w:eastAsia="Times New Roman" w:hAnsi="Calibri" w:cs="Calibri"/>
                <w:color w:val="000000"/>
                <w:u w:val="single"/>
                <w:lang w:eastAsia="en-GB"/>
              </w:rPr>
            </w:pPr>
            <w:r w:rsidRPr="00B95CB7">
              <w:rPr>
                <w:rFonts w:ascii="Calibri" w:eastAsia="Times New Roman" w:hAnsi="Calibri" w:cs="Calibri"/>
                <w:color w:val="000000"/>
                <w:u w:val="single"/>
                <w:lang w:eastAsia="en-GB"/>
              </w:rPr>
              <w:t>Supplies and Services</w:t>
            </w:r>
          </w:p>
        </w:tc>
        <w:tc>
          <w:tcPr>
            <w:tcW w:w="1136" w:type="dxa"/>
            <w:noWrap/>
            <w:hideMark/>
          </w:tcPr>
          <w:p w14:paraId="4E9BCA2A"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49A7940F"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3CE7E562"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5E79B506" w14:textId="77777777" w:rsidTr="00B95CB7">
        <w:trPr>
          <w:trHeight w:val="300"/>
        </w:trPr>
        <w:tc>
          <w:tcPr>
            <w:tcW w:w="5669" w:type="dxa"/>
            <w:noWrap/>
            <w:hideMark/>
          </w:tcPr>
          <w:p w14:paraId="682B9A2A"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National Procurement Savings</w:t>
            </w:r>
          </w:p>
        </w:tc>
        <w:tc>
          <w:tcPr>
            <w:tcW w:w="1136" w:type="dxa"/>
            <w:noWrap/>
            <w:hideMark/>
          </w:tcPr>
          <w:p w14:paraId="6BC633F1"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2DC399F7"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43F6647C"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0697BB78" w14:textId="77777777" w:rsidTr="00B95CB7">
        <w:trPr>
          <w:trHeight w:val="300"/>
        </w:trPr>
        <w:tc>
          <w:tcPr>
            <w:tcW w:w="5669" w:type="dxa"/>
            <w:noWrap/>
            <w:hideMark/>
          </w:tcPr>
          <w:p w14:paraId="7E22880F"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Local Procurement Savings</w:t>
            </w:r>
          </w:p>
        </w:tc>
        <w:tc>
          <w:tcPr>
            <w:tcW w:w="1136" w:type="dxa"/>
            <w:noWrap/>
            <w:hideMark/>
          </w:tcPr>
          <w:p w14:paraId="0DCAA256"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-300</w:t>
            </w:r>
          </w:p>
        </w:tc>
        <w:tc>
          <w:tcPr>
            <w:tcW w:w="1136" w:type="dxa"/>
            <w:noWrap/>
            <w:hideMark/>
          </w:tcPr>
          <w:p w14:paraId="31C26C86" w14:textId="77777777" w:rsidR="00B95CB7" w:rsidRPr="00B95CB7" w:rsidRDefault="00B95CB7" w:rsidP="00B95CB7">
            <w:pPr>
              <w:jc w:val="right"/>
              <w:rPr>
                <w:rFonts w:ascii="Calibri" w:eastAsia="Times New Roman" w:hAnsi="Calibri" w:cs="Calibri"/>
                <w:color w:val="000000"/>
                <w:lang w:eastAsia="en-GB"/>
              </w:rPr>
            </w:pPr>
          </w:p>
        </w:tc>
        <w:tc>
          <w:tcPr>
            <w:tcW w:w="1136" w:type="dxa"/>
            <w:noWrap/>
            <w:hideMark/>
          </w:tcPr>
          <w:p w14:paraId="0ACA1BC3"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583E60CE" w14:textId="77777777" w:rsidTr="00B95CB7">
        <w:trPr>
          <w:trHeight w:val="300"/>
        </w:trPr>
        <w:tc>
          <w:tcPr>
            <w:tcW w:w="5669" w:type="dxa"/>
            <w:noWrap/>
            <w:hideMark/>
          </w:tcPr>
          <w:p w14:paraId="05FFA3D8"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Other Technology Improvements</w:t>
            </w:r>
          </w:p>
        </w:tc>
        <w:tc>
          <w:tcPr>
            <w:tcW w:w="1136" w:type="dxa"/>
            <w:noWrap/>
            <w:hideMark/>
          </w:tcPr>
          <w:p w14:paraId="3B3D4041"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37D6CC97"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46738191"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61BB67B9" w14:textId="77777777" w:rsidTr="00B95CB7">
        <w:trPr>
          <w:trHeight w:val="300"/>
        </w:trPr>
        <w:tc>
          <w:tcPr>
            <w:tcW w:w="5669" w:type="dxa"/>
            <w:noWrap/>
            <w:hideMark/>
          </w:tcPr>
          <w:p w14:paraId="6C14A376"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Decreased Usage</w:t>
            </w:r>
          </w:p>
        </w:tc>
        <w:tc>
          <w:tcPr>
            <w:tcW w:w="1136" w:type="dxa"/>
            <w:noWrap/>
            <w:hideMark/>
          </w:tcPr>
          <w:p w14:paraId="6ECFE3E5"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-200</w:t>
            </w:r>
          </w:p>
        </w:tc>
        <w:tc>
          <w:tcPr>
            <w:tcW w:w="1136" w:type="dxa"/>
            <w:noWrap/>
            <w:hideMark/>
          </w:tcPr>
          <w:p w14:paraId="3866B61D" w14:textId="77777777" w:rsidR="00B95CB7" w:rsidRPr="00B95CB7" w:rsidRDefault="00B95CB7" w:rsidP="00B95CB7">
            <w:pPr>
              <w:jc w:val="right"/>
              <w:rPr>
                <w:rFonts w:ascii="Calibri" w:eastAsia="Times New Roman" w:hAnsi="Calibri" w:cs="Calibri"/>
                <w:color w:val="000000"/>
                <w:lang w:eastAsia="en-GB"/>
              </w:rPr>
            </w:pPr>
          </w:p>
        </w:tc>
        <w:tc>
          <w:tcPr>
            <w:tcW w:w="1136" w:type="dxa"/>
            <w:noWrap/>
            <w:hideMark/>
          </w:tcPr>
          <w:p w14:paraId="57653BFE"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01DC978F" w14:textId="77777777" w:rsidTr="00B95CB7">
        <w:trPr>
          <w:trHeight w:val="300"/>
        </w:trPr>
        <w:tc>
          <w:tcPr>
            <w:tcW w:w="5669" w:type="dxa"/>
            <w:noWrap/>
            <w:hideMark/>
          </w:tcPr>
          <w:p w14:paraId="6D8705FC" w14:textId="77777777" w:rsidR="00B95CB7" w:rsidRPr="00B95CB7" w:rsidRDefault="00B95CB7" w:rsidP="00B95CB7">
            <w:pPr>
              <w:rPr>
                <w:rFonts w:ascii="Calibri" w:eastAsia="Times New Roman" w:hAnsi="Calibri" w:cs="Calibri"/>
                <w:color w:val="000000"/>
                <w:u w:val="single"/>
                <w:lang w:eastAsia="en-GB"/>
              </w:rPr>
            </w:pPr>
            <w:r w:rsidRPr="00B95CB7">
              <w:rPr>
                <w:rFonts w:ascii="Calibri" w:eastAsia="Times New Roman" w:hAnsi="Calibri" w:cs="Calibri"/>
                <w:color w:val="000000"/>
                <w:u w:val="single"/>
                <w:lang w:eastAsia="en-GB"/>
              </w:rPr>
              <w:t>Capital Financing</w:t>
            </w:r>
          </w:p>
        </w:tc>
        <w:tc>
          <w:tcPr>
            <w:tcW w:w="1136" w:type="dxa"/>
            <w:noWrap/>
            <w:hideMark/>
          </w:tcPr>
          <w:p w14:paraId="6FFD9652"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6E7CB8B4"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41C6C767"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3C8968AE" w14:textId="77777777" w:rsidTr="00B95CB7">
        <w:trPr>
          <w:trHeight w:val="300"/>
        </w:trPr>
        <w:tc>
          <w:tcPr>
            <w:tcW w:w="5669" w:type="dxa"/>
            <w:noWrap/>
            <w:hideMark/>
          </w:tcPr>
          <w:p w14:paraId="06AEF3F6"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Revenue Expenditure Charged to Capital</w:t>
            </w:r>
          </w:p>
        </w:tc>
        <w:tc>
          <w:tcPr>
            <w:tcW w:w="1136" w:type="dxa"/>
            <w:noWrap/>
            <w:hideMark/>
          </w:tcPr>
          <w:p w14:paraId="00D1E1E4"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0ED390CF"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65670721"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-1,500</w:t>
            </w:r>
          </w:p>
        </w:tc>
      </w:tr>
      <w:tr w:rsidR="00B95CB7" w:rsidRPr="00B95CB7" w14:paraId="586D69AB" w14:textId="77777777" w:rsidTr="00B95CB7">
        <w:trPr>
          <w:trHeight w:val="300"/>
        </w:trPr>
        <w:tc>
          <w:tcPr>
            <w:tcW w:w="5669" w:type="dxa"/>
            <w:noWrap/>
            <w:hideMark/>
          </w:tcPr>
          <w:p w14:paraId="7E81ADDA"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Net Borrowing Costs</w:t>
            </w:r>
          </w:p>
        </w:tc>
        <w:tc>
          <w:tcPr>
            <w:tcW w:w="1136" w:type="dxa"/>
            <w:noWrap/>
            <w:hideMark/>
          </w:tcPr>
          <w:p w14:paraId="4FF791CF"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67A197BA"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3D469921"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7F3B8A1E" w14:textId="77777777" w:rsidTr="00B95CB7">
        <w:trPr>
          <w:trHeight w:val="300"/>
        </w:trPr>
        <w:tc>
          <w:tcPr>
            <w:tcW w:w="5669" w:type="dxa"/>
            <w:noWrap/>
            <w:hideMark/>
          </w:tcPr>
          <w:p w14:paraId="787BA76D" w14:textId="77777777" w:rsidR="00B95CB7" w:rsidRPr="00B95CB7" w:rsidRDefault="00B95CB7" w:rsidP="00B95CB7">
            <w:pPr>
              <w:rPr>
                <w:rFonts w:ascii="Calibri" w:eastAsia="Times New Roman" w:hAnsi="Calibri" w:cs="Calibri"/>
                <w:color w:val="000000"/>
                <w:u w:val="single"/>
                <w:lang w:eastAsia="en-GB"/>
              </w:rPr>
            </w:pPr>
            <w:r w:rsidRPr="00B95CB7">
              <w:rPr>
                <w:rFonts w:ascii="Calibri" w:eastAsia="Times New Roman" w:hAnsi="Calibri" w:cs="Calibri"/>
                <w:color w:val="000000"/>
                <w:u w:val="single"/>
                <w:lang w:eastAsia="en-GB"/>
              </w:rPr>
              <w:t>Other</w:t>
            </w:r>
          </w:p>
        </w:tc>
        <w:tc>
          <w:tcPr>
            <w:tcW w:w="1136" w:type="dxa"/>
            <w:noWrap/>
            <w:hideMark/>
          </w:tcPr>
          <w:p w14:paraId="3AD2E66D"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47DEB7BE"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c>
          <w:tcPr>
            <w:tcW w:w="1136" w:type="dxa"/>
            <w:noWrap/>
            <w:hideMark/>
          </w:tcPr>
          <w:p w14:paraId="463BCD30"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 </w:t>
            </w:r>
          </w:p>
        </w:tc>
      </w:tr>
      <w:tr w:rsidR="00B95CB7" w:rsidRPr="00B95CB7" w14:paraId="5B03F170" w14:textId="77777777" w:rsidTr="00B95CB7">
        <w:trPr>
          <w:trHeight w:val="300"/>
        </w:trPr>
        <w:tc>
          <w:tcPr>
            <w:tcW w:w="5669" w:type="dxa"/>
            <w:noWrap/>
            <w:hideMark/>
          </w:tcPr>
          <w:p w14:paraId="2A2E9F61"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Other Savings 1 (Please Specify)</w:t>
            </w:r>
          </w:p>
        </w:tc>
        <w:tc>
          <w:tcPr>
            <w:tcW w:w="1136" w:type="dxa"/>
            <w:noWrap/>
            <w:hideMark/>
          </w:tcPr>
          <w:p w14:paraId="59A51717"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2D73B8CE"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4B857C72"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47690F70" w14:textId="77777777" w:rsidTr="00B95CB7">
        <w:trPr>
          <w:trHeight w:val="300"/>
        </w:trPr>
        <w:tc>
          <w:tcPr>
            <w:tcW w:w="5669" w:type="dxa"/>
            <w:noWrap/>
            <w:hideMark/>
          </w:tcPr>
          <w:p w14:paraId="41522F3A"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Other Savings 2 (Please Specify)</w:t>
            </w:r>
          </w:p>
        </w:tc>
        <w:tc>
          <w:tcPr>
            <w:tcW w:w="1136" w:type="dxa"/>
            <w:noWrap/>
            <w:hideMark/>
          </w:tcPr>
          <w:p w14:paraId="08EAA03C"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2C11E14F"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44FD606D"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0F157FB2" w14:textId="77777777" w:rsidTr="00B95CB7">
        <w:trPr>
          <w:trHeight w:val="300"/>
        </w:trPr>
        <w:tc>
          <w:tcPr>
            <w:tcW w:w="5669" w:type="dxa"/>
            <w:noWrap/>
            <w:hideMark/>
          </w:tcPr>
          <w:p w14:paraId="24820D5D"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Other Savings 3 (Please Specify)</w:t>
            </w:r>
          </w:p>
        </w:tc>
        <w:tc>
          <w:tcPr>
            <w:tcW w:w="1136" w:type="dxa"/>
            <w:noWrap/>
            <w:hideMark/>
          </w:tcPr>
          <w:p w14:paraId="2C475BD0" w14:textId="77777777" w:rsidR="00B95CB7" w:rsidRPr="00B95CB7" w:rsidRDefault="00B95CB7" w:rsidP="00B95CB7">
            <w:pPr>
              <w:rPr>
                <w:rFonts w:ascii="Calibri" w:eastAsia="Times New Roman" w:hAnsi="Calibri" w:cs="Calibri"/>
                <w:color w:val="000000"/>
                <w:lang w:eastAsia="en-GB"/>
              </w:rPr>
            </w:pPr>
          </w:p>
        </w:tc>
        <w:tc>
          <w:tcPr>
            <w:tcW w:w="1136" w:type="dxa"/>
            <w:noWrap/>
            <w:hideMark/>
          </w:tcPr>
          <w:p w14:paraId="489A08CA" w14:textId="77777777" w:rsidR="00B95CB7" w:rsidRPr="00B95CB7" w:rsidRDefault="00B95CB7" w:rsidP="00B95CB7">
            <w:pPr>
              <w:rPr>
                <w:rFonts w:ascii="Times New Roman" w:eastAsia="Times New Roman" w:hAnsi="Times New Roman" w:cs="Times New Roman"/>
                <w:sz w:val="20"/>
                <w:szCs w:val="20"/>
                <w:lang w:eastAsia="en-GB"/>
              </w:rPr>
            </w:pPr>
          </w:p>
        </w:tc>
        <w:tc>
          <w:tcPr>
            <w:tcW w:w="1136" w:type="dxa"/>
            <w:noWrap/>
            <w:hideMark/>
          </w:tcPr>
          <w:p w14:paraId="584FF922" w14:textId="77777777" w:rsidR="00B95CB7" w:rsidRPr="00B95CB7" w:rsidRDefault="00B95CB7" w:rsidP="00B95CB7">
            <w:pPr>
              <w:rPr>
                <w:rFonts w:ascii="Times New Roman" w:eastAsia="Times New Roman" w:hAnsi="Times New Roman" w:cs="Times New Roman"/>
                <w:sz w:val="20"/>
                <w:szCs w:val="20"/>
                <w:lang w:eastAsia="en-GB"/>
              </w:rPr>
            </w:pPr>
          </w:p>
        </w:tc>
      </w:tr>
      <w:tr w:rsidR="00B95CB7" w:rsidRPr="00B95CB7" w14:paraId="1AE1EFC7" w14:textId="77777777" w:rsidTr="00B95CB7">
        <w:trPr>
          <w:trHeight w:val="300"/>
        </w:trPr>
        <w:tc>
          <w:tcPr>
            <w:tcW w:w="5669" w:type="dxa"/>
            <w:noWrap/>
            <w:hideMark/>
          </w:tcPr>
          <w:p w14:paraId="46D08A2F" w14:textId="77777777" w:rsidR="00B95CB7" w:rsidRPr="00B95CB7" w:rsidRDefault="00B95CB7" w:rsidP="00B95CB7">
            <w:pPr>
              <w:rPr>
                <w:rFonts w:ascii="Calibri" w:eastAsia="Times New Roman" w:hAnsi="Calibri" w:cs="Calibri"/>
                <w:b/>
                <w:bCs/>
                <w:color w:val="000000"/>
                <w:lang w:eastAsia="en-GB"/>
              </w:rPr>
            </w:pPr>
            <w:r w:rsidRPr="00B95CB7">
              <w:rPr>
                <w:rFonts w:ascii="Calibri" w:eastAsia="Times New Roman" w:hAnsi="Calibri" w:cs="Calibri"/>
                <w:b/>
                <w:bCs/>
                <w:color w:val="000000"/>
                <w:lang w:eastAsia="en-GB"/>
              </w:rPr>
              <w:t>Total Efficiency Savings</w:t>
            </w:r>
          </w:p>
        </w:tc>
        <w:tc>
          <w:tcPr>
            <w:tcW w:w="1136" w:type="dxa"/>
            <w:noWrap/>
            <w:hideMark/>
          </w:tcPr>
          <w:p w14:paraId="49520198" w14:textId="77777777" w:rsidR="00B95CB7" w:rsidRPr="00B95CB7" w:rsidRDefault="00B95CB7" w:rsidP="00B95CB7">
            <w:pPr>
              <w:jc w:val="right"/>
              <w:rPr>
                <w:rFonts w:ascii="Calibri" w:eastAsia="Times New Roman" w:hAnsi="Calibri" w:cs="Calibri"/>
                <w:b/>
                <w:bCs/>
                <w:color w:val="000000"/>
                <w:lang w:eastAsia="en-GB"/>
              </w:rPr>
            </w:pPr>
            <w:r w:rsidRPr="00B95CB7">
              <w:rPr>
                <w:rFonts w:ascii="Calibri" w:eastAsia="Times New Roman" w:hAnsi="Calibri" w:cs="Calibri"/>
                <w:b/>
                <w:bCs/>
                <w:color w:val="000000"/>
                <w:lang w:eastAsia="en-GB"/>
              </w:rPr>
              <w:t>-800</w:t>
            </w:r>
          </w:p>
        </w:tc>
        <w:tc>
          <w:tcPr>
            <w:tcW w:w="1136" w:type="dxa"/>
            <w:noWrap/>
            <w:hideMark/>
          </w:tcPr>
          <w:p w14:paraId="6A13F9DC" w14:textId="77777777" w:rsidR="00B95CB7" w:rsidRPr="00B95CB7" w:rsidRDefault="00B95CB7" w:rsidP="00B95CB7">
            <w:pPr>
              <w:jc w:val="right"/>
              <w:rPr>
                <w:rFonts w:ascii="Calibri" w:eastAsia="Times New Roman" w:hAnsi="Calibri" w:cs="Calibri"/>
                <w:b/>
                <w:bCs/>
                <w:color w:val="000000"/>
                <w:lang w:eastAsia="en-GB"/>
              </w:rPr>
            </w:pPr>
            <w:r w:rsidRPr="00B95CB7">
              <w:rPr>
                <w:rFonts w:ascii="Calibri" w:eastAsia="Times New Roman" w:hAnsi="Calibri" w:cs="Calibri"/>
                <w:b/>
                <w:bCs/>
                <w:color w:val="000000"/>
                <w:lang w:eastAsia="en-GB"/>
              </w:rPr>
              <w:t>-400</w:t>
            </w:r>
          </w:p>
        </w:tc>
        <w:tc>
          <w:tcPr>
            <w:tcW w:w="1136" w:type="dxa"/>
            <w:noWrap/>
            <w:hideMark/>
          </w:tcPr>
          <w:p w14:paraId="1B655E5E" w14:textId="77777777" w:rsidR="00B95CB7" w:rsidRPr="00B95CB7" w:rsidRDefault="00B95CB7" w:rsidP="00B95CB7">
            <w:pPr>
              <w:jc w:val="right"/>
              <w:rPr>
                <w:rFonts w:ascii="Calibri" w:eastAsia="Times New Roman" w:hAnsi="Calibri" w:cs="Calibri"/>
                <w:b/>
                <w:bCs/>
                <w:color w:val="000000"/>
                <w:lang w:eastAsia="en-GB"/>
              </w:rPr>
            </w:pPr>
            <w:r w:rsidRPr="00B95CB7">
              <w:rPr>
                <w:rFonts w:ascii="Calibri" w:eastAsia="Times New Roman" w:hAnsi="Calibri" w:cs="Calibri"/>
                <w:b/>
                <w:bCs/>
                <w:color w:val="000000"/>
                <w:lang w:eastAsia="en-GB"/>
              </w:rPr>
              <w:t>-1,500</w:t>
            </w:r>
          </w:p>
        </w:tc>
      </w:tr>
      <w:tr w:rsidR="00B95CB7" w:rsidRPr="00B95CB7" w14:paraId="3C0CD1F1" w14:textId="77777777" w:rsidTr="00B95CB7">
        <w:trPr>
          <w:trHeight w:val="300"/>
        </w:trPr>
        <w:tc>
          <w:tcPr>
            <w:tcW w:w="5669" w:type="dxa"/>
            <w:noWrap/>
            <w:hideMark/>
          </w:tcPr>
          <w:p w14:paraId="68B85E89"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Efficiency Savings as a Percentage of Non-Payroll Budgets</w:t>
            </w:r>
          </w:p>
        </w:tc>
        <w:tc>
          <w:tcPr>
            <w:tcW w:w="1136" w:type="dxa"/>
            <w:noWrap/>
            <w:hideMark/>
          </w:tcPr>
          <w:p w14:paraId="040FA549" w14:textId="77777777" w:rsidR="00B95CB7" w:rsidRPr="00B95CB7" w:rsidRDefault="00B95CB7" w:rsidP="00B95CB7">
            <w:pPr>
              <w:jc w:val="right"/>
              <w:rPr>
                <w:rFonts w:ascii="Calibri" w:eastAsia="Times New Roman" w:hAnsi="Calibri" w:cs="Calibri"/>
                <w:lang w:eastAsia="en-GB"/>
              </w:rPr>
            </w:pPr>
            <w:r w:rsidRPr="00B95CB7">
              <w:rPr>
                <w:rFonts w:ascii="Calibri" w:eastAsia="Times New Roman" w:hAnsi="Calibri" w:cs="Calibri"/>
                <w:lang w:eastAsia="en-GB"/>
              </w:rPr>
              <w:t>6.08%</w:t>
            </w:r>
          </w:p>
        </w:tc>
        <w:tc>
          <w:tcPr>
            <w:tcW w:w="1136" w:type="dxa"/>
            <w:noWrap/>
            <w:hideMark/>
          </w:tcPr>
          <w:p w14:paraId="67448A21" w14:textId="77777777" w:rsidR="00B95CB7" w:rsidRPr="00B95CB7" w:rsidRDefault="00B95CB7" w:rsidP="00B95CB7">
            <w:pPr>
              <w:jc w:val="right"/>
              <w:rPr>
                <w:rFonts w:ascii="Calibri" w:eastAsia="Times New Roman" w:hAnsi="Calibri" w:cs="Calibri"/>
                <w:lang w:eastAsia="en-GB"/>
              </w:rPr>
            </w:pPr>
            <w:r w:rsidRPr="00B95CB7">
              <w:rPr>
                <w:rFonts w:ascii="Calibri" w:eastAsia="Times New Roman" w:hAnsi="Calibri" w:cs="Calibri"/>
                <w:lang w:eastAsia="en-GB"/>
              </w:rPr>
              <w:t>2.82%</w:t>
            </w:r>
          </w:p>
        </w:tc>
        <w:tc>
          <w:tcPr>
            <w:tcW w:w="1136" w:type="dxa"/>
            <w:noWrap/>
            <w:hideMark/>
          </w:tcPr>
          <w:p w14:paraId="4B73FF0F" w14:textId="77777777" w:rsidR="00B95CB7" w:rsidRPr="00B95CB7" w:rsidRDefault="00B95CB7" w:rsidP="00B95CB7">
            <w:pPr>
              <w:jc w:val="right"/>
              <w:rPr>
                <w:rFonts w:ascii="Calibri" w:eastAsia="Times New Roman" w:hAnsi="Calibri" w:cs="Calibri"/>
                <w:lang w:eastAsia="en-GB"/>
              </w:rPr>
            </w:pPr>
            <w:r w:rsidRPr="00B95CB7">
              <w:rPr>
                <w:rFonts w:ascii="Calibri" w:eastAsia="Times New Roman" w:hAnsi="Calibri" w:cs="Calibri"/>
                <w:lang w:eastAsia="en-GB"/>
              </w:rPr>
              <w:t>7.98%</w:t>
            </w:r>
          </w:p>
        </w:tc>
      </w:tr>
      <w:tr w:rsidR="00B95CB7" w:rsidRPr="00B95CB7" w14:paraId="4F2A2579" w14:textId="77777777" w:rsidTr="00B95CB7">
        <w:trPr>
          <w:trHeight w:val="300"/>
        </w:trPr>
        <w:tc>
          <w:tcPr>
            <w:tcW w:w="5669" w:type="dxa"/>
            <w:noWrap/>
            <w:hideMark/>
          </w:tcPr>
          <w:p w14:paraId="52DEEF2E" w14:textId="77777777" w:rsidR="00B95CB7" w:rsidRPr="00B95CB7" w:rsidRDefault="00B95CB7" w:rsidP="00B95CB7">
            <w:pPr>
              <w:rPr>
                <w:rFonts w:ascii="Calibri" w:eastAsia="Times New Roman" w:hAnsi="Calibri" w:cs="Calibri"/>
                <w:color w:val="808080"/>
                <w:lang w:eastAsia="en-GB"/>
              </w:rPr>
            </w:pPr>
            <w:r w:rsidRPr="00B95CB7">
              <w:rPr>
                <w:rFonts w:ascii="Calibri" w:eastAsia="Times New Roman" w:hAnsi="Calibri" w:cs="Calibri"/>
                <w:color w:val="808080"/>
                <w:lang w:eastAsia="en-GB"/>
              </w:rPr>
              <w:t>Efficiency Savings Target</w:t>
            </w:r>
          </w:p>
        </w:tc>
        <w:tc>
          <w:tcPr>
            <w:tcW w:w="1136" w:type="dxa"/>
            <w:noWrap/>
            <w:hideMark/>
          </w:tcPr>
          <w:p w14:paraId="4D8A8F60" w14:textId="77777777" w:rsidR="00B95CB7" w:rsidRPr="00B95CB7" w:rsidRDefault="00B95CB7" w:rsidP="00B95CB7">
            <w:pPr>
              <w:jc w:val="right"/>
              <w:rPr>
                <w:rFonts w:ascii="Calibri" w:eastAsia="Times New Roman" w:hAnsi="Calibri" w:cs="Calibri"/>
                <w:color w:val="808080"/>
                <w:lang w:eastAsia="en-GB"/>
              </w:rPr>
            </w:pPr>
            <w:r w:rsidRPr="00B95CB7">
              <w:rPr>
                <w:rFonts w:ascii="Calibri" w:eastAsia="Times New Roman" w:hAnsi="Calibri" w:cs="Calibri"/>
                <w:color w:val="808080"/>
                <w:lang w:eastAsia="en-GB"/>
              </w:rPr>
              <w:t>2.00%</w:t>
            </w:r>
          </w:p>
        </w:tc>
        <w:tc>
          <w:tcPr>
            <w:tcW w:w="1136" w:type="dxa"/>
            <w:noWrap/>
            <w:hideMark/>
          </w:tcPr>
          <w:p w14:paraId="57AB43A5" w14:textId="77777777" w:rsidR="00B95CB7" w:rsidRPr="00B95CB7" w:rsidRDefault="00B95CB7" w:rsidP="00B95CB7">
            <w:pPr>
              <w:jc w:val="right"/>
              <w:rPr>
                <w:rFonts w:ascii="Calibri" w:eastAsia="Times New Roman" w:hAnsi="Calibri" w:cs="Calibri"/>
                <w:color w:val="808080"/>
                <w:lang w:eastAsia="en-GB"/>
              </w:rPr>
            </w:pPr>
            <w:r w:rsidRPr="00B95CB7">
              <w:rPr>
                <w:rFonts w:ascii="Calibri" w:eastAsia="Times New Roman" w:hAnsi="Calibri" w:cs="Calibri"/>
                <w:color w:val="808080"/>
                <w:lang w:eastAsia="en-GB"/>
              </w:rPr>
              <w:t>2.00%</w:t>
            </w:r>
          </w:p>
        </w:tc>
        <w:tc>
          <w:tcPr>
            <w:tcW w:w="1136" w:type="dxa"/>
            <w:noWrap/>
            <w:hideMark/>
          </w:tcPr>
          <w:p w14:paraId="604EEEC0" w14:textId="77777777" w:rsidR="00B95CB7" w:rsidRPr="00B95CB7" w:rsidRDefault="00B95CB7" w:rsidP="00B95CB7">
            <w:pPr>
              <w:jc w:val="right"/>
              <w:rPr>
                <w:rFonts w:ascii="Calibri" w:eastAsia="Times New Roman" w:hAnsi="Calibri" w:cs="Calibri"/>
                <w:color w:val="808080"/>
                <w:lang w:eastAsia="en-GB"/>
              </w:rPr>
            </w:pPr>
            <w:r w:rsidRPr="00B95CB7">
              <w:rPr>
                <w:rFonts w:ascii="Calibri" w:eastAsia="Times New Roman" w:hAnsi="Calibri" w:cs="Calibri"/>
                <w:color w:val="808080"/>
                <w:lang w:eastAsia="en-GB"/>
              </w:rPr>
              <w:t>2.00%</w:t>
            </w:r>
          </w:p>
        </w:tc>
      </w:tr>
      <w:tr w:rsidR="00B95CB7" w:rsidRPr="00B95CB7" w14:paraId="077E3DF8" w14:textId="77777777" w:rsidTr="00B95CB7">
        <w:trPr>
          <w:trHeight w:val="300"/>
        </w:trPr>
        <w:tc>
          <w:tcPr>
            <w:tcW w:w="5669" w:type="dxa"/>
            <w:noWrap/>
            <w:hideMark/>
          </w:tcPr>
          <w:p w14:paraId="1EEC781D" w14:textId="77777777" w:rsidR="00B95CB7" w:rsidRPr="00B95CB7" w:rsidRDefault="00B95CB7" w:rsidP="00B95CB7">
            <w:pPr>
              <w:rPr>
                <w:rFonts w:ascii="Calibri" w:eastAsia="Times New Roman" w:hAnsi="Calibri" w:cs="Calibri"/>
                <w:color w:val="000000"/>
                <w:lang w:eastAsia="en-GB"/>
              </w:rPr>
            </w:pPr>
            <w:r w:rsidRPr="00B95CB7">
              <w:rPr>
                <w:rFonts w:ascii="Calibri" w:eastAsia="Times New Roman" w:hAnsi="Calibri" w:cs="Calibri"/>
                <w:color w:val="000000"/>
                <w:lang w:eastAsia="en-GB"/>
              </w:rPr>
              <w:t>Over/(Under)</w:t>
            </w:r>
          </w:p>
        </w:tc>
        <w:tc>
          <w:tcPr>
            <w:tcW w:w="1136" w:type="dxa"/>
            <w:noWrap/>
            <w:hideMark/>
          </w:tcPr>
          <w:p w14:paraId="70C8AC40"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4.08%</w:t>
            </w:r>
          </w:p>
        </w:tc>
        <w:tc>
          <w:tcPr>
            <w:tcW w:w="1136" w:type="dxa"/>
            <w:noWrap/>
            <w:hideMark/>
          </w:tcPr>
          <w:p w14:paraId="5D850A89"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0.82%</w:t>
            </w:r>
          </w:p>
        </w:tc>
        <w:tc>
          <w:tcPr>
            <w:tcW w:w="1136" w:type="dxa"/>
            <w:noWrap/>
            <w:hideMark/>
          </w:tcPr>
          <w:p w14:paraId="53F20A34" w14:textId="77777777" w:rsidR="00B95CB7" w:rsidRPr="00B95CB7" w:rsidRDefault="00B95CB7" w:rsidP="00B95CB7">
            <w:pPr>
              <w:jc w:val="right"/>
              <w:rPr>
                <w:rFonts w:ascii="Calibri" w:eastAsia="Times New Roman" w:hAnsi="Calibri" w:cs="Calibri"/>
                <w:color w:val="000000"/>
                <w:lang w:eastAsia="en-GB"/>
              </w:rPr>
            </w:pPr>
            <w:r w:rsidRPr="00B95CB7">
              <w:rPr>
                <w:rFonts w:ascii="Calibri" w:eastAsia="Times New Roman" w:hAnsi="Calibri" w:cs="Calibri"/>
                <w:color w:val="000000"/>
                <w:lang w:eastAsia="en-GB"/>
              </w:rPr>
              <w:t>5.98%</w:t>
            </w:r>
          </w:p>
        </w:tc>
      </w:tr>
    </w:tbl>
    <w:p w14:paraId="25BA1212" w14:textId="109C5D1A" w:rsidR="00191C3F" w:rsidRDefault="00191C3F">
      <w:pPr>
        <w:rPr>
          <w:rFonts w:ascii="Arial" w:eastAsia="Times New Roman" w:hAnsi="Arial" w:cs="Arial"/>
          <w:sz w:val="24"/>
          <w:szCs w:val="24"/>
          <w:lang w:eastAsia="en-GB"/>
        </w:rPr>
      </w:pPr>
      <w:r>
        <w:rPr>
          <w:rFonts w:ascii="Arial" w:hAnsi="Arial" w:cs="Arial"/>
        </w:rPr>
        <w:br w:type="page"/>
      </w:r>
    </w:p>
    <w:p w14:paraId="59AC6A76" w14:textId="2795F401" w:rsidR="004C3CD0" w:rsidRPr="002236CE" w:rsidRDefault="00191C3F" w:rsidP="002236CE">
      <w:pPr>
        <w:pStyle w:val="Heading1"/>
        <w:jc w:val="right"/>
        <w:rPr>
          <w:rStyle w:val="normaltextrun"/>
          <w:b/>
          <w:bCs/>
        </w:rPr>
      </w:pPr>
      <w:r w:rsidRPr="002236CE">
        <w:rPr>
          <w:rStyle w:val="normaltextrun"/>
          <w:b/>
          <w:bCs/>
        </w:rPr>
        <w:lastRenderedPageBreak/>
        <w:t>Annex A Continued</w:t>
      </w:r>
    </w:p>
    <w:p w14:paraId="3B353BEC" w14:textId="77777777" w:rsidR="00191C3F" w:rsidRDefault="00191C3F" w:rsidP="00C80BC4">
      <w:pPr>
        <w:pStyle w:val="paragraph"/>
        <w:spacing w:before="0" w:beforeAutospacing="0" w:after="0" w:afterAutospacing="0"/>
        <w:textAlignment w:val="baseline"/>
        <w:rPr>
          <w:rFonts w:ascii="Arial" w:hAnsi="Arial" w:cs="Arial"/>
        </w:rPr>
      </w:pPr>
    </w:p>
    <w:p w14:paraId="1F8096B5" w14:textId="29A6814B" w:rsidR="00191C3F" w:rsidRPr="00434979" w:rsidRDefault="001650F7" w:rsidP="00C80BC4">
      <w:pPr>
        <w:pStyle w:val="paragraph"/>
        <w:spacing w:before="0" w:beforeAutospacing="0" w:after="0" w:afterAutospacing="0"/>
        <w:textAlignment w:val="baseline"/>
        <w:rPr>
          <w:rFonts w:ascii="Arial" w:hAnsi="Arial" w:cs="Arial"/>
        </w:rPr>
      </w:pPr>
      <w:r>
        <w:rPr>
          <w:noProof/>
        </w:rPr>
        <w:drawing>
          <wp:inline distT="0" distB="0" distL="0" distR="0" wp14:anchorId="73BAF3B5" wp14:editId="6624624F">
            <wp:extent cx="4025833" cy="3059294"/>
            <wp:effectExtent l="0" t="0" r="13335" b="8255"/>
            <wp:docPr id="182664847" name="Chart 1" descr="Graph showing percentage of efficiency savings in 2022/23 of 6%, 2023/24 of 2.8%, 2024/25 of 8% and average of 5.6%compared to the target of 2%.">
              <a:extLst xmlns:a="http://schemas.openxmlformats.org/drawingml/2006/main">
                <a:ext uri="{FF2B5EF4-FFF2-40B4-BE49-F238E27FC236}">
                  <a16:creationId xmlns:a16="http://schemas.microsoft.com/office/drawing/2014/main" id="{B1C91ABD-F98B-4266-9F78-0BF2886C8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191C3F" w:rsidRPr="004349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11B6" w14:textId="77777777" w:rsidR="00FD1AE1" w:rsidRDefault="00FD1AE1" w:rsidP="00254C79">
      <w:pPr>
        <w:spacing w:after="0" w:line="240" w:lineRule="auto"/>
      </w:pPr>
      <w:r>
        <w:separator/>
      </w:r>
    </w:p>
  </w:endnote>
  <w:endnote w:type="continuationSeparator" w:id="0">
    <w:p w14:paraId="32730EF3" w14:textId="77777777" w:rsidR="00FD1AE1" w:rsidRDefault="00FD1AE1" w:rsidP="0025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F1CF" w14:textId="77777777" w:rsidR="00FD1AE1" w:rsidRDefault="00FD1AE1" w:rsidP="00254C79">
      <w:pPr>
        <w:spacing w:after="0" w:line="240" w:lineRule="auto"/>
      </w:pPr>
      <w:r>
        <w:separator/>
      </w:r>
    </w:p>
  </w:footnote>
  <w:footnote w:type="continuationSeparator" w:id="0">
    <w:p w14:paraId="347E7268" w14:textId="77777777" w:rsidR="00FD1AE1" w:rsidRDefault="00FD1AE1" w:rsidP="00254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0801"/>
    <w:multiLevelType w:val="hybridMultilevel"/>
    <w:tmpl w:val="77AC7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1257C4"/>
    <w:multiLevelType w:val="hybridMultilevel"/>
    <w:tmpl w:val="669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F5F81"/>
    <w:multiLevelType w:val="hybridMultilevel"/>
    <w:tmpl w:val="4886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B4E65"/>
    <w:multiLevelType w:val="hybridMultilevel"/>
    <w:tmpl w:val="2E3E528E"/>
    <w:lvl w:ilvl="0" w:tplc="CE96EF9E">
      <w:start w:val="1"/>
      <w:numFmt w:val="decimal"/>
      <w:lvlText w:val="%1."/>
      <w:lvlJc w:val="left"/>
      <w:pPr>
        <w:ind w:left="360" w:hanging="360"/>
      </w:pPr>
      <w:rPr>
        <w:rFonts w:eastAsiaTheme="minorHAnsi" w:hint="default"/>
        <w:color w:val="0D0D0D" w:themeColor="text1" w:themeTint="F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DB1935"/>
    <w:multiLevelType w:val="multilevel"/>
    <w:tmpl w:val="F3A6B266"/>
    <w:lvl w:ilvl="0">
      <w:start w:val="1"/>
      <w:numFmt w:val="lowerLetter"/>
      <w:lvlText w:val="%1."/>
      <w:lvlJc w:val="left"/>
      <w:pPr>
        <w:tabs>
          <w:tab w:val="num" w:pos="720"/>
        </w:tabs>
        <w:ind w:left="720" w:hanging="360"/>
      </w:pPr>
      <w:rPr>
        <w:rFonts w:ascii="Arial" w:eastAsia="Times New Roman" w:hAnsi="Arial" w:cs="Arial"/>
        <w:b/>
        <w:bCs/>
      </w:rPr>
    </w:lvl>
    <w:lvl w:ilvl="1">
      <w:start w:val="1"/>
      <w:numFmt w:val="lowerLetter"/>
      <w:lvlText w:val="%2)"/>
      <w:lvlJc w:val="left"/>
      <w:pPr>
        <w:ind w:left="1440" w:hanging="360"/>
      </w:pPr>
      <w:rPr>
        <w:rFonts w:ascii="Arial" w:hAnsi="Arial" w:cs="Arial" w:hint="default"/>
        <w:b/>
        <w:sz w:val="24"/>
        <w:szCs w:val="24"/>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F1B79"/>
    <w:multiLevelType w:val="hybridMultilevel"/>
    <w:tmpl w:val="8D406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C08A7"/>
    <w:multiLevelType w:val="hybridMultilevel"/>
    <w:tmpl w:val="54A01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EC51E1"/>
    <w:multiLevelType w:val="hybridMultilevel"/>
    <w:tmpl w:val="D3E6AA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260E70"/>
    <w:multiLevelType w:val="hybridMultilevel"/>
    <w:tmpl w:val="C7EEA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2E3"/>
    <w:multiLevelType w:val="hybridMultilevel"/>
    <w:tmpl w:val="30209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27CD9"/>
    <w:multiLevelType w:val="hybridMultilevel"/>
    <w:tmpl w:val="03644F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1" w15:restartNumberingAfterBreak="0">
    <w:nsid w:val="38DA41E0"/>
    <w:multiLevelType w:val="hybridMultilevel"/>
    <w:tmpl w:val="C1B6D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E2301"/>
    <w:multiLevelType w:val="hybridMultilevel"/>
    <w:tmpl w:val="1B18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7D59"/>
    <w:multiLevelType w:val="hybridMultilevel"/>
    <w:tmpl w:val="04EE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A56CE"/>
    <w:multiLevelType w:val="hybridMultilevel"/>
    <w:tmpl w:val="EE840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C45FB"/>
    <w:multiLevelType w:val="hybridMultilevel"/>
    <w:tmpl w:val="2E2A8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4567D"/>
    <w:multiLevelType w:val="hybridMultilevel"/>
    <w:tmpl w:val="96E0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214A5"/>
    <w:multiLevelType w:val="hybridMultilevel"/>
    <w:tmpl w:val="8354A83A"/>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4AE5488"/>
    <w:multiLevelType w:val="hybridMultilevel"/>
    <w:tmpl w:val="A080E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22ECD"/>
    <w:multiLevelType w:val="hybridMultilevel"/>
    <w:tmpl w:val="704C8560"/>
    <w:lvl w:ilvl="0" w:tplc="2C984AD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B04773"/>
    <w:multiLevelType w:val="hybridMultilevel"/>
    <w:tmpl w:val="76B0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B1347E"/>
    <w:multiLevelType w:val="hybridMultilevel"/>
    <w:tmpl w:val="7ED8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F5BF3"/>
    <w:multiLevelType w:val="hybridMultilevel"/>
    <w:tmpl w:val="79AAE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AA66B2"/>
    <w:multiLevelType w:val="hybridMultilevel"/>
    <w:tmpl w:val="174AD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323032"/>
    <w:multiLevelType w:val="hybridMultilevel"/>
    <w:tmpl w:val="D06C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501666">
    <w:abstractNumId w:val="18"/>
  </w:num>
  <w:num w:numId="2" w16cid:durableId="1293100186">
    <w:abstractNumId w:val="15"/>
  </w:num>
  <w:num w:numId="3" w16cid:durableId="1657104097">
    <w:abstractNumId w:val="3"/>
  </w:num>
  <w:num w:numId="4" w16cid:durableId="442000425">
    <w:abstractNumId w:val="4"/>
  </w:num>
  <w:num w:numId="5" w16cid:durableId="921447552">
    <w:abstractNumId w:val="1"/>
  </w:num>
  <w:num w:numId="6" w16cid:durableId="1616522110">
    <w:abstractNumId w:val="20"/>
  </w:num>
  <w:num w:numId="7" w16cid:durableId="856696533">
    <w:abstractNumId w:val="10"/>
  </w:num>
  <w:num w:numId="8" w16cid:durableId="1672833727">
    <w:abstractNumId w:val="5"/>
  </w:num>
  <w:num w:numId="9" w16cid:durableId="2016759325">
    <w:abstractNumId w:val="7"/>
  </w:num>
  <w:num w:numId="10" w16cid:durableId="2108888365">
    <w:abstractNumId w:val="9"/>
  </w:num>
  <w:num w:numId="11" w16cid:durableId="270288884">
    <w:abstractNumId w:val="8"/>
  </w:num>
  <w:num w:numId="12" w16cid:durableId="118913084">
    <w:abstractNumId w:val="0"/>
  </w:num>
  <w:num w:numId="13" w16cid:durableId="621352062">
    <w:abstractNumId w:val="0"/>
  </w:num>
  <w:num w:numId="14" w16cid:durableId="931277989">
    <w:abstractNumId w:val="21"/>
  </w:num>
  <w:num w:numId="15" w16cid:durableId="2084645968">
    <w:abstractNumId w:val="6"/>
  </w:num>
  <w:num w:numId="16" w16cid:durableId="2110463710">
    <w:abstractNumId w:val="22"/>
  </w:num>
  <w:num w:numId="17" w16cid:durableId="270666221">
    <w:abstractNumId w:val="24"/>
  </w:num>
  <w:num w:numId="18" w16cid:durableId="1404260273">
    <w:abstractNumId w:val="23"/>
  </w:num>
  <w:num w:numId="19" w16cid:durableId="144904531">
    <w:abstractNumId w:val="16"/>
  </w:num>
  <w:num w:numId="20" w16cid:durableId="869608982">
    <w:abstractNumId w:val="17"/>
  </w:num>
  <w:num w:numId="21" w16cid:durableId="255945759">
    <w:abstractNumId w:val="19"/>
  </w:num>
  <w:num w:numId="22" w16cid:durableId="603997764">
    <w:abstractNumId w:val="13"/>
  </w:num>
  <w:num w:numId="23" w16cid:durableId="143131418">
    <w:abstractNumId w:val="11"/>
  </w:num>
  <w:num w:numId="24" w16cid:durableId="1392264170">
    <w:abstractNumId w:val="12"/>
  </w:num>
  <w:num w:numId="25" w16cid:durableId="1470130683">
    <w:abstractNumId w:val="2"/>
  </w:num>
  <w:num w:numId="26" w16cid:durableId="383330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A"/>
    <w:rsid w:val="00001C08"/>
    <w:rsid w:val="0000237A"/>
    <w:rsid w:val="000036A6"/>
    <w:rsid w:val="000071C6"/>
    <w:rsid w:val="00025D24"/>
    <w:rsid w:val="00067C35"/>
    <w:rsid w:val="00090B35"/>
    <w:rsid w:val="000B4979"/>
    <w:rsid w:val="000B7285"/>
    <w:rsid w:val="000D0FBC"/>
    <w:rsid w:val="000D62AE"/>
    <w:rsid w:val="000E6B37"/>
    <w:rsid w:val="001248DE"/>
    <w:rsid w:val="00155DAD"/>
    <w:rsid w:val="00162AC7"/>
    <w:rsid w:val="001650F7"/>
    <w:rsid w:val="00171764"/>
    <w:rsid w:val="001729EE"/>
    <w:rsid w:val="001762E0"/>
    <w:rsid w:val="0018574F"/>
    <w:rsid w:val="00186AC0"/>
    <w:rsid w:val="00191C3F"/>
    <w:rsid w:val="00191D69"/>
    <w:rsid w:val="001C2FE3"/>
    <w:rsid w:val="001C6C73"/>
    <w:rsid w:val="001F1811"/>
    <w:rsid w:val="001F7C51"/>
    <w:rsid w:val="002037D5"/>
    <w:rsid w:val="002236CE"/>
    <w:rsid w:val="0023320E"/>
    <w:rsid w:val="0025492B"/>
    <w:rsid w:val="00254C79"/>
    <w:rsid w:val="002761AE"/>
    <w:rsid w:val="00284F69"/>
    <w:rsid w:val="00287B59"/>
    <w:rsid w:val="002F29AC"/>
    <w:rsid w:val="003132F2"/>
    <w:rsid w:val="00335BB3"/>
    <w:rsid w:val="00373D25"/>
    <w:rsid w:val="00385261"/>
    <w:rsid w:val="00390622"/>
    <w:rsid w:val="003A51F7"/>
    <w:rsid w:val="003B25B0"/>
    <w:rsid w:val="003C5450"/>
    <w:rsid w:val="003C54F9"/>
    <w:rsid w:val="003D42F1"/>
    <w:rsid w:val="00404E88"/>
    <w:rsid w:val="00434979"/>
    <w:rsid w:val="00480CB6"/>
    <w:rsid w:val="004811DD"/>
    <w:rsid w:val="00486CD6"/>
    <w:rsid w:val="00486D16"/>
    <w:rsid w:val="004B2262"/>
    <w:rsid w:val="004B24C1"/>
    <w:rsid w:val="004C3775"/>
    <w:rsid w:val="004C3CD0"/>
    <w:rsid w:val="004C5EC8"/>
    <w:rsid w:val="004E52EF"/>
    <w:rsid w:val="004FC6D9"/>
    <w:rsid w:val="005305C5"/>
    <w:rsid w:val="005326E0"/>
    <w:rsid w:val="005427FF"/>
    <w:rsid w:val="005453FB"/>
    <w:rsid w:val="005473DA"/>
    <w:rsid w:val="005526FE"/>
    <w:rsid w:val="005540EF"/>
    <w:rsid w:val="00571D52"/>
    <w:rsid w:val="00574DCE"/>
    <w:rsid w:val="0059142F"/>
    <w:rsid w:val="005927AC"/>
    <w:rsid w:val="005A0E5B"/>
    <w:rsid w:val="005A7FBF"/>
    <w:rsid w:val="005C7326"/>
    <w:rsid w:val="0060274A"/>
    <w:rsid w:val="00606B09"/>
    <w:rsid w:val="0061357F"/>
    <w:rsid w:val="00641E15"/>
    <w:rsid w:val="0064280C"/>
    <w:rsid w:val="00653BE6"/>
    <w:rsid w:val="00657ADD"/>
    <w:rsid w:val="00674DF0"/>
    <w:rsid w:val="006754AD"/>
    <w:rsid w:val="00675DE3"/>
    <w:rsid w:val="006766DD"/>
    <w:rsid w:val="006840AA"/>
    <w:rsid w:val="006874FD"/>
    <w:rsid w:val="00687F47"/>
    <w:rsid w:val="00690BF4"/>
    <w:rsid w:val="00695AD2"/>
    <w:rsid w:val="006F5786"/>
    <w:rsid w:val="006F7B40"/>
    <w:rsid w:val="00704855"/>
    <w:rsid w:val="00706457"/>
    <w:rsid w:val="007710B4"/>
    <w:rsid w:val="007756C5"/>
    <w:rsid w:val="00780F6B"/>
    <w:rsid w:val="0079380F"/>
    <w:rsid w:val="007F1752"/>
    <w:rsid w:val="007F3A90"/>
    <w:rsid w:val="007F712A"/>
    <w:rsid w:val="00812246"/>
    <w:rsid w:val="00813B2E"/>
    <w:rsid w:val="00831FBF"/>
    <w:rsid w:val="0083287D"/>
    <w:rsid w:val="00837755"/>
    <w:rsid w:val="00846692"/>
    <w:rsid w:val="00846BFF"/>
    <w:rsid w:val="00891409"/>
    <w:rsid w:val="0089367D"/>
    <w:rsid w:val="00895CCD"/>
    <w:rsid w:val="00896DDC"/>
    <w:rsid w:val="008A5E82"/>
    <w:rsid w:val="008C56B3"/>
    <w:rsid w:val="008E06E0"/>
    <w:rsid w:val="008F526E"/>
    <w:rsid w:val="009127DC"/>
    <w:rsid w:val="00912B37"/>
    <w:rsid w:val="00925463"/>
    <w:rsid w:val="00944476"/>
    <w:rsid w:val="00955034"/>
    <w:rsid w:val="009619AF"/>
    <w:rsid w:val="009714E5"/>
    <w:rsid w:val="0097504F"/>
    <w:rsid w:val="009B12AB"/>
    <w:rsid w:val="009C4FF0"/>
    <w:rsid w:val="009E16DA"/>
    <w:rsid w:val="009E3BE9"/>
    <w:rsid w:val="009E4061"/>
    <w:rsid w:val="00A065B6"/>
    <w:rsid w:val="00A06B26"/>
    <w:rsid w:val="00A200D9"/>
    <w:rsid w:val="00A264A5"/>
    <w:rsid w:val="00A60022"/>
    <w:rsid w:val="00A61CAE"/>
    <w:rsid w:val="00A9639E"/>
    <w:rsid w:val="00AB1FD6"/>
    <w:rsid w:val="00AC13D0"/>
    <w:rsid w:val="00AC7F6C"/>
    <w:rsid w:val="00AD0CE0"/>
    <w:rsid w:val="00AD4928"/>
    <w:rsid w:val="00AE13F9"/>
    <w:rsid w:val="00AE3EA4"/>
    <w:rsid w:val="00AF10CD"/>
    <w:rsid w:val="00AF4D0D"/>
    <w:rsid w:val="00B03095"/>
    <w:rsid w:val="00B35E98"/>
    <w:rsid w:val="00B4235F"/>
    <w:rsid w:val="00B62251"/>
    <w:rsid w:val="00B6439B"/>
    <w:rsid w:val="00B7413F"/>
    <w:rsid w:val="00B85DBE"/>
    <w:rsid w:val="00B95CB7"/>
    <w:rsid w:val="00BB15E1"/>
    <w:rsid w:val="00BB53CA"/>
    <w:rsid w:val="00BE23C7"/>
    <w:rsid w:val="00BF1459"/>
    <w:rsid w:val="00BF4888"/>
    <w:rsid w:val="00C01004"/>
    <w:rsid w:val="00C05E6B"/>
    <w:rsid w:val="00C34443"/>
    <w:rsid w:val="00C478BD"/>
    <w:rsid w:val="00C6144D"/>
    <w:rsid w:val="00C70C31"/>
    <w:rsid w:val="00C80BC4"/>
    <w:rsid w:val="00C90F23"/>
    <w:rsid w:val="00C92983"/>
    <w:rsid w:val="00CA79D7"/>
    <w:rsid w:val="00CC1963"/>
    <w:rsid w:val="00CC5565"/>
    <w:rsid w:val="00CE4C15"/>
    <w:rsid w:val="00D246E7"/>
    <w:rsid w:val="00D318D0"/>
    <w:rsid w:val="00D54D44"/>
    <w:rsid w:val="00D566FF"/>
    <w:rsid w:val="00D73B9D"/>
    <w:rsid w:val="00D8407B"/>
    <w:rsid w:val="00D942E9"/>
    <w:rsid w:val="00DA0AAE"/>
    <w:rsid w:val="00DC738F"/>
    <w:rsid w:val="00DD0474"/>
    <w:rsid w:val="00DE7F32"/>
    <w:rsid w:val="00DF63E9"/>
    <w:rsid w:val="00E11EC3"/>
    <w:rsid w:val="00E134FF"/>
    <w:rsid w:val="00E14E4A"/>
    <w:rsid w:val="00E20905"/>
    <w:rsid w:val="00E33CFC"/>
    <w:rsid w:val="00E56631"/>
    <w:rsid w:val="00E84A99"/>
    <w:rsid w:val="00E97E9E"/>
    <w:rsid w:val="00EA2819"/>
    <w:rsid w:val="00EB6FEF"/>
    <w:rsid w:val="00ED0309"/>
    <w:rsid w:val="00F1103A"/>
    <w:rsid w:val="00F24B52"/>
    <w:rsid w:val="00F252EA"/>
    <w:rsid w:val="00F37468"/>
    <w:rsid w:val="00F40C99"/>
    <w:rsid w:val="00F76379"/>
    <w:rsid w:val="00F82597"/>
    <w:rsid w:val="00FA16E0"/>
    <w:rsid w:val="00FD14B2"/>
    <w:rsid w:val="00FD1AE1"/>
    <w:rsid w:val="0177569A"/>
    <w:rsid w:val="02A3D5B1"/>
    <w:rsid w:val="02A64873"/>
    <w:rsid w:val="037BF57E"/>
    <w:rsid w:val="0622324C"/>
    <w:rsid w:val="06786954"/>
    <w:rsid w:val="068B7167"/>
    <w:rsid w:val="07E6981E"/>
    <w:rsid w:val="0C6E7C29"/>
    <w:rsid w:val="0C95D604"/>
    <w:rsid w:val="1016CB9A"/>
    <w:rsid w:val="10FC7ED2"/>
    <w:rsid w:val="11501ECA"/>
    <w:rsid w:val="12813D57"/>
    <w:rsid w:val="12AF676B"/>
    <w:rsid w:val="139D1D53"/>
    <w:rsid w:val="144B37CC"/>
    <w:rsid w:val="15975B97"/>
    <w:rsid w:val="160BB382"/>
    <w:rsid w:val="17C74DD4"/>
    <w:rsid w:val="1842C751"/>
    <w:rsid w:val="18B53053"/>
    <w:rsid w:val="1A88D6D8"/>
    <w:rsid w:val="1C24A739"/>
    <w:rsid w:val="1C9ABEF7"/>
    <w:rsid w:val="1DA0860F"/>
    <w:rsid w:val="1E499B2F"/>
    <w:rsid w:val="1EDB90A4"/>
    <w:rsid w:val="1F1E0D33"/>
    <w:rsid w:val="205D1437"/>
    <w:rsid w:val="21B1F819"/>
    <w:rsid w:val="2308F32F"/>
    <w:rsid w:val="241D648B"/>
    <w:rsid w:val="247A20A9"/>
    <w:rsid w:val="283B2B48"/>
    <w:rsid w:val="28EB263C"/>
    <w:rsid w:val="2A7B6ABF"/>
    <w:rsid w:val="2C6DB23A"/>
    <w:rsid w:val="2D1C0990"/>
    <w:rsid w:val="2DE375CC"/>
    <w:rsid w:val="2E1C5C7E"/>
    <w:rsid w:val="2F94F8AD"/>
    <w:rsid w:val="30507EBF"/>
    <w:rsid w:val="30C45901"/>
    <w:rsid w:val="31318DB2"/>
    <w:rsid w:val="32A4E5AA"/>
    <w:rsid w:val="32F66503"/>
    <w:rsid w:val="32FC2756"/>
    <w:rsid w:val="33881F81"/>
    <w:rsid w:val="34E9FF9E"/>
    <w:rsid w:val="35A99B13"/>
    <w:rsid w:val="35AFB799"/>
    <w:rsid w:val="36BFC043"/>
    <w:rsid w:val="37325F9D"/>
    <w:rsid w:val="3A0C62BC"/>
    <w:rsid w:val="3A40BE62"/>
    <w:rsid w:val="3A9BF60F"/>
    <w:rsid w:val="3ABC5DB0"/>
    <w:rsid w:val="3BD8DEF6"/>
    <w:rsid w:val="3C05D0C0"/>
    <w:rsid w:val="4384C9B8"/>
    <w:rsid w:val="44CAF1F2"/>
    <w:rsid w:val="451E9743"/>
    <w:rsid w:val="4544D46C"/>
    <w:rsid w:val="45ABB860"/>
    <w:rsid w:val="46BA67A4"/>
    <w:rsid w:val="470B2E87"/>
    <w:rsid w:val="47488367"/>
    <w:rsid w:val="474CE41D"/>
    <w:rsid w:val="477D4D1A"/>
    <w:rsid w:val="483C465A"/>
    <w:rsid w:val="48A12341"/>
    <w:rsid w:val="48E453C8"/>
    <w:rsid w:val="48FF4D25"/>
    <w:rsid w:val="4912914B"/>
    <w:rsid w:val="491BE314"/>
    <w:rsid w:val="49D377B3"/>
    <w:rsid w:val="49F20866"/>
    <w:rsid w:val="4A2A740C"/>
    <w:rsid w:val="4AA97BBF"/>
    <w:rsid w:val="4AAD5634"/>
    <w:rsid w:val="4ABB8F4E"/>
    <w:rsid w:val="4DE08D95"/>
    <w:rsid w:val="509DF390"/>
    <w:rsid w:val="51DF1B19"/>
    <w:rsid w:val="521E32F7"/>
    <w:rsid w:val="526D83C1"/>
    <w:rsid w:val="52E345C3"/>
    <w:rsid w:val="544E5457"/>
    <w:rsid w:val="547BBF9A"/>
    <w:rsid w:val="553EAB69"/>
    <w:rsid w:val="569D7166"/>
    <w:rsid w:val="56DA7BCA"/>
    <w:rsid w:val="581B0E44"/>
    <w:rsid w:val="587D308C"/>
    <w:rsid w:val="59AC8677"/>
    <w:rsid w:val="5A30B899"/>
    <w:rsid w:val="5AA2962F"/>
    <w:rsid w:val="5AC5A848"/>
    <w:rsid w:val="5B7C89F1"/>
    <w:rsid w:val="5BF1D8AA"/>
    <w:rsid w:val="5C19876F"/>
    <w:rsid w:val="5C866C5D"/>
    <w:rsid w:val="5D2D6DC3"/>
    <w:rsid w:val="5FC0797B"/>
    <w:rsid w:val="5FF2AF63"/>
    <w:rsid w:val="605F4D09"/>
    <w:rsid w:val="622E29B8"/>
    <w:rsid w:val="64D49448"/>
    <w:rsid w:val="650EA4AB"/>
    <w:rsid w:val="651C2585"/>
    <w:rsid w:val="68E50BB3"/>
    <w:rsid w:val="6928E020"/>
    <w:rsid w:val="6975D5CE"/>
    <w:rsid w:val="6A53312E"/>
    <w:rsid w:val="6AEC4340"/>
    <w:rsid w:val="6B032C22"/>
    <w:rsid w:val="6E21A487"/>
    <w:rsid w:val="6E3ACCE4"/>
    <w:rsid w:val="701F66A1"/>
    <w:rsid w:val="705458D7"/>
    <w:rsid w:val="706264FC"/>
    <w:rsid w:val="71E50D00"/>
    <w:rsid w:val="71FE355D"/>
    <w:rsid w:val="73000525"/>
    <w:rsid w:val="757A676C"/>
    <w:rsid w:val="76D60736"/>
    <w:rsid w:val="7871D797"/>
    <w:rsid w:val="7B605D62"/>
    <w:rsid w:val="7C3D909E"/>
    <w:rsid w:val="7C918488"/>
    <w:rsid w:val="7CE48F20"/>
    <w:rsid w:val="7CFF56B8"/>
    <w:rsid w:val="7F2B8B44"/>
    <w:rsid w:val="7F3A1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9CFC"/>
  <w15:chartTrackingRefBased/>
  <w15:docId w15:val="{0CB8A690-58FC-4302-9C9D-DB7D8E79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B2E"/>
    <w:pPr>
      <w:keepNext/>
      <w:keepLines/>
      <w:spacing w:before="24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6874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E16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16DA"/>
  </w:style>
  <w:style w:type="character" w:customStyle="1" w:styleId="eop">
    <w:name w:val="eop"/>
    <w:basedOn w:val="DefaultParagraphFont"/>
    <w:rsid w:val="009E16DA"/>
  </w:style>
  <w:style w:type="paragraph" w:styleId="ListParagraph">
    <w:name w:val="List Paragraph"/>
    <w:basedOn w:val="Normal"/>
    <w:uiPriority w:val="34"/>
    <w:qFormat/>
    <w:rsid w:val="00D942E9"/>
    <w:pPr>
      <w:ind w:left="720"/>
      <w:contextualSpacing/>
    </w:pPr>
  </w:style>
  <w:style w:type="character" w:styleId="CommentReference">
    <w:name w:val="annotation reference"/>
    <w:basedOn w:val="DefaultParagraphFont"/>
    <w:uiPriority w:val="99"/>
    <w:semiHidden/>
    <w:unhideWhenUsed/>
    <w:rsid w:val="000D62AE"/>
    <w:rPr>
      <w:sz w:val="16"/>
      <w:szCs w:val="16"/>
    </w:rPr>
  </w:style>
  <w:style w:type="paragraph" w:styleId="CommentText">
    <w:name w:val="annotation text"/>
    <w:basedOn w:val="Normal"/>
    <w:link w:val="CommentTextChar"/>
    <w:uiPriority w:val="99"/>
    <w:unhideWhenUsed/>
    <w:rsid w:val="000D62AE"/>
    <w:pPr>
      <w:spacing w:line="240" w:lineRule="auto"/>
    </w:pPr>
    <w:rPr>
      <w:sz w:val="20"/>
      <w:szCs w:val="20"/>
    </w:rPr>
  </w:style>
  <w:style w:type="character" w:customStyle="1" w:styleId="CommentTextChar">
    <w:name w:val="Comment Text Char"/>
    <w:basedOn w:val="DefaultParagraphFont"/>
    <w:link w:val="CommentText"/>
    <w:uiPriority w:val="99"/>
    <w:rsid w:val="000D62AE"/>
    <w:rPr>
      <w:sz w:val="20"/>
      <w:szCs w:val="20"/>
    </w:rPr>
  </w:style>
  <w:style w:type="paragraph" w:styleId="CommentSubject">
    <w:name w:val="annotation subject"/>
    <w:basedOn w:val="CommentText"/>
    <w:next w:val="CommentText"/>
    <w:link w:val="CommentSubjectChar"/>
    <w:uiPriority w:val="99"/>
    <w:semiHidden/>
    <w:unhideWhenUsed/>
    <w:rsid w:val="000D62AE"/>
    <w:rPr>
      <w:b/>
      <w:bCs/>
    </w:rPr>
  </w:style>
  <w:style w:type="character" w:customStyle="1" w:styleId="CommentSubjectChar">
    <w:name w:val="Comment Subject Char"/>
    <w:basedOn w:val="CommentTextChar"/>
    <w:link w:val="CommentSubject"/>
    <w:uiPriority w:val="99"/>
    <w:semiHidden/>
    <w:rsid w:val="000D62AE"/>
    <w:rPr>
      <w:b/>
      <w:bCs/>
      <w:sz w:val="20"/>
      <w:szCs w:val="20"/>
    </w:rPr>
  </w:style>
  <w:style w:type="paragraph" w:styleId="Revision">
    <w:name w:val="Revision"/>
    <w:hidden/>
    <w:uiPriority w:val="99"/>
    <w:semiHidden/>
    <w:rsid w:val="001F1811"/>
    <w:pPr>
      <w:spacing w:after="0" w:line="240" w:lineRule="auto"/>
    </w:pPr>
  </w:style>
  <w:style w:type="table" w:styleId="TableGrid">
    <w:name w:val="Table Grid"/>
    <w:basedOn w:val="TableNormal"/>
    <w:uiPriority w:val="39"/>
    <w:rsid w:val="002F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29AC"/>
    <w:rPr>
      <w:color w:val="0563C1" w:themeColor="hyperlink"/>
      <w:u w:val="single"/>
    </w:rPr>
  </w:style>
  <w:style w:type="character" w:styleId="FollowedHyperlink">
    <w:name w:val="FollowedHyperlink"/>
    <w:basedOn w:val="DefaultParagraphFont"/>
    <w:uiPriority w:val="99"/>
    <w:semiHidden/>
    <w:unhideWhenUsed/>
    <w:rsid w:val="002F29AC"/>
    <w:rPr>
      <w:color w:val="954F72" w:themeColor="followedHyperlink"/>
      <w:u w:val="single"/>
    </w:rPr>
  </w:style>
  <w:style w:type="character" w:styleId="UnresolvedMention">
    <w:name w:val="Unresolved Mention"/>
    <w:basedOn w:val="DefaultParagraphFont"/>
    <w:uiPriority w:val="99"/>
    <w:semiHidden/>
    <w:unhideWhenUsed/>
    <w:rsid w:val="00186AC0"/>
    <w:rPr>
      <w:color w:val="605E5C"/>
      <w:shd w:val="clear" w:color="auto" w:fill="E1DFDD"/>
    </w:rPr>
  </w:style>
  <w:style w:type="paragraph" w:styleId="NoSpacing">
    <w:name w:val="No Spacing"/>
    <w:uiPriority w:val="1"/>
    <w:qFormat/>
    <w:rsid w:val="00C80BC4"/>
    <w:pPr>
      <w:spacing w:after="0" w:line="240" w:lineRule="auto"/>
    </w:pPr>
  </w:style>
  <w:style w:type="paragraph" w:styleId="Header">
    <w:name w:val="header"/>
    <w:basedOn w:val="Normal"/>
    <w:link w:val="HeaderChar"/>
    <w:uiPriority w:val="99"/>
    <w:unhideWhenUsed/>
    <w:rsid w:val="00254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C79"/>
  </w:style>
  <w:style w:type="paragraph" w:styleId="Footer">
    <w:name w:val="footer"/>
    <w:basedOn w:val="Normal"/>
    <w:link w:val="FooterChar"/>
    <w:uiPriority w:val="99"/>
    <w:unhideWhenUsed/>
    <w:rsid w:val="00254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C79"/>
  </w:style>
  <w:style w:type="character" w:customStyle="1" w:styleId="Heading1Char">
    <w:name w:val="Heading 1 Char"/>
    <w:basedOn w:val="DefaultParagraphFont"/>
    <w:link w:val="Heading1"/>
    <w:uiPriority w:val="9"/>
    <w:rsid w:val="00813B2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6874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233949">
      <w:bodyDiv w:val="1"/>
      <w:marLeft w:val="0"/>
      <w:marRight w:val="0"/>
      <w:marTop w:val="0"/>
      <w:marBottom w:val="0"/>
      <w:divBdr>
        <w:top w:val="none" w:sz="0" w:space="0" w:color="auto"/>
        <w:left w:val="none" w:sz="0" w:space="0" w:color="auto"/>
        <w:bottom w:val="none" w:sz="0" w:space="0" w:color="auto"/>
        <w:right w:val="none" w:sz="0" w:space="0" w:color="auto"/>
      </w:divBdr>
    </w:div>
    <w:div w:id="503325507">
      <w:bodyDiv w:val="1"/>
      <w:marLeft w:val="0"/>
      <w:marRight w:val="0"/>
      <w:marTop w:val="0"/>
      <w:marBottom w:val="0"/>
      <w:divBdr>
        <w:top w:val="none" w:sz="0" w:space="0" w:color="auto"/>
        <w:left w:val="none" w:sz="0" w:space="0" w:color="auto"/>
        <w:bottom w:val="none" w:sz="0" w:space="0" w:color="auto"/>
        <w:right w:val="none" w:sz="0" w:space="0" w:color="auto"/>
      </w:divBdr>
    </w:div>
    <w:div w:id="770592864">
      <w:bodyDiv w:val="1"/>
      <w:marLeft w:val="0"/>
      <w:marRight w:val="0"/>
      <w:marTop w:val="0"/>
      <w:marBottom w:val="0"/>
      <w:divBdr>
        <w:top w:val="none" w:sz="0" w:space="0" w:color="auto"/>
        <w:left w:val="none" w:sz="0" w:space="0" w:color="auto"/>
        <w:bottom w:val="none" w:sz="0" w:space="0" w:color="auto"/>
        <w:right w:val="none" w:sz="0" w:space="0" w:color="auto"/>
      </w:divBdr>
    </w:div>
    <w:div w:id="829098908">
      <w:bodyDiv w:val="1"/>
      <w:marLeft w:val="0"/>
      <w:marRight w:val="0"/>
      <w:marTop w:val="0"/>
      <w:marBottom w:val="0"/>
      <w:divBdr>
        <w:top w:val="none" w:sz="0" w:space="0" w:color="auto"/>
        <w:left w:val="none" w:sz="0" w:space="0" w:color="auto"/>
        <w:bottom w:val="none" w:sz="0" w:space="0" w:color="auto"/>
        <w:right w:val="none" w:sz="0" w:space="0" w:color="auto"/>
      </w:divBdr>
    </w:div>
    <w:div w:id="974793413">
      <w:bodyDiv w:val="1"/>
      <w:marLeft w:val="0"/>
      <w:marRight w:val="0"/>
      <w:marTop w:val="0"/>
      <w:marBottom w:val="0"/>
      <w:divBdr>
        <w:top w:val="none" w:sz="0" w:space="0" w:color="auto"/>
        <w:left w:val="none" w:sz="0" w:space="0" w:color="auto"/>
        <w:bottom w:val="none" w:sz="0" w:space="0" w:color="auto"/>
        <w:right w:val="none" w:sz="0" w:space="0" w:color="auto"/>
      </w:divBdr>
    </w:div>
    <w:div w:id="12436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sfirerescue.org.uk/budget-booklet-medium-term-financial-strateg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ownst\AppData\Local\Microsoft\Windows\INetCache\Content.Outlook\83WU2DPS\Annex%20C%20-%202024-25%20Fire%20Efficiency%20Templa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ownst\AppData\Local\Microsoft\Windows\INetCache\Content.Outlook\83WU2DPS\Annex%20C%20-%202024-25%20Fire%20Efficiency%20Templat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solidFill>
                  <a:srgbClr val="0070C0"/>
                </a:solidFill>
              </a:rPr>
              <a:t>Actual/Forecast Efficiency Savings</a:t>
            </a:r>
          </a:p>
          <a:p>
            <a:pPr>
              <a:defRPr b="1"/>
            </a:pPr>
            <a:r>
              <a:rPr lang="en-US" sz="1200" b="0">
                <a:solidFill>
                  <a:srgbClr val="C00000"/>
                </a:solidFill>
              </a:rPr>
              <a:t>(Percentage of Non-payroll budgets)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Forecast Efficiency Savings</c:v>
          </c:tx>
          <c:spPr>
            <a:solidFill>
              <a:srgbClr val="0070C0"/>
            </a:solidFill>
            <a:ln>
              <a:noFill/>
            </a:ln>
            <a:effectLst/>
          </c:spPr>
          <c:invertIfNegative val="0"/>
          <c:cat>
            <c:strRef>
              <c:f>Template!$C$3:$F$3</c:f>
              <c:strCache>
                <c:ptCount val="4"/>
                <c:pt idx="0">
                  <c:v>2022-23</c:v>
                </c:pt>
                <c:pt idx="1">
                  <c:v>2023-24</c:v>
                </c:pt>
                <c:pt idx="2">
                  <c:v>2024-25</c:v>
                </c:pt>
                <c:pt idx="3">
                  <c:v>CSR</c:v>
                </c:pt>
              </c:strCache>
            </c:strRef>
          </c:cat>
          <c:val>
            <c:numRef>
              <c:f>Template!$C$45:$F$45</c:f>
              <c:numCache>
                <c:formatCode>0.00%</c:formatCode>
                <c:ptCount val="4"/>
                <c:pt idx="0">
                  <c:v>6.0807736540899264E-2</c:v>
                </c:pt>
                <c:pt idx="1">
                  <c:v>2.8194440372352723E-2</c:v>
                </c:pt>
                <c:pt idx="2">
                  <c:v>7.9833713126753691E-2</c:v>
                </c:pt>
                <c:pt idx="3">
                  <c:v>5.6278630013335225E-2</c:v>
                </c:pt>
              </c:numCache>
            </c:numRef>
          </c:val>
          <c:extLst>
            <c:ext xmlns:c16="http://schemas.microsoft.com/office/drawing/2014/chart" uri="{C3380CC4-5D6E-409C-BE32-E72D297353CC}">
              <c16:uniqueId val="{00000000-4355-404F-A0F7-A7B30FFE51AA}"/>
            </c:ext>
          </c:extLst>
        </c:ser>
        <c:dLbls>
          <c:showLegendKey val="0"/>
          <c:showVal val="0"/>
          <c:showCatName val="0"/>
          <c:showSerName val="0"/>
          <c:showPercent val="0"/>
          <c:showBubbleSize val="0"/>
        </c:dLbls>
        <c:gapWidth val="219"/>
        <c:overlap val="-27"/>
        <c:axId val="1160359999"/>
        <c:axId val="1160349599"/>
      </c:barChart>
      <c:lineChart>
        <c:grouping val="standard"/>
        <c:varyColors val="0"/>
        <c:ser>
          <c:idx val="1"/>
          <c:order val="1"/>
          <c:tx>
            <c:v>Savings Target</c:v>
          </c:tx>
          <c:spPr>
            <a:ln w="28575" cap="rnd">
              <a:solidFill>
                <a:srgbClr val="C00000"/>
              </a:solidFill>
              <a:prstDash val="sysDash"/>
              <a:round/>
            </a:ln>
            <a:effectLst/>
          </c:spPr>
          <c:marker>
            <c:symbol val="none"/>
          </c:marker>
          <c:cat>
            <c:strRef>
              <c:f>Template!$C$3:$F$3</c:f>
              <c:strCache>
                <c:ptCount val="4"/>
                <c:pt idx="0">
                  <c:v>2022-23</c:v>
                </c:pt>
                <c:pt idx="1">
                  <c:v>2023-24</c:v>
                </c:pt>
                <c:pt idx="2">
                  <c:v>2024-25</c:v>
                </c:pt>
                <c:pt idx="3">
                  <c:v>CSR</c:v>
                </c:pt>
              </c:strCache>
            </c:strRef>
          </c:cat>
          <c:val>
            <c:numRef>
              <c:f>Template!$C$46:$F$46</c:f>
              <c:numCache>
                <c:formatCode>0.00%</c:formatCode>
                <c:ptCount val="4"/>
                <c:pt idx="0">
                  <c:v>0.02</c:v>
                </c:pt>
                <c:pt idx="1">
                  <c:v>0.02</c:v>
                </c:pt>
                <c:pt idx="2">
                  <c:v>0.02</c:v>
                </c:pt>
                <c:pt idx="3">
                  <c:v>0.02</c:v>
                </c:pt>
              </c:numCache>
            </c:numRef>
          </c:val>
          <c:smooth val="0"/>
          <c:extLst>
            <c:ext xmlns:c16="http://schemas.microsoft.com/office/drawing/2014/chart" uri="{C3380CC4-5D6E-409C-BE32-E72D297353CC}">
              <c16:uniqueId val="{00000001-4355-404F-A0F7-A7B30FFE51AA}"/>
            </c:ext>
          </c:extLst>
        </c:ser>
        <c:dLbls>
          <c:showLegendKey val="0"/>
          <c:showVal val="0"/>
          <c:showCatName val="0"/>
          <c:showSerName val="0"/>
          <c:showPercent val="0"/>
          <c:showBubbleSize val="0"/>
        </c:dLbls>
        <c:marker val="1"/>
        <c:smooth val="0"/>
        <c:axId val="1160359999"/>
        <c:axId val="1160349599"/>
      </c:lineChart>
      <c:catAx>
        <c:axId val="116035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0349599"/>
        <c:crosses val="autoZero"/>
        <c:auto val="1"/>
        <c:lblAlgn val="ctr"/>
        <c:lblOffset val="100"/>
        <c:noMultiLvlLbl val="0"/>
      </c:catAx>
      <c:valAx>
        <c:axId val="1160349599"/>
        <c:scaling>
          <c:orientation val="minMax"/>
          <c:max val="9.0000000000000024E-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60359999"/>
        <c:crosses val="autoZero"/>
        <c:crossBetween val="between"/>
        <c:majorUnit val="1.0000000000000002E-2"/>
        <c:minorUnit val="1.0000000000000002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solidFill>
                  <a:srgbClr val="0070C0"/>
                </a:solidFill>
              </a:rPr>
              <a:t>Actual/Forecast Efficiency Savings</a:t>
            </a:r>
          </a:p>
          <a:p>
            <a:pPr>
              <a:defRPr b="1"/>
            </a:pPr>
            <a:r>
              <a:rPr lang="en-US" sz="1200" b="0">
                <a:solidFill>
                  <a:srgbClr val="C00000"/>
                </a:solidFill>
              </a:rPr>
              <a:t>(Percentage of Non-payroll budgets)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Forecast Efficiency Savings</c:v>
          </c:tx>
          <c:spPr>
            <a:solidFill>
              <a:srgbClr val="0070C0"/>
            </a:solidFill>
            <a:ln>
              <a:noFill/>
            </a:ln>
            <a:effectLst/>
          </c:spPr>
          <c:invertIfNegative val="0"/>
          <c:cat>
            <c:strRef>
              <c:f>Template!$C$3:$F$3</c:f>
              <c:strCache>
                <c:ptCount val="4"/>
                <c:pt idx="0">
                  <c:v>2022-23</c:v>
                </c:pt>
                <c:pt idx="1">
                  <c:v>2023-24</c:v>
                </c:pt>
                <c:pt idx="2">
                  <c:v>2024-25</c:v>
                </c:pt>
                <c:pt idx="3">
                  <c:v>CSR</c:v>
                </c:pt>
              </c:strCache>
            </c:strRef>
          </c:cat>
          <c:val>
            <c:numRef>
              <c:f>Template!$C$45:$F$45</c:f>
              <c:numCache>
                <c:formatCode>0.00%</c:formatCode>
                <c:ptCount val="4"/>
                <c:pt idx="0">
                  <c:v>6.0807736540899264E-2</c:v>
                </c:pt>
                <c:pt idx="1">
                  <c:v>2.8194440372352723E-2</c:v>
                </c:pt>
                <c:pt idx="2">
                  <c:v>7.9833713126753691E-2</c:v>
                </c:pt>
                <c:pt idx="3">
                  <c:v>5.6278630013335225E-2</c:v>
                </c:pt>
              </c:numCache>
            </c:numRef>
          </c:val>
          <c:extLst>
            <c:ext xmlns:c16="http://schemas.microsoft.com/office/drawing/2014/chart" uri="{C3380CC4-5D6E-409C-BE32-E72D297353CC}">
              <c16:uniqueId val="{00000000-2257-45B4-B177-2CBA2CB039D6}"/>
            </c:ext>
          </c:extLst>
        </c:ser>
        <c:dLbls>
          <c:showLegendKey val="0"/>
          <c:showVal val="0"/>
          <c:showCatName val="0"/>
          <c:showSerName val="0"/>
          <c:showPercent val="0"/>
          <c:showBubbleSize val="0"/>
        </c:dLbls>
        <c:gapWidth val="219"/>
        <c:overlap val="-27"/>
        <c:axId val="1160359999"/>
        <c:axId val="1160349599"/>
      </c:barChart>
      <c:lineChart>
        <c:grouping val="standard"/>
        <c:varyColors val="0"/>
        <c:ser>
          <c:idx val="1"/>
          <c:order val="1"/>
          <c:tx>
            <c:v>Savings Target</c:v>
          </c:tx>
          <c:spPr>
            <a:ln w="28575" cap="rnd">
              <a:solidFill>
                <a:srgbClr val="C00000"/>
              </a:solidFill>
              <a:prstDash val="sysDash"/>
              <a:round/>
            </a:ln>
            <a:effectLst/>
          </c:spPr>
          <c:marker>
            <c:symbol val="none"/>
          </c:marker>
          <c:cat>
            <c:strRef>
              <c:f>Template!$C$3:$F$3</c:f>
              <c:strCache>
                <c:ptCount val="4"/>
                <c:pt idx="0">
                  <c:v>2022-23</c:v>
                </c:pt>
                <c:pt idx="1">
                  <c:v>2023-24</c:v>
                </c:pt>
                <c:pt idx="2">
                  <c:v>2024-25</c:v>
                </c:pt>
                <c:pt idx="3">
                  <c:v>CSR</c:v>
                </c:pt>
              </c:strCache>
            </c:strRef>
          </c:cat>
          <c:val>
            <c:numRef>
              <c:f>Template!$C$46:$F$46</c:f>
              <c:numCache>
                <c:formatCode>0.00%</c:formatCode>
                <c:ptCount val="4"/>
                <c:pt idx="0">
                  <c:v>0.02</c:v>
                </c:pt>
                <c:pt idx="1">
                  <c:v>0.02</c:v>
                </c:pt>
                <c:pt idx="2">
                  <c:v>0.02</c:v>
                </c:pt>
                <c:pt idx="3">
                  <c:v>0.02</c:v>
                </c:pt>
              </c:numCache>
            </c:numRef>
          </c:val>
          <c:smooth val="0"/>
          <c:extLst>
            <c:ext xmlns:c16="http://schemas.microsoft.com/office/drawing/2014/chart" uri="{C3380CC4-5D6E-409C-BE32-E72D297353CC}">
              <c16:uniqueId val="{00000001-2257-45B4-B177-2CBA2CB039D6}"/>
            </c:ext>
          </c:extLst>
        </c:ser>
        <c:dLbls>
          <c:showLegendKey val="0"/>
          <c:showVal val="0"/>
          <c:showCatName val="0"/>
          <c:showSerName val="0"/>
          <c:showPercent val="0"/>
          <c:showBubbleSize val="0"/>
        </c:dLbls>
        <c:marker val="1"/>
        <c:smooth val="0"/>
        <c:axId val="1160359999"/>
        <c:axId val="1160349599"/>
      </c:lineChart>
      <c:catAx>
        <c:axId val="1160359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160349599"/>
        <c:crosses val="autoZero"/>
        <c:auto val="1"/>
        <c:lblAlgn val="ctr"/>
        <c:lblOffset val="100"/>
        <c:noMultiLvlLbl val="0"/>
      </c:catAx>
      <c:valAx>
        <c:axId val="1160349599"/>
        <c:scaling>
          <c:orientation val="minMax"/>
          <c:max val="9.0000000000000024E-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160359999"/>
        <c:crosses val="autoZero"/>
        <c:crossBetween val="between"/>
        <c:majorUnit val="1.0000000000000002E-2"/>
        <c:minorUnit val="1.0000000000000002E-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92AF25E3FDA41B89962FBEBE5FA62" ma:contentTypeVersion="6" ma:contentTypeDescription="Create a new document." ma:contentTypeScope="" ma:versionID="92828cbdd6f3134205e86100a156dd9a">
  <xsd:schema xmlns:xsd="http://www.w3.org/2001/XMLSchema" xmlns:xs="http://www.w3.org/2001/XMLSchema" xmlns:p="http://schemas.microsoft.com/office/2006/metadata/properties" xmlns:ns2="1b5a46f1-850f-4986-9b4a-802a30b43c65" xmlns:ns3="78731744-804d-40e0-b8af-377f2ad83d75" targetNamespace="http://schemas.microsoft.com/office/2006/metadata/properties" ma:root="true" ma:fieldsID="360a051096e16ff35eb610bd52734a9e" ns2:_="" ns3:_="">
    <xsd:import namespace="1b5a46f1-850f-4986-9b4a-802a30b43c65"/>
    <xsd:import namespace="78731744-804d-40e0-b8af-377f2ad83d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a46f1-850f-4986-9b4a-802a30b43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31744-804d-40e0-b8af-377f2ad83d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8731744-804d-40e0-b8af-377f2ad83d75">
      <UserInfo>
        <DisplayName>SHQ - Brown, Steven</DisplayName>
        <AccountId>17</AccountId>
        <AccountType/>
      </UserInfo>
      <UserInfo>
        <DisplayName>SHQ - Charters, Jon</DisplayName>
        <AccountId>26</AccountId>
        <AccountType/>
      </UserInfo>
    </SharedWithUsers>
  </documentManagement>
</p:properties>
</file>

<file path=customXml/itemProps1.xml><?xml version="1.0" encoding="utf-8"?>
<ds:datastoreItem xmlns:ds="http://schemas.openxmlformats.org/officeDocument/2006/customXml" ds:itemID="{672DAE17-E162-48AB-A389-934F1061DFC8}">
  <ds:schemaRefs>
    <ds:schemaRef ds:uri="http://schemas.openxmlformats.org/officeDocument/2006/bibliography"/>
  </ds:schemaRefs>
</ds:datastoreItem>
</file>

<file path=customXml/itemProps2.xml><?xml version="1.0" encoding="utf-8"?>
<ds:datastoreItem xmlns:ds="http://schemas.openxmlformats.org/officeDocument/2006/customXml" ds:itemID="{4F701BA8-38C9-4EBD-9225-017134AB3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a46f1-850f-4986-9b4a-802a30b43c65"/>
    <ds:schemaRef ds:uri="78731744-804d-40e0-b8af-377f2ad8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7E866-12A4-4F31-AC9C-37EE46090A5A}">
  <ds:schemaRefs>
    <ds:schemaRef ds:uri="http://schemas.microsoft.com/sharepoint/v3/contenttype/forms"/>
  </ds:schemaRefs>
</ds:datastoreItem>
</file>

<file path=customXml/itemProps4.xml><?xml version="1.0" encoding="utf-8"?>
<ds:datastoreItem xmlns:ds="http://schemas.openxmlformats.org/officeDocument/2006/customXml" ds:itemID="{7D2675B0-C53A-4EF5-A95B-443A0B4D9D37}">
  <ds:schemaRefs>
    <ds:schemaRef ds:uri="http://schemas.microsoft.com/office/2006/metadata/properties"/>
    <ds:schemaRef ds:uri="http://schemas.microsoft.com/office/infopath/2007/PartnerControls"/>
    <ds:schemaRef ds:uri="78731744-804d-40e0-b8af-377f2ad83d75"/>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14</Pages>
  <Words>4277</Words>
  <Characters>24384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Charters</dc:creator>
  <cp:keywords/>
  <dc:description/>
  <cp:lastModifiedBy>SHQ - Brown, Steven</cp:lastModifiedBy>
  <cp:revision>7</cp:revision>
  <cp:lastPrinted>2024-04-19T08:14:00Z</cp:lastPrinted>
  <dcterms:created xsi:type="dcterms:W3CDTF">2024-04-19T08:14:00Z</dcterms:created>
  <dcterms:modified xsi:type="dcterms:W3CDTF">2024-07-29T14:52:00Z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0x01010033092AF25E3FDA41B89962FBEBE5FA62</vt:lpwstr>
  </property>
  <property fmtid="{D5CDD505-2E9C-101B-9397-08002B2CF9AE}" pid="3" name="Order">
    <vt:r8>2900</vt:r8>
  </property>
  <property fmtid="{D5CDD505-2E9C-101B-9397-08002B2CF9AE}" pid="4" name="ComplianceAssetId">
    <vt:lpwstr/>
  </property>
  <property fmtid="{D5CDD505-2E9C-101B-9397-08002B2CF9AE}" pid="5" name="_activity">
    <vt:lpwstr>{"FileActivityType":"9","FileActivityTimeStamp":"2024-03-05T14:10:52.053Z","FileActivityUsersOnPage":[{"DisplayName":"SHQ - Brown, Steven","Id":"stevenbrown@lancsfirerescue.org.uk"}],"FileActivityNavigationId":null}</vt:lpwstr>
  </property>
  <property fmtid="{D5CDD505-2E9C-101B-9397-08002B2CF9AE}" pid="6" name="_ExtendedDescription">
    <vt:lpwstr/>
  </property>
  <property fmtid="{D5CDD505-2E9C-101B-9397-08002B2CF9AE}" pid="7" name="TriggerFlowInfo">
    <vt:lpwstr/>
  </property>
</Properties>
</file>