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FF97" w14:textId="7DDAEB13" w:rsidR="006B4BE1" w:rsidRDefault="006B4BE1" w:rsidP="006B4BE1">
      <w:bookmarkStart w:id="0" w:name="_Hlk155256804"/>
    </w:p>
    <w:bookmarkEnd w:id="0"/>
    <w:p w14:paraId="7CD4111A" w14:textId="77777777" w:rsidR="006B4BE1" w:rsidRDefault="006B4BE1" w:rsidP="006B4BE1"/>
    <w:p w14:paraId="6EA11D0F" w14:textId="77777777" w:rsidR="006B4BE1" w:rsidRDefault="006B4BE1" w:rsidP="006B4BE1"/>
    <w:p w14:paraId="35E4CA27" w14:textId="77777777" w:rsidR="00854EFD" w:rsidRDefault="00854EFD" w:rsidP="006B4BE1"/>
    <w:p w14:paraId="252BFDD5" w14:textId="77777777" w:rsidR="00854EFD" w:rsidRDefault="00854EFD" w:rsidP="006B4BE1"/>
    <w:p w14:paraId="23B588AE" w14:textId="77777777" w:rsidR="00854EFD" w:rsidRDefault="00854EFD" w:rsidP="006B4BE1"/>
    <w:p w14:paraId="06494CD0" w14:textId="77777777" w:rsidR="006B4BE1" w:rsidRDefault="006B4BE1" w:rsidP="006B4BE1"/>
    <w:p w14:paraId="4514739F" w14:textId="77777777" w:rsidR="006B4BE1" w:rsidRPr="00AE59DD" w:rsidRDefault="006B4BE1" w:rsidP="006B4BE1">
      <w:pPr>
        <w:jc w:val="center"/>
      </w:pPr>
      <w:r w:rsidRPr="00AE59DD">
        <w:rPr>
          <w:noProof/>
          <w:lang w:eastAsia="en-GB"/>
        </w:rPr>
        <w:drawing>
          <wp:inline distT="0" distB="0" distL="0" distR="0" wp14:anchorId="43D262DD" wp14:editId="792790D9">
            <wp:extent cx="2647315" cy="1743710"/>
            <wp:effectExtent l="0" t="0" r="635" b="8890"/>
            <wp:docPr id="2" name="Picture 2" descr="LFRS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S - NE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315" cy="1743710"/>
                    </a:xfrm>
                    <a:prstGeom prst="rect">
                      <a:avLst/>
                    </a:prstGeom>
                    <a:noFill/>
                    <a:ln>
                      <a:noFill/>
                    </a:ln>
                  </pic:spPr>
                </pic:pic>
              </a:graphicData>
            </a:graphic>
          </wp:inline>
        </w:drawing>
      </w:r>
    </w:p>
    <w:p w14:paraId="3CA46D1C" w14:textId="77777777" w:rsidR="006B4BE1" w:rsidRPr="00AE59DD" w:rsidRDefault="006B4BE1" w:rsidP="006B4BE1">
      <w:pPr>
        <w:jc w:val="center"/>
      </w:pPr>
    </w:p>
    <w:p w14:paraId="0AFA968E" w14:textId="77777777" w:rsidR="006B4BE1" w:rsidRPr="00AE59DD" w:rsidRDefault="006B4BE1" w:rsidP="006B4BE1">
      <w:pPr>
        <w:jc w:val="center"/>
        <w:rPr>
          <w:sz w:val="36"/>
          <w:szCs w:val="36"/>
        </w:rPr>
      </w:pPr>
    </w:p>
    <w:p w14:paraId="4A6E6EB9" w14:textId="77777777" w:rsidR="006B4BE1" w:rsidRPr="00AE59DD" w:rsidRDefault="006B4BE1" w:rsidP="006B4BE1">
      <w:pPr>
        <w:jc w:val="center"/>
        <w:rPr>
          <w:sz w:val="36"/>
          <w:szCs w:val="36"/>
        </w:rPr>
      </w:pPr>
    </w:p>
    <w:p w14:paraId="099A7E56" w14:textId="005E30A7" w:rsidR="006B4BE1" w:rsidRPr="00AE59DD" w:rsidRDefault="00880AD5" w:rsidP="003668C6">
      <w:pPr>
        <w:jc w:val="center"/>
        <w:rPr>
          <w:sz w:val="36"/>
          <w:szCs w:val="36"/>
        </w:rPr>
      </w:pPr>
      <w:r>
        <w:rPr>
          <w:sz w:val="36"/>
          <w:szCs w:val="36"/>
        </w:rPr>
        <w:t>Statement</w:t>
      </w:r>
      <w:r w:rsidR="006B4BE1" w:rsidRPr="00AE59DD">
        <w:rPr>
          <w:sz w:val="36"/>
          <w:szCs w:val="36"/>
        </w:rPr>
        <w:t xml:space="preserve"> </w:t>
      </w:r>
      <w:r>
        <w:rPr>
          <w:sz w:val="36"/>
          <w:szCs w:val="36"/>
        </w:rPr>
        <w:t>of</w:t>
      </w:r>
      <w:r w:rsidR="006B4BE1" w:rsidRPr="00AE59DD">
        <w:rPr>
          <w:sz w:val="36"/>
          <w:szCs w:val="36"/>
        </w:rPr>
        <w:t xml:space="preserve"> </w:t>
      </w:r>
      <w:r>
        <w:rPr>
          <w:sz w:val="36"/>
          <w:szCs w:val="36"/>
        </w:rPr>
        <w:t>Accounts</w:t>
      </w:r>
    </w:p>
    <w:p w14:paraId="06ED5587" w14:textId="77777777" w:rsidR="006B4BE1" w:rsidRPr="00AE59DD" w:rsidRDefault="006B4BE1" w:rsidP="003668C6">
      <w:pPr>
        <w:jc w:val="center"/>
        <w:rPr>
          <w:sz w:val="36"/>
          <w:szCs w:val="36"/>
        </w:rPr>
      </w:pPr>
    </w:p>
    <w:p w14:paraId="59F6DCEE" w14:textId="418802F2" w:rsidR="006B4BE1" w:rsidRPr="00AE59DD" w:rsidRDefault="00C34E88" w:rsidP="003668C6">
      <w:pPr>
        <w:jc w:val="center"/>
        <w:rPr>
          <w:sz w:val="36"/>
          <w:szCs w:val="36"/>
        </w:rPr>
      </w:pPr>
      <w:r w:rsidRPr="006E6CFF">
        <w:rPr>
          <w:sz w:val="36"/>
          <w:szCs w:val="36"/>
        </w:rPr>
        <w:t>20</w:t>
      </w:r>
      <w:r w:rsidR="00473C58" w:rsidRPr="006E6CFF">
        <w:rPr>
          <w:sz w:val="36"/>
          <w:szCs w:val="36"/>
        </w:rPr>
        <w:t>2</w:t>
      </w:r>
      <w:r w:rsidR="001C0417">
        <w:rPr>
          <w:sz w:val="36"/>
          <w:szCs w:val="36"/>
        </w:rPr>
        <w:t>3</w:t>
      </w:r>
      <w:r w:rsidR="002A48DC" w:rsidRPr="006E6CFF">
        <w:rPr>
          <w:sz w:val="36"/>
          <w:szCs w:val="36"/>
        </w:rPr>
        <w:t>/2</w:t>
      </w:r>
      <w:r w:rsidR="001C0417">
        <w:rPr>
          <w:sz w:val="36"/>
          <w:szCs w:val="36"/>
        </w:rPr>
        <w:t>4</w:t>
      </w:r>
    </w:p>
    <w:p w14:paraId="2DE8D455" w14:textId="77777777" w:rsidR="00854EFD" w:rsidRPr="00AE59DD" w:rsidRDefault="00854EFD">
      <w:r w:rsidRPr="00AE59DD">
        <w:br w:type="page"/>
      </w:r>
    </w:p>
    <w:p w14:paraId="3D51F372" w14:textId="1D0E45BD" w:rsidR="002B6814" w:rsidRPr="00D948C1" w:rsidRDefault="002B6814" w:rsidP="003668C6">
      <w:pPr>
        <w:pStyle w:val="Title"/>
        <w:jc w:val="left"/>
      </w:pPr>
      <w:r w:rsidRPr="00D948C1">
        <w:lastRenderedPageBreak/>
        <w:t>L</w:t>
      </w:r>
      <w:r w:rsidR="00E7631F" w:rsidRPr="00D948C1">
        <w:t>ancashire</w:t>
      </w:r>
      <w:r w:rsidRPr="00D948C1">
        <w:t xml:space="preserve"> C</w:t>
      </w:r>
      <w:r w:rsidR="00E7631F" w:rsidRPr="00D948C1">
        <w:t>ombined</w:t>
      </w:r>
      <w:r w:rsidRPr="00D948C1">
        <w:t xml:space="preserve"> F</w:t>
      </w:r>
      <w:r w:rsidR="00E7631F" w:rsidRPr="00D948C1">
        <w:t>ire</w:t>
      </w:r>
      <w:r w:rsidRPr="00D948C1">
        <w:t xml:space="preserve"> A</w:t>
      </w:r>
      <w:r w:rsidR="00E7631F" w:rsidRPr="00D948C1">
        <w:t>uthority</w:t>
      </w:r>
    </w:p>
    <w:p w14:paraId="0BF51ECE" w14:textId="77777777" w:rsidR="002B6814" w:rsidRPr="00D948C1" w:rsidRDefault="002B6814" w:rsidP="003668C6">
      <w:pPr>
        <w:rPr>
          <w:b/>
          <w:sz w:val="28"/>
        </w:rPr>
      </w:pPr>
    </w:p>
    <w:p w14:paraId="55AB75C3" w14:textId="35CE25B5" w:rsidR="002B6814" w:rsidRPr="00D948C1" w:rsidRDefault="00E7631F" w:rsidP="003668C6">
      <w:pPr>
        <w:rPr>
          <w:b/>
          <w:sz w:val="28"/>
        </w:rPr>
      </w:pPr>
      <w:r w:rsidRPr="00D948C1">
        <w:rPr>
          <w:b/>
          <w:sz w:val="28"/>
        </w:rPr>
        <w:t>Statement</w:t>
      </w:r>
      <w:r w:rsidR="002B6814" w:rsidRPr="00D948C1">
        <w:rPr>
          <w:b/>
          <w:sz w:val="28"/>
        </w:rPr>
        <w:t xml:space="preserve"> </w:t>
      </w:r>
      <w:r w:rsidRPr="00D948C1">
        <w:rPr>
          <w:b/>
          <w:sz w:val="28"/>
        </w:rPr>
        <w:t xml:space="preserve">of </w:t>
      </w:r>
      <w:r w:rsidR="002B6814" w:rsidRPr="00D948C1">
        <w:rPr>
          <w:b/>
          <w:sz w:val="28"/>
        </w:rPr>
        <w:t>A</w:t>
      </w:r>
      <w:r w:rsidRPr="00D948C1">
        <w:rPr>
          <w:b/>
          <w:sz w:val="28"/>
        </w:rPr>
        <w:t>ccounts</w:t>
      </w:r>
      <w:r w:rsidR="002B6814" w:rsidRPr="00D948C1">
        <w:rPr>
          <w:b/>
          <w:sz w:val="28"/>
        </w:rPr>
        <w:t xml:space="preserve"> </w:t>
      </w:r>
      <w:r w:rsidR="002B6814" w:rsidRPr="00D948C1">
        <w:rPr>
          <w:b/>
          <w:caps/>
          <w:sz w:val="28"/>
        </w:rPr>
        <w:t>202</w:t>
      </w:r>
      <w:r w:rsidR="001C0417" w:rsidRPr="00D948C1">
        <w:rPr>
          <w:b/>
          <w:caps/>
          <w:sz w:val="28"/>
        </w:rPr>
        <w:t>3</w:t>
      </w:r>
      <w:r w:rsidR="002B6814" w:rsidRPr="00D948C1">
        <w:rPr>
          <w:b/>
          <w:caps/>
          <w:sz w:val="28"/>
        </w:rPr>
        <w:t>/2</w:t>
      </w:r>
      <w:r w:rsidR="001C0417" w:rsidRPr="00D948C1">
        <w:rPr>
          <w:b/>
          <w:caps/>
          <w:sz w:val="28"/>
        </w:rPr>
        <w:t>4</w:t>
      </w:r>
    </w:p>
    <w:p w14:paraId="2DD1AB22" w14:textId="77777777" w:rsidR="002B6814" w:rsidRPr="00D948C1" w:rsidRDefault="002B6814" w:rsidP="003668C6">
      <w:pPr>
        <w:rPr>
          <w:b/>
          <w:sz w:val="28"/>
        </w:rPr>
      </w:pPr>
    </w:p>
    <w:p w14:paraId="5F5D1D76" w14:textId="14078B1A" w:rsidR="006B4BE1" w:rsidRPr="00D948C1" w:rsidRDefault="002B6814" w:rsidP="006B4BE1">
      <w:r w:rsidRPr="00D948C1">
        <w:rPr>
          <w:b/>
          <w:sz w:val="28"/>
        </w:rPr>
        <w:t>C</w:t>
      </w:r>
      <w:r w:rsidR="00E7631F" w:rsidRPr="00D948C1">
        <w:rPr>
          <w:b/>
          <w:sz w:val="28"/>
        </w:rPr>
        <w:t>ontents</w:t>
      </w:r>
    </w:p>
    <w:sdt>
      <w:sdtPr>
        <w:rPr>
          <w:rFonts w:ascii="Arial" w:eastAsia="Times New Roman" w:hAnsi="Arial" w:cs="Times New Roman"/>
          <w:color w:val="auto"/>
          <w:sz w:val="24"/>
          <w:szCs w:val="24"/>
          <w:lang w:val="en-GB"/>
        </w:rPr>
        <w:id w:val="2062289287"/>
        <w:docPartObj>
          <w:docPartGallery w:val="Table of Contents"/>
          <w:docPartUnique/>
        </w:docPartObj>
      </w:sdtPr>
      <w:sdtEndPr>
        <w:rPr>
          <w:b/>
          <w:bCs/>
          <w:noProof/>
          <w:szCs w:val="20"/>
        </w:rPr>
      </w:sdtEndPr>
      <w:sdtContent>
        <w:p w14:paraId="269485E8" w14:textId="63CDB818" w:rsidR="005A3C76" w:rsidRPr="00D948C1" w:rsidRDefault="005A3C76">
          <w:pPr>
            <w:pStyle w:val="TOCHeading"/>
            <w:rPr>
              <w:sz w:val="24"/>
              <w:szCs w:val="24"/>
            </w:rPr>
          </w:pPr>
        </w:p>
        <w:p w14:paraId="20211404" w14:textId="0E3BC9ED" w:rsidR="004D6C26" w:rsidRPr="00D948C1" w:rsidRDefault="005A3C76">
          <w:pPr>
            <w:pStyle w:val="TOC1"/>
            <w:tabs>
              <w:tab w:val="right" w:leader="dot" w:pos="9017"/>
            </w:tabs>
            <w:rPr>
              <w:rFonts w:asciiTheme="minorHAnsi" w:eastAsiaTheme="minorEastAsia" w:hAnsiTheme="minorHAnsi" w:cstheme="minorBidi"/>
              <w:noProof/>
              <w:kern w:val="2"/>
              <w:szCs w:val="24"/>
              <w:lang w:eastAsia="en-GB"/>
              <w14:ligatures w14:val="standardContextual"/>
            </w:rPr>
          </w:pPr>
          <w:r w:rsidRPr="00D948C1">
            <w:rPr>
              <w:szCs w:val="24"/>
            </w:rPr>
            <w:fldChar w:fldCharType="begin"/>
          </w:r>
          <w:r w:rsidRPr="00D948C1">
            <w:rPr>
              <w:szCs w:val="24"/>
            </w:rPr>
            <w:instrText xml:space="preserve"> TOC \o "1-3" \h \z \u </w:instrText>
          </w:r>
          <w:r w:rsidRPr="00D948C1">
            <w:rPr>
              <w:szCs w:val="24"/>
            </w:rPr>
            <w:fldChar w:fldCharType="separate"/>
          </w:r>
          <w:hyperlink w:anchor="_Toc171068774" w:history="1">
            <w:r w:rsidR="004D6C26" w:rsidRPr="00D948C1">
              <w:rPr>
                <w:rStyle w:val="Hyperlink"/>
                <w:noProof/>
              </w:rPr>
              <w:t>Narrative Report</w:t>
            </w:r>
            <w:r w:rsidR="004D6C26" w:rsidRPr="00D948C1">
              <w:rPr>
                <w:noProof/>
                <w:webHidden/>
              </w:rPr>
              <w:tab/>
            </w:r>
            <w:r w:rsidR="004D6C26" w:rsidRPr="00D948C1">
              <w:rPr>
                <w:noProof/>
                <w:webHidden/>
              </w:rPr>
              <w:fldChar w:fldCharType="begin"/>
            </w:r>
            <w:r w:rsidR="004D6C26" w:rsidRPr="00D948C1">
              <w:rPr>
                <w:noProof/>
                <w:webHidden/>
              </w:rPr>
              <w:instrText xml:space="preserve"> PAGEREF _Toc171068774 \h </w:instrText>
            </w:r>
            <w:r w:rsidR="004D6C26" w:rsidRPr="00D948C1">
              <w:rPr>
                <w:noProof/>
                <w:webHidden/>
              </w:rPr>
            </w:r>
            <w:r w:rsidR="004D6C26" w:rsidRPr="00D948C1">
              <w:rPr>
                <w:noProof/>
                <w:webHidden/>
              </w:rPr>
              <w:fldChar w:fldCharType="separate"/>
            </w:r>
            <w:r w:rsidR="009357A9">
              <w:rPr>
                <w:noProof/>
                <w:webHidden/>
              </w:rPr>
              <w:t>1</w:t>
            </w:r>
            <w:r w:rsidR="004D6C26" w:rsidRPr="00D948C1">
              <w:rPr>
                <w:noProof/>
                <w:webHidden/>
              </w:rPr>
              <w:fldChar w:fldCharType="end"/>
            </w:r>
          </w:hyperlink>
        </w:p>
        <w:p w14:paraId="3009B379" w14:textId="6440718F"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75" w:history="1">
            <w:r w:rsidRPr="00D948C1">
              <w:rPr>
                <w:rStyle w:val="Hyperlink"/>
                <w:noProof/>
              </w:rPr>
              <w:t xml:space="preserve">Statement on </w:t>
            </w:r>
            <w:r w:rsidRPr="00D948C1">
              <w:rPr>
                <w:rStyle w:val="Hyperlink"/>
                <w:bCs/>
                <w:noProof/>
              </w:rPr>
              <w:t>Annual Governance Arrangements</w:t>
            </w:r>
            <w:r w:rsidRPr="00D948C1">
              <w:rPr>
                <w:noProof/>
                <w:webHidden/>
              </w:rPr>
              <w:tab/>
            </w:r>
            <w:r w:rsidRPr="00D948C1">
              <w:rPr>
                <w:noProof/>
                <w:webHidden/>
              </w:rPr>
              <w:fldChar w:fldCharType="begin"/>
            </w:r>
            <w:r w:rsidRPr="00D948C1">
              <w:rPr>
                <w:noProof/>
                <w:webHidden/>
              </w:rPr>
              <w:instrText xml:space="preserve"> PAGEREF _Toc171068775 \h </w:instrText>
            </w:r>
            <w:r w:rsidRPr="00D948C1">
              <w:rPr>
                <w:noProof/>
                <w:webHidden/>
              </w:rPr>
            </w:r>
            <w:r w:rsidRPr="00D948C1">
              <w:rPr>
                <w:noProof/>
                <w:webHidden/>
              </w:rPr>
              <w:fldChar w:fldCharType="separate"/>
            </w:r>
            <w:r w:rsidR="009357A9">
              <w:rPr>
                <w:noProof/>
                <w:webHidden/>
              </w:rPr>
              <w:t>8</w:t>
            </w:r>
            <w:r w:rsidRPr="00D948C1">
              <w:rPr>
                <w:noProof/>
                <w:webHidden/>
              </w:rPr>
              <w:fldChar w:fldCharType="end"/>
            </w:r>
          </w:hyperlink>
        </w:p>
        <w:p w14:paraId="7F370783" w14:textId="26961667"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76" w:history="1">
            <w:r w:rsidRPr="00D948C1">
              <w:rPr>
                <w:rStyle w:val="Hyperlink"/>
                <w:noProof/>
              </w:rPr>
              <w:t>Independent Auditor</w:t>
            </w:r>
            <w:r w:rsidRPr="00D948C1">
              <w:rPr>
                <w:rStyle w:val="Hyperlink"/>
                <w:rFonts w:hint="eastAsia"/>
                <w:noProof/>
              </w:rPr>
              <w:t>’</w:t>
            </w:r>
            <w:r w:rsidRPr="00D948C1">
              <w:rPr>
                <w:rStyle w:val="Hyperlink"/>
                <w:noProof/>
              </w:rPr>
              <w:t>s Report</w:t>
            </w:r>
            <w:r w:rsidRPr="00D948C1">
              <w:rPr>
                <w:noProof/>
                <w:webHidden/>
              </w:rPr>
              <w:tab/>
            </w:r>
            <w:r w:rsidRPr="00D948C1">
              <w:rPr>
                <w:noProof/>
                <w:webHidden/>
              </w:rPr>
              <w:fldChar w:fldCharType="begin"/>
            </w:r>
            <w:r w:rsidRPr="00D948C1">
              <w:rPr>
                <w:noProof/>
                <w:webHidden/>
              </w:rPr>
              <w:instrText xml:space="preserve"> PAGEREF _Toc171068776 \h </w:instrText>
            </w:r>
            <w:r w:rsidRPr="00D948C1">
              <w:rPr>
                <w:noProof/>
                <w:webHidden/>
              </w:rPr>
            </w:r>
            <w:r w:rsidRPr="00D948C1">
              <w:rPr>
                <w:noProof/>
                <w:webHidden/>
              </w:rPr>
              <w:fldChar w:fldCharType="separate"/>
            </w:r>
            <w:r w:rsidR="009357A9">
              <w:rPr>
                <w:noProof/>
                <w:webHidden/>
              </w:rPr>
              <w:t>15</w:t>
            </w:r>
            <w:r w:rsidRPr="00D948C1">
              <w:rPr>
                <w:noProof/>
                <w:webHidden/>
              </w:rPr>
              <w:fldChar w:fldCharType="end"/>
            </w:r>
          </w:hyperlink>
        </w:p>
        <w:p w14:paraId="7D2835A1" w14:textId="263AFAD9"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77" w:history="1">
            <w:r w:rsidRPr="00D948C1">
              <w:rPr>
                <w:rStyle w:val="Hyperlink"/>
                <w:noProof/>
              </w:rPr>
              <w:t>Statement of Responsibilities</w:t>
            </w:r>
            <w:r w:rsidRPr="00D948C1">
              <w:rPr>
                <w:noProof/>
                <w:webHidden/>
              </w:rPr>
              <w:tab/>
            </w:r>
            <w:r w:rsidRPr="00D948C1">
              <w:rPr>
                <w:noProof/>
                <w:webHidden/>
              </w:rPr>
              <w:fldChar w:fldCharType="begin"/>
            </w:r>
            <w:r w:rsidRPr="00D948C1">
              <w:rPr>
                <w:noProof/>
                <w:webHidden/>
              </w:rPr>
              <w:instrText xml:space="preserve"> PAGEREF _Toc171068777 \h </w:instrText>
            </w:r>
            <w:r w:rsidRPr="00D948C1">
              <w:rPr>
                <w:noProof/>
                <w:webHidden/>
              </w:rPr>
            </w:r>
            <w:r w:rsidRPr="00D948C1">
              <w:rPr>
                <w:noProof/>
                <w:webHidden/>
              </w:rPr>
              <w:fldChar w:fldCharType="separate"/>
            </w:r>
            <w:r w:rsidR="009357A9">
              <w:rPr>
                <w:noProof/>
                <w:webHidden/>
              </w:rPr>
              <w:t>22</w:t>
            </w:r>
            <w:r w:rsidRPr="00D948C1">
              <w:rPr>
                <w:noProof/>
                <w:webHidden/>
              </w:rPr>
              <w:fldChar w:fldCharType="end"/>
            </w:r>
          </w:hyperlink>
        </w:p>
        <w:p w14:paraId="0A9E6A3C" w14:textId="479934A5"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78" w:history="1">
            <w:r w:rsidRPr="00D948C1">
              <w:rPr>
                <w:rStyle w:val="Hyperlink"/>
                <w:noProof/>
              </w:rPr>
              <w:t>Explanation of Financial Statements</w:t>
            </w:r>
            <w:r w:rsidRPr="00D948C1">
              <w:rPr>
                <w:noProof/>
                <w:webHidden/>
              </w:rPr>
              <w:tab/>
            </w:r>
            <w:r w:rsidRPr="00D948C1">
              <w:rPr>
                <w:noProof/>
                <w:webHidden/>
              </w:rPr>
              <w:fldChar w:fldCharType="begin"/>
            </w:r>
            <w:r w:rsidRPr="00D948C1">
              <w:rPr>
                <w:noProof/>
                <w:webHidden/>
              </w:rPr>
              <w:instrText xml:space="preserve"> PAGEREF _Toc171068778 \h </w:instrText>
            </w:r>
            <w:r w:rsidRPr="00D948C1">
              <w:rPr>
                <w:noProof/>
                <w:webHidden/>
              </w:rPr>
            </w:r>
            <w:r w:rsidRPr="00D948C1">
              <w:rPr>
                <w:noProof/>
                <w:webHidden/>
              </w:rPr>
              <w:fldChar w:fldCharType="separate"/>
            </w:r>
            <w:r w:rsidR="009357A9">
              <w:rPr>
                <w:noProof/>
                <w:webHidden/>
              </w:rPr>
              <w:t>23</w:t>
            </w:r>
            <w:r w:rsidRPr="00D948C1">
              <w:rPr>
                <w:noProof/>
                <w:webHidden/>
              </w:rPr>
              <w:fldChar w:fldCharType="end"/>
            </w:r>
          </w:hyperlink>
        </w:p>
        <w:p w14:paraId="7A5E464D" w14:textId="29FAC936"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79" w:history="1">
            <w:r w:rsidRPr="00D948C1">
              <w:rPr>
                <w:rStyle w:val="Hyperlink"/>
                <w:noProof/>
              </w:rPr>
              <w:t>Comprehensive Income and Expenditure Statement</w:t>
            </w:r>
            <w:r w:rsidRPr="00D948C1">
              <w:rPr>
                <w:noProof/>
                <w:webHidden/>
              </w:rPr>
              <w:tab/>
            </w:r>
            <w:r w:rsidRPr="00D948C1">
              <w:rPr>
                <w:noProof/>
                <w:webHidden/>
              </w:rPr>
              <w:fldChar w:fldCharType="begin"/>
            </w:r>
            <w:r w:rsidRPr="00D948C1">
              <w:rPr>
                <w:noProof/>
                <w:webHidden/>
              </w:rPr>
              <w:instrText xml:space="preserve"> PAGEREF _Toc171068779 \h </w:instrText>
            </w:r>
            <w:r w:rsidRPr="00D948C1">
              <w:rPr>
                <w:noProof/>
                <w:webHidden/>
              </w:rPr>
            </w:r>
            <w:r w:rsidRPr="00D948C1">
              <w:rPr>
                <w:noProof/>
                <w:webHidden/>
              </w:rPr>
              <w:fldChar w:fldCharType="separate"/>
            </w:r>
            <w:r w:rsidR="009357A9">
              <w:rPr>
                <w:noProof/>
                <w:webHidden/>
              </w:rPr>
              <w:t>24</w:t>
            </w:r>
            <w:r w:rsidRPr="00D948C1">
              <w:rPr>
                <w:noProof/>
                <w:webHidden/>
              </w:rPr>
              <w:fldChar w:fldCharType="end"/>
            </w:r>
          </w:hyperlink>
        </w:p>
        <w:p w14:paraId="0DBBF542" w14:textId="1C436C6D"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80" w:history="1">
            <w:r w:rsidRPr="00D948C1">
              <w:rPr>
                <w:rStyle w:val="Hyperlink"/>
                <w:noProof/>
              </w:rPr>
              <w:t>Movement in Reserves Statement</w:t>
            </w:r>
            <w:r w:rsidRPr="00D948C1">
              <w:rPr>
                <w:noProof/>
                <w:webHidden/>
              </w:rPr>
              <w:tab/>
            </w:r>
            <w:r w:rsidRPr="00D948C1">
              <w:rPr>
                <w:noProof/>
                <w:webHidden/>
              </w:rPr>
              <w:fldChar w:fldCharType="begin"/>
            </w:r>
            <w:r w:rsidRPr="00D948C1">
              <w:rPr>
                <w:noProof/>
                <w:webHidden/>
              </w:rPr>
              <w:instrText xml:space="preserve"> PAGEREF _Toc171068780 \h </w:instrText>
            </w:r>
            <w:r w:rsidRPr="00D948C1">
              <w:rPr>
                <w:noProof/>
                <w:webHidden/>
              </w:rPr>
            </w:r>
            <w:r w:rsidRPr="00D948C1">
              <w:rPr>
                <w:noProof/>
                <w:webHidden/>
              </w:rPr>
              <w:fldChar w:fldCharType="separate"/>
            </w:r>
            <w:r w:rsidR="009357A9">
              <w:rPr>
                <w:noProof/>
                <w:webHidden/>
              </w:rPr>
              <w:t>26</w:t>
            </w:r>
            <w:r w:rsidRPr="00D948C1">
              <w:rPr>
                <w:noProof/>
                <w:webHidden/>
              </w:rPr>
              <w:fldChar w:fldCharType="end"/>
            </w:r>
          </w:hyperlink>
        </w:p>
        <w:p w14:paraId="7EBC8D0F" w14:textId="51D6E1F8"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81" w:history="1">
            <w:r w:rsidRPr="00D948C1">
              <w:rPr>
                <w:rStyle w:val="Hyperlink"/>
                <w:noProof/>
              </w:rPr>
              <w:t>Balance Sheet</w:t>
            </w:r>
            <w:r w:rsidRPr="00D948C1">
              <w:rPr>
                <w:noProof/>
                <w:webHidden/>
              </w:rPr>
              <w:tab/>
            </w:r>
            <w:r w:rsidRPr="00D948C1">
              <w:rPr>
                <w:noProof/>
                <w:webHidden/>
              </w:rPr>
              <w:fldChar w:fldCharType="begin"/>
            </w:r>
            <w:r w:rsidRPr="00D948C1">
              <w:rPr>
                <w:noProof/>
                <w:webHidden/>
              </w:rPr>
              <w:instrText xml:space="preserve"> PAGEREF _Toc171068781 \h </w:instrText>
            </w:r>
            <w:r w:rsidRPr="00D948C1">
              <w:rPr>
                <w:noProof/>
                <w:webHidden/>
              </w:rPr>
            </w:r>
            <w:r w:rsidRPr="00D948C1">
              <w:rPr>
                <w:noProof/>
                <w:webHidden/>
              </w:rPr>
              <w:fldChar w:fldCharType="separate"/>
            </w:r>
            <w:r w:rsidR="009357A9">
              <w:rPr>
                <w:noProof/>
                <w:webHidden/>
              </w:rPr>
              <w:t>30</w:t>
            </w:r>
            <w:r w:rsidRPr="00D948C1">
              <w:rPr>
                <w:noProof/>
                <w:webHidden/>
              </w:rPr>
              <w:fldChar w:fldCharType="end"/>
            </w:r>
          </w:hyperlink>
        </w:p>
        <w:p w14:paraId="227C7F79" w14:textId="2C03751F"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82" w:history="1">
            <w:r w:rsidRPr="00D948C1">
              <w:rPr>
                <w:rStyle w:val="Hyperlink"/>
                <w:noProof/>
              </w:rPr>
              <w:t>Cash Flow Statement</w:t>
            </w:r>
            <w:r w:rsidRPr="00D948C1">
              <w:rPr>
                <w:noProof/>
                <w:webHidden/>
              </w:rPr>
              <w:tab/>
            </w:r>
            <w:r w:rsidRPr="00D948C1">
              <w:rPr>
                <w:noProof/>
                <w:webHidden/>
              </w:rPr>
              <w:fldChar w:fldCharType="begin"/>
            </w:r>
            <w:r w:rsidRPr="00D948C1">
              <w:rPr>
                <w:noProof/>
                <w:webHidden/>
              </w:rPr>
              <w:instrText xml:space="preserve"> PAGEREF _Toc171068782 \h </w:instrText>
            </w:r>
            <w:r w:rsidRPr="00D948C1">
              <w:rPr>
                <w:noProof/>
                <w:webHidden/>
              </w:rPr>
            </w:r>
            <w:r w:rsidRPr="00D948C1">
              <w:rPr>
                <w:noProof/>
                <w:webHidden/>
              </w:rPr>
              <w:fldChar w:fldCharType="separate"/>
            </w:r>
            <w:r w:rsidR="009357A9">
              <w:rPr>
                <w:noProof/>
                <w:webHidden/>
              </w:rPr>
              <w:t>32</w:t>
            </w:r>
            <w:r w:rsidRPr="00D948C1">
              <w:rPr>
                <w:noProof/>
                <w:webHidden/>
              </w:rPr>
              <w:fldChar w:fldCharType="end"/>
            </w:r>
          </w:hyperlink>
        </w:p>
        <w:p w14:paraId="1D3304B9" w14:textId="6D3E9B11"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783" w:history="1">
            <w:r w:rsidRPr="00D948C1">
              <w:rPr>
                <w:rStyle w:val="Hyperlink"/>
                <w:noProof/>
              </w:rPr>
              <w:t>Notes to the Core Financial Statements</w:t>
            </w:r>
            <w:r w:rsidRPr="00D948C1">
              <w:rPr>
                <w:noProof/>
                <w:webHidden/>
              </w:rPr>
              <w:tab/>
            </w:r>
            <w:r w:rsidRPr="00D948C1">
              <w:rPr>
                <w:noProof/>
                <w:webHidden/>
              </w:rPr>
              <w:fldChar w:fldCharType="begin"/>
            </w:r>
            <w:r w:rsidRPr="00D948C1">
              <w:rPr>
                <w:noProof/>
                <w:webHidden/>
              </w:rPr>
              <w:instrText xml:space="preserve"> PAGEREF _Toc171068783 \h </w:instrText>
            </w:r>
            <w:r w:rsidRPr="00D948C1">
              <w:rPr>
                <w:noProof/>
                <w:webHidden/>
              </w:rPr>
            </w:r>
            <w:r w:rsidRPr="00D948C1">
              <w:rPr>
                <w:noProof/>
                <w:webHidden/>
              </w:rPr>
              <w:fldChar w:fldCharType="separate"/>
            </w:r>
            <w:r w:rsidR="009357A9">
              <w:rPr>
                <w:noProof/>
                <w:webHidden/>
              </w:rPr>
              <w:t>33</w:t>
            </w:r>
            <w:r w:rsidRPr="00D948C1">
              <w:rPr>
                <w:noProof/>
                <w:webHidden/>
              </w:rPr>
              <w:fldChar w:fldCharType="end"/>
            </w:r>
          </w:hyperlink>
        </w:p>
        <w:p w14:paraId="4948F6C9" w14:textId="614573D0"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84" w:history="1">
            <w:r w:rsidRPr="00D948C1">
              <w:rPr>
                <w:rStyle w:val="Hyperlink"/>
                <w:noProof/>
              </w:rPr>
              <w:t>1</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Expenditure and Funding Analysis</w:t>
            </w:r>
            <w:r w:rsidRPr="00D948C1">
              <w:rPr>
                <w:noProof/>
                <w:webHidden/>
              </w:rPr>
              <w:tab/>
            </w:r>
            <w:r w:rsidRPr="00D948C1">
              <w:rPr>
                <w:noProof/>
                <w:webHidden/>
              </w:rPr>
              <w:fldChar w:fldCharType="begin"/>
            </w:r>
            <w:r w:rsidRPr="00D948C1">
              <w:rPr>
                <w:noProof/>
                <w:webHidden/>
              </w:rPr>
              <w:instrText xml:space="preserve"> PAGEREF _Toc171068784 \h </w:instrText>
            </w:r>
            <w:r w:rsidRPr="00D948C1">
              <w:rPr>
                <w:noProof/>
                <w:webHidden/>
              </w:rPr>
            </w:r>
            <w:r w:rsidRPr="00D948C1">
              <w:rPr>
                <w:noProof/>
                <w:webHidden/>
              </w:rPr>
              <w:fldChar w:fldCharType="separate"/>
            </w:r>
            <w:r w:rsidR="009357A9">
              <w:rPr>
                <w:noProof/>
                <w:webHidden/>
              </w:rPr>
              <w:t>33</w:t>
            </w:r>
            <w:r w:rsidRPr="00D948C1">
              <w:rPr>
                <w:noProof/>
                <w:webHidden/>
              </w:rPr>
              <w:fldChar w:fldCharType="end"/>
            </w:r>
          </w:hyperlink>
        </w:p>
        <w:p w14:paraId="0F306519" w14:textId="7731E6F9"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85" w:history="1">
            <w:r w:rsidRPr="00D948C1">
              <w:rPr>
                <w:rStyle w:val="Hyperlink"/>
                <w:noProof/>
              </w:rPr>
              <w:t>1a</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Note to the Expenditure and Funding Analysis</w:t>
            </w:r>
            <w:r w:rsidRPr="00D948C1">
              <w:rPr>
                <w:noProof/>
                <w:webHidden/>
              </w:rPr>
              <w:tab/>
            </w:r>
            <w:r w:rsidRPr="00D948C1">
              <w:rPr>
                <w:noProof/>
                <w:webHidden/>
              </w:rPr>
              <w:fldChar w:fldCharType="begin"/>
            </w:r>
            <w:r w:rsidRPr="00D948C1">
              <w:rPr>
                <w:noProof/>
                <w:webHidden/>
              </w:rPr>
              <w:instrText xml:space="preserve"> PAGEREF _Toc171068785 \h </w:instrText>
            </w:r>
            <w:r w:rsidRPr="00D948C1">
              <w:rPr>
                <w:noProof/>
                <w:webHidden/>
              </w:rPr>
            </w:r>
            <w:r w:rsidRPr="00D948C1">
              <w:rPr>
                <w:noProof/>
                <w:webHidden/>
              </w:rPr>
              <w:fldChar w:fldCharType="separate"/>
            </w:r>
            <w:r w:rsidR="009357A9">
              <w:rPr>
                <w:noProof/>
                <w:webHidden/>
              </w:rPr>
              <w:t>35</w:t>
            </w:r>
            <w:r w:rsidRPr="00D948C1">
              <w:rPr>
                <w:noProof/>
                <w:webHidden/>
              </w:rPr>
              <w:fldChar w:fldCharType="end"/>
            </w:r>
          </w:hyperlink>
        </w:p>
        <w:p w14:paraId="4EA32F05" w14:textId="79184448"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86" w:history="1">
            <w:r w:rsidRPr="00D948C1">
              <w:rPr>
                <w:rStyle w:val="Hyperlink"/>
                <w:noProof/>
              </w:rPr>
              <w:t>2</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Fire Authority Costs</w:t>
            </w:r>
            <w:r w:rsidRPr="00D948C1">
              <w:rPr>
                <w:noProof/>
                <w:webHidden/>
              </w:rPr>
              <w:tab/>
            </w:r>
            <w:r w:rsidRPr="00D948C1">
              <w:rPr>
                <w:noProof/>
                <w:webHidden/>
              </w:rPr>
              <w:fldChar w:fldCharType="begin"/>
            </w:r>
            <w:r w:rsidRPr="00D948C1">
              <w:rPr>
                <w:noProof/>
                <w:webHidden/>
              </w:rPr>
              <w:instrText xml:space="preserve"> PAGEREF _Toc171068786 \h </w:instrText>
            </w:r>
            <w:r w:rsidRPr="00D948C1">
              <w:rPr>
                <w:noProof/>
                <w:webHidden/>
              </w:rPr>
            </w:r>
            <w:r w:rsidRPr="00D948C1">
              <w:rPr>
                <w:noProof/>
                <w:webHidden/>
              </w:rPr>
              <w:fldChar w:fldCharType="separate"/>
            </w:r>
            <w:r w:rsidR="009357A9">
              <w:rPr>
                <w:noProof/>
                <w:webHidden/>
              </w:rPr>
              <w:t>37</w:t>
            </w:r>
            <w:r w:rsidRPr="00D948C1">
              <w:rPr>
                <w:noProof/>
                <w:webHidden/>
              </w:rPr>
              <w:fldChar w:fldCharType="end"/>
            </w:r>
          </w:hyperlink>
        </w:p>
        <w:p w14:paraId="654FC2D5" w14:textId="349D8583"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87" w:history="1">
            <w:r w:rsidRPr="00D948C1">
              <w:rPr>
                <w:rStyle w:val="Hyperlink"/>
                <w:noProof/>
              </w:rPr>
              <w:t>3</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Employees Emoluments</w:t>
            </w:r>
            <w:r w:rsidRPr="00D948C1">
              <w:rPr>
                <w:noProof/>
                <w:webHidden/>
              </w:rPr>
              <w:tab/>
            </w:r>
            <w:r w:rsidRPr="00D948C1">
              <w:rPr>
                <w:noProof/>
                <w:webHidden/>
              </w:rPr>
              <w:fldChar w:fldCharType="begin"/>
            </w:r>
            <w:r w:rsidRPr="00D948C1">
              <w:rPr>
                <w:noProof/>
                <w:webHidden/>
              </w:rPr>
              <w:instrText xml:space="preserve"> PAGEREF _Toc171068787 \h </w:instrText>
            </w:r>
            <w:r w:rsidRPr="00D948C1">
              <w:rPr>
                <w:noProof/>
                <w:webHidden/>
              </w:rPr>
            </w:r>
            <w:r w:rsidRPr="00D948C1">
              <w:rPr>
                <w:noProof/>
                <w:webHidden/>
              </w:rPr>
              <w:fldChar w:fldCharType="separate"/>
            </w:r>
            <w:r w:rsidR="009357A9">
              <w:rPr>
                <w:noProof/>
                <w:webHidden/>
              </w:rPr>
              <w:t>37</w:t>
            </w:r>
            <w:r w:rsidRPr="00D948C1">
              <w:rPr>
                <w:noProof/>
                <w:webHidden/>
              </w:rPr>
              <w:fldChar w:fldCharType="end"/>
            </w:r>
          </w:hyperlink>
        </w:p>
        <w:p w14:paraId="3FF2546C" w14:textId="1D72107D"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88" w:history="1">
            <w:r w:rsidRPr="00D948C1">
              <w:rPr>
                <w:rStyle w:val="Hyperlink"/>
                <w:noProof/>
              </w:rPr>
              <w:t>4</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External Auditors Fees</w:t>
            </w:r>
            <w:r w:rsidRPr="00D948C1">
              <w:rPr>
                <w:noProof/>
                <w:webHidden/>
              </w:rPr>
              <w:tab/>
            </w:r>
            <w:r w:rsidRPr="00D948C1">
              <w:rPr>
                <w:noProof/>
                <w:webHidden/>
              </w:rPr>
              <w:fldChar w:fldCharType="begin"/>
            </w:r>
            <w:r w:rsidRPr="00D948C1">
              <w:rPr>
                <w:noProof/>
                <w:webHidden/>
              </w:rPr>
              <w:instrText xml:space="preserve"> PAGEREF _Toc171068788 \h </w:instrText>
            </w:r>
            <w:r w:rsidRPr="00D948C1">
              <w:rPr>
                <w:noProof/>
                <w:webHidden/>
              </w:rPr>
            </w:r>
            <w:r w:rsidRPr="00D948C1">
              <w:rPr>
                <w:noProof/>
                <w:webHidden/>
              </w:rPr>
              <w:fldChar w:fldCharType="separate"/>
            </w:r>
            <w:r w:rsidR="009357A9">
              <w:rPr>
                <w:noProof/>
                <w:webHidden/>
              </w:rPr>
              <w:t>39</w:t>
            </w:r>
            <w:r w:rsidRPr="00D948C1">
              <w:rPr>
                <w:noProof/>
                <w:webHidden/>
              </w:rPr>
              <w:fldChar w:fldCharType="end"/>
            </w:r>
          </w:hyperlink>
        </w:p>
        <w:p w14:paraId="4E9D946A" w14:textId="68378F00"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89" w:history="1">
            <w:r w:rsidRPr="00D948C1">
              <w:rPr>
                <w:rStyle w:val="Hyperlink"/>
                <w:noProof/>
              </w:rPr>
              <w:t>5</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Related Parties Transactions</w:t>
            </w:r>
            <w:r w:rsidRPr="00D948C1">
              <w:rPr>
                <w:noProof/>
                <w:webHidden/>
              </w:rPr>
              <w:tab/>
            </w:r>
            <w:r w:rsidRPr="00D948C1">
              <w:rPr>
                <w:noProof/>
                <w:webHidden/>
              </w:rPr>
              <w:fldChar w:fldCharType="begin"/>
            </w:r>
            <w:r w:rsidRPr="00D948C1">
              <w:rPr>
                <w:noProof/>
                <w:webHidden/>
              </w:rPr>
              <w:instrText xml:space="preserve"> PAGEREF _Toc171068789 \h </w:instrText>
            </w:r>
            <w:r w:rsidRPr="00D948C1">
              <w:rPr>
                <w:noProof/>
                <w:webHidden/>
              </w:rPr>
            </w:r>
            <w:r w:rsidRPr="00D948C1">
              <w:rPr>
                <w:noProof/>
                <w:webHidden/>
              </w:rPr>
              <w:fldChar w:fldCharType="separate"/>
            </w:r>
            <w:r w:rsidR="009357A9">
              <w:rPr>
                <w:noProof/>
                <w:webHidden/>
              </w:rPr>
              <w:t>39</w:t>
            </w:r>
            <w:r w:rsidRPr="00D948C1">
              <w:rPr>
                <w:noProof/>
                <w:webHidden/>
              </w:rPr>
              <w:fldChar w:fldCharType="end"/>
            </w:r>
          </w:hyperlink>
        </w:p>
        <w:p w14:paraId="0E5396E7" w14:textId="631D24CC"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90" w:history="1">
            <w:r w:rsidRPr="00D948C1">
              <w:rPr>
                <w:rStyle w:val="Hyperlink"/>
                <w:noProof/>
              </w:rPr>
              <w:t>6</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Property, Plant &amp; Equipment</w:t>
            </w:r>
            <w:r w:rsidRPr="00D948C1">
              <w:rPr>
                <w:noProof/>
                <w:webHidden/>
              </w:rPr>
              <w:tab/>
            </w:r>
            <w:r w:rsidRPr="00D948C1">
              <w:rPr>
                <w:noProof/>
                <w:webHidden/>
              </w:rPr>
              <w:fldChar w:fldCharType="begin"/>
            </w:r>
            <w:r w:rsidRPr="00D948C1">
              <w:rPr>
                <w:noProof/>
                <w:webHidden/>
              </w:rPr>
              <w:instrText xml:space="preserve"> PAGEREF _Toc171068790 \h </w:instrText>
            </w:r>
            <w:r w:rsidRPr="00D948C1">
              <w:rPr>
                <w:noProof/>
                <w:webHidden/>
              </w:rPr>
            </w:r>
            <w:r w:rsidRPr="00D948C1">
              <w:rPr>
                <w:noProof/>
                <w:webHidden/>
              </w:rPr>
              <w:fldChar w:fldCharType="separate"/>
            </w:r>
            <w:r w:rsidR="009357A9">
              <w:rPr>
                <w:noProof/>
                <w:webHidden/>
              </w:rPr>
              <w:t>40</w:t>
            </w:r>
            <w:r w:rsidRPr="00D948C1">
              <w:rPr>
                <w:noProof/>
                <w:webHidden/>
              </w:rPr>
              <w:fldChar w:fldCharType="end"/>
            </w:r>
          </w:hyperlink>
        </w:p>
        <w:p w14:paraId="37D0E114" w14:textId="20BB1782"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91" w:history="1">
            <w:r w:rsidRPr="00D948C1">
              <w:rPr>
                <w:rStyle w:val="Hyperlink"/>
                <w:noProof/>
              </w:rPr>
              <w:t>7</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Intangible Assets</w:t>
            </w:r>
            <w:r w:rsidRPr="00D948C1">
              <w:rPr>
                <w:noProof/>
                <w:webHidden/>
              </w:rPr>
              <w:tab/>
            </w:r>
            <w:r w:rsidRPr="00D948C1">
              <w:rPr>
                <w:noProof/>
                <w:webHidden/>
              </w:rPr>
              <w:fldChar w:fldCharType="begin"/>
            </w:r>
            <w:r w:rsidRPr="00D948C1">
              <w:rPr>
                <w:noProof/>
                <w:webHidden/>
              </w:rPr>
              <w:instrText xml:space="preserve"> PAGEREF _Toc171068791 \h </w:instrText>
            </w:r>
            <w:r w:rsidRPr="00D948C1">
              <w:rPr>
                <w:noProof/>
                <w:webHidden/>
              </w:rPr>
            </w:r>
            <w:r w:rsidRPr="00D948C1">
              <w:rPr>
                <w:noProof/>
                <w:webHidden/>
              </w:rPr>
              <w:fldChar w:fldCharType="separate"/>
            </w:r>
            <w:r w:rsidR="009357A9">
              <w:rPr>
                <w:noProof/>
                <w:webHidden/>
              </w:rPr>
              <w:t>43</w:t>
            </w:r>
            <w:r w:rsidRPr="00D948C1">
              <w:rPr>
                <w:noProof/>
                <w:webHidden/>
              </w:rPr>
              <w:fldChar w:fldCharType="end"/>
            </w:r>
          </w:hyperlink>
        </w:p>
        <w:p w14:paraId="635788D7" w14:textId="39DA0110"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92" w:history="1">
            <w:r w:rsidRPr="00D948C1">
              <w:rPr>
                <w:rStyle w:val="Hyperlink"/>
                <w:noProof/>
              </w:rPr>
              <w:t>8</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Financial Instruments</w:t>
            </w:r>
            <w:r w:rsidRPr="00D948C1">
              <w:rPr>
                <w:noProof/>
                <w:webHidden/>
              </w:rPr>
              <w:tab/>
            </w:r>
            <w:r w:rsidRPr="00D948C1">
              <w:rPr>
                <w:noProof/>
                <w:webHidden/>
              </w:rPr>
              <w:fldChar w:fldCharType="begin"/>
            </w:r>
            <w:r w:rsidRPr="00D948C1">
              <w:rPr>
                <w:noProof/>
                <w:webHidden/>
              </w:rPr>
              <w:instrText xml:space="preserve"> PAGEREF _Toc171068792 \h </w:instrText>
            </w:r>
            <w:r w:rsidRPr="00D948C1">
              <w:rPr>
                <w:noProof/>
                <w:webHidden/>
              </w:rPr>
            </w:r>
            <w:r w:rsidRPr="00D948C1">
              <w:rPr>
                <w:noProof/>
                <w:webHidden/>
              </w:rPr>
              <w:fldChar w:fldCharType="separate"/>
            </w:r>
            <w:r w:rsidR="009357A9">
              <w:rPr>
                <w:noProof/>
                <w:webHidden/>
              </w:rPr>
              <w:t>44</w:t>
            </w:r>
            <w:r w:rsidRPr="00D948C1">
              <w:rPr>
                <w:noProof/>
                <w:webHidden/>
              </w:rPr>
              <w:fldChar w:fldCharType="end"/>
            </w:r>
          </w:hyperlink>
        </w:p>
        <w:p w14:paraId="3029925F" w14:textId="4E39E3A3" w:rsidR="004D6C26" w:rsidRPr="00D948C1" w:rsidRDefault="004D6C26">
          <w:pPr>
            <w:pStyle w:val="TOC2"/>
            <w:tabs>
              <w:tab w:val="left" w:pos="720"/>
              <w:tab w:val="right" w:leader="dot" w:pos="9017"/>
            </w:tabs>
            <w:rPr>
              <w:rFonts w:asciiTheme="minorHAnsi" w:eastAsiaTheme="minorEastAsia" w:hAnsiTheme="minorHAnsi" w:cstheme="minorBidi"/>
              <w:noProof/>
              <w:kern w:val="2"/>
              <w:szCs w:val="24"/>
              <w:lang w:eastAsia="en-GB"/>
              <w14:ligatures w14:val="standardContextual"/>
            </w:rPr>
          </w:pPr>
          <w:hyperlink w:anchor="_Toc171068793" w:history="1">
            <w:r w:rsidRPr="00D948C1">
              <w:rPr>
                <w:rStyle w:val="Hyperlink"/>
                <w:noProof/>
              </w:rPr>
              <w:t>9</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Debtors</w:t>
            </w:r>
            <w:r w:rsidRPr="00D948C1">
              <w:rPr>
                <w:noProof/>
                <w:webHidden/>
              </w:rPr>
              <w:tab/>
            </w:r>
            <w:r w:rsidRPr="00D948C1">
              <w:rPr>
                <w:noProof/>
                <w:webHidden/>
              </w:rPr>
              <w:fldChar w:fldCharType="begin"/>
            </w:r>
            <w:r w:rsidRPr="00D948C1">
              <w:rPr>
                <w:noProof/>
                <w:webHidden/>
              </w:rPr>
              <w:instrText xml:space="preserve"> PAGEREF _Toc171068793 \h </w:instrText>
            </w:r>
            <w:r w:rsidRPr="00D948C1">
              <w:rPr>
                <w:noProof/>
                <w:webHidden/>
              </w:rPr>
            </w:r>
            <w:r w:rsidRPr="00D948C1">
              <w:rPr>
                <w:noProof/>
                <w:webHidden/>
              </w:rPr>
              <w:fldChar w:fldCharType="separate"/>
            </w:r>
            <w:r w:rsidR="009357A9">
              <w:rPr>
                <w:noProof/>
                <w:webHidden/>
              </w:rPr>
              <w:t>46</w:t>
            </w:r>
            <w:r w:rsidRPr="00D948C1">
              <w:rPr>
                <w:noProof/>
                <w:webHidden/>
              </w:rPr>
              <w:fldChar w:fldCharType="end"/>
            </w:r>
          </w:hyperlink>
        </w:p>
        <w:p w14:paraId="45E1206D" w14:textId="0516F1CC"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4" w:history="1">
            <w:r w:rsidRPr="00D948C1">
              <w:rPr>
                <w:rStyle w:val="Hyperlink"/>
                <w:noProof/>
              </w:rPr>
              <w:t>10</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Cash &amp; Cash Equivalents</w:t>
            </w:r>
            <w:r w:rsidRPr="00D948C1">
              <w:rPr>
                <w:noProof/>
                <w:webHidden/>
              </w:rPr>
              <w:tab/>
            </w:r>
            <w:r w:rsidRPr="00D948C1">
              <w:rPr>
                <w:noProof/>
                <w:webHidden/>
              </w:rPr>
              <w:fldChar w:fldCharType="begin"/>
            </w:r>
            <w:r w:rsidRPr="00D948C1">
              <w:rPr>
                <w:noProof/>
                <w:webHidden/>
              </w:rPr>
              <w:instrText xml:space="preserve"> PAGEREF _Toc171068794 \h </w:instrText>
            </w:r>
            <w:r w:rsidRPr="00D948C1">
              <w:rPr>
                <w:noProof/>
                <w:webHidden/>
              </w:rPr>
            </w:r>
            <w:r w:rsidRPr="00D948C1">
              <w:rPr>
                <w:noProof/>
                <w:webHidden/>
              </w:rPr>
              <w:fldChar w:fldCharType="separate"/>
            </w:r>
            <w:r w:rsidR="009357A9">
              <w:rPr>
                <w:noProof/>
                <w:webHidden/>
              </w:rPr>
              <w:t>46</w:t>
            </w:r>
            <w:r w:rsidRPr="00D948C1">
              <w:rPr>
                <w:noProof/>
                <w:webHidden/>
              </w:rPr>
              <w:fldChar w:fldCharType="end"/>
            </w:r>
          </w:hyperlink>
        </w:p>
        <w:p w14:paraId="68A5CE3C" w14:textId="23296041"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5" w:history="1">
            <w:r w:rsidRPr="00D948C1">
              <w:rPr>
                <w:rStyle w:val="Hyperlink"/>
                <w:noProof/>
              </w:rPr>
              <w:t>11</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Creditors</w:t>
            </w:r>
            <w:r w:rsidRPr="00D948C1">
              <w:rPr>
                <w:noProof/>
                <w:webHidden/>
              </w:rPr>
              <w:tab/>
            </w:r>
            <w:r w:rsidRPr="00D948C1">
              <w:rPr>
                <w:noProof/>
                <w:webHidden/>
              </w:rPr>
              <w:fldChar w:fldCharType="begin"/>
            </w:r>
            <w:r w:rsidRPr="00D948C1">
              <w:rPr>
                <w:noProof/>
                <w:webHidden/>
              </w:rPr>
              <w:instrText xml:space="preserve"> PAGEREF _Toc171068795 \h </w:instrText>
            </w:r>
            <w:r w:rsidRPr="00D948C1">
              <w:rPr>
                <w:noProof/>
                <w:webHidden/>
              </w:rPr>
            </w:r>
            <w:r w:rsidRPr="00D948C1">
              <w:rPr>
                <w:noProof/>
                <w:webHidden/>
              </w:rPr>
              <w:fldChar w:fldCharType="separate"/>
            </w:r>
            <w:r w:rsidR="009357A9">
              <w:rPr>
                <w:noProof/>
                <w:webHidden/>
              </w:rPr>
              <w:t>47</w:t>
            </w:r>
            <w:r w:rsidRPr="00D948C1">
              <w:rPr>
                <w:noProof/>
                <w:webHidden/>
              </w:rPr>
              <w:fldChar w:fldCharType="end"/>
            </w:r>
          </w:hyperlink>
        </w:p>
        <w:p w14:paraId="3BE5CF6E" w14:textId="107618B8"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6" w:history="1">
            <w:r w:rsidRPr="00D948C1">
              <w:rPr>
                <w:rStyle w:val="Hyperlink"/>
                <w:noProof/>
              </w:rPr>
              <w:t>12</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Provisions</w:t>
            </w:r>
            <w:r w:rsidRPr="00D948C1">
              <w:rPr>
                <w:noProof/>
                <w:webHidden/>
              </w:rPr>
              <w:tab/>
            </w:r>
            <w:r w:rsidRPr="00D948C1">
              <w:rPr>
                <w:noProof/>
                <w:webHidden/>
              </w:rPr>
              <w:fldChar w:fldCharType="begin"/>
            </w:r>
            <w:r w:rsidRPr="00D948C1">
              <w:rPr>
                <w:noProof/>
                <w:webHidden/>
              </w:rPr>
              <w:instrText xml:space="preserve"> PAGEREF _Toc171068796 \h </w:instrText>
            </w:r>
            <w:r w:rsidRPr="00D948C1">
              <w:rPr>
                <w:noProof/>
                <w:webHidden/>
              </w:rPr>
            </w:r>
            <w:r w:rsidRPr="00D948C1">
              <w:rPr>
                <w:noProof/>
                <w:webHidden/>
              </w:rPr>
              <w:fldChar w:fldCharType="separate"/>
            </w:r>
            <w:r w:rsidR="009357A9">
              <w:rPr>
                <w:noProof/>
                <w:webHidden/>
              </w:rPr>
              <w:t>47</w:t>
            </w:r>
            <w:r w:rsidRPr="00D948C1">
              <w:rPr>
                <w:noProof/>
                <w:webHidden/>
              </w:rPr>
              <w:fldChar w:fldCharType="end"/>
            </w:r>
          </w:hyperlink>
        </w:p>
        <w:p w14:paraId="7A537D8F" w14:textId="765EAF2B"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7" w:history="1">
            <w:r w:rsidRPr="00D948C1">
              <w:rPr>
                <w:rStyle w:val="Hyperlink"/>
                <w:noProof/>
              </w:rPr>
              <w:t>13</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Other Long-Term Liabilities</w:t>
            </w:r>
            <w:r w:rsidRPr="00D948C1">
              <w:rPr>
                <w:noProof/>
                <w:webHidden/>
              </w:rPr>
              <w:tab/>
            </w:r>
            <w:r w:rsidRPr="00D948C1">
              <w:rPr>
                <w:noProof/>
                <w:webHidden/>
              </w:rPr>
              <w:fldChar w:fldCharType="begin"/>
            </w:r>
            <w:r w:rsidRPr="00D948C1">
              <w:rPr>
                <w:noProof/>
                <w:webHidden/>
              </w:rPr>
              <w:instrText xml:space="preserve"> PAGEREF _Toc171068797 \h </w:instrText>
            </w:r>
            <w:r w:rsidRPr="00D948C1">
              <w:rPr>
                <w:noProof/>
                <w:webHidden/>
              </w:rPr>
            </w:r>
            <w:r w:rsidRPr="00D948C1">
              <w:rPr>
                <w:noProof/>
                <w:webHidden/>
              </w:rPr>
              <w:fldChar w:fldCharType="separate"/>
            </w:r>
            <w:r w:rsidR="009357A9">
              <w:rPr>
                <w:noProof/>
                <w:webHidden/>
              </w:rPr>
              <w:t>47</w:t>
            </w:r>
            <w:r w:rsidRPr="00D948C1">
              <w:rPr>
                <w:noProof/>
                <w:webHidden/>
              </w:rPr>
              <w:fldChar w:fldCharType="end"/>
            </w:r>
          </w:hyperlink>
        </w:p>
        <w:p w14:paraId="7004C58A" w14:textId="38F50DC9"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8" w:history="1">
            <w:r w:rsidRPr="00D948C1">
              <w:rPr>
                <w:rStyle w:val="Hyperlink"/>
                <w:noProof/>
              </w:rPr>
              <w:t>14</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PFI Schemes</w:t>
            </w:r>
            <w:r w:rsidRPr="00D948C1">
              <w:rPr>
                <w:noProof/>
                <w:webHidden/>
              </w:rPr>
              <w:tab/>
            </w:r>
            <w:r w:rsidRPr="00D948C1">
              <w:rPr>
                <w:noProof/>
                <w:webHidden/>
              </w:rPr>
              <w:fldChar w:fldCharType="begin"/>
            </w:r>
            <w:r w:rsidRPr="00D948C1">
              <w:rPr>
                <w:noProof/>
                <w:webHidden/>
              </w:rPr>
              <w:instrText xml:space="preserve"> PAGEREF _Toc171068798 \h </w:instrText>
            </w:r>
            <w:r w:rsidRPr="00D948C1">
              <w:rPr>
                <w:noProof/>
                <w:webHidden/>
              </w:rPr>
            </w:r>
            <w:r w:rsidRPr="00D948C1">
              <w:rPr>
                <w:noProof/>
                <w:webHidden/>
              </w:rPr>
              <w:fldChar w:fldCharType="separate"/>
            </w:r>
            <w:r w:rsidR="009357A9">
              <w:rPr>
                <w:noProof/>
                <w:webHidden/>
              </w:rPr>
              <w:t>48</w:t>
            </w:r>
            <w:r w:rsidRPr="00D948C1">
              <w:rPr>
                <w:noProof/>
                <w:webHidden/>
              </w:rPr>
              <w:fldChar w:fldCharType="end"/>
            </w:r>
          </w:hyperlink>
        </w:p>
        <w:p w14:paraId="021B433C" w14:textId="2DFC54BA"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799" w:history="1">
            <w:r w:rsidRPr="00D948C1">
              <w:rPr>
                <w:rStyle w:val="Hyperlink"/>
                <w:noProof/>
              </w:rPr>
              <w:t>15</w:t>
            </w:r>
            <w:r w:rsidRPr="00D948C1">
              <w:rPr>
                <w:rFonts w:asciiTheme="minorHAnsi" w:eastAsiaTheme="minorEastAsia" w:hAnsiTheme="minorHAnsi" w:cstheme="minorBidi"/>
                <w:noProof/>
                <w:kern w:val="2"/>
                <w:szCs w:val="24"/>
                <w:lang w:eastAsia="en-GB"/>
                <w14:ligatures w14:val="standardContextual"/>
              </w:rPr>
              <w:tab/>
              <w:t>L</w:t>
            </w:r>
            <w:r w:rsidRPr="00D948C1">
              <w:rPr>
                <w:rStyle w:val="Hyperlink"/>
                <w:noProof/>
              </w:rPr>
              <w:t>ocal Government and Firefighters</w:t>
            </w:r>
            <w:r w:rsidRPr="00D948C1">
              <w:rPr>
                <w:rStyle w:val="Hyperlink"/>
                <w:rFonts w:hint="eastAsia"/>
                <w:noProof/>
              </w:rPr>
              <w:t>’</w:t>
            </w:r>
            <w:r w:rsidRPr="00D948C1">
              <w:rPr>
                <w:rStyle w:val="Hyperlink"/>
                <w:noProof/>
              </w:rPr>
              <w:t xml:space="preserve"> Pensions Schemes</w:t>
            </w:r>
            <w:r w:rsidRPr="00D948C1">
              <w:rPr>
                <w:noProof/>
                <w:webHidden/>
              </w:rPr>
              <w:tab/>
            </w:r>
            <w:r w:rsidRPr="00D948C1">
              <w:rPr>
                <w:noProof/>
                <w:webHidden/>
              </w:rPr>
              <w:fldChar w:fldCharType="begin"/>
            </w:r>
            <w:r w:rsidRPr="00D948C1">
              <w:rPr>
                <w:noProof/>
                <w:webHidden/>
              </w:rPr>
              <w:instrText xml:space="preserve"> PAGEREF _Toc171068799 \h </w:instrText>
            </w:r>
            <w:r w:rsidRPr="00D948C1">
              <w:rPr>
                <w:noProof/>
                <w:webHidden/>
              </w:rPr>
            </w:r>
            <w:r w:rsidRPr="00D948C1">
              <w:rPr>
                <w:noProof/>
                <w:webHidden/>
              </w:rPr>
              <w:fldChar w:fldCharType="separate"/>
            </w:r>
            <w:r w:rsidR="009357A9">
              <w:rPr>
                <w:noProof/>
                <w:webHidden/>
              </w:rPr>
              <w:t>49</w:t>
            </w:r>
            <w:r w:rsidRPr="00D948C1">
              <w:rPr>
                <w:noProof/>
                <w:webHidden/>
              </w:rPr>
              <w:fldChar w:fldCharType="end"/>
            </w:r>
          </w:hyperlink>
        </w:p>
        <w:p w14:paraId="6AEF1143" w14:textId="159995A8"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0" w:history="1">
            <w:r w:rsidRPr="00D948C1">
              <w:rPr>
                <w:rStyle w:val="Hyperlink"/>
                <w:noProof/>
              </w:rPr>
              <w:t>16</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Usable Reserves</w:t>
            </w:r>
            <w:r w:rsidRPr="00D948C1">
              <w:rPr>
                <w:noProof/>
                <w:webHidden/>
              </w:rPr>
              <w:tab/>
            </w:r>
            <w:r w:rsidRPr="00D948C1">
              <w:rPr>
                <w:noProof/>
                <w:webHidden/>
              </w:rPr>
              <w:fldChar w:fldCharType="begin"/>
            </w:r>
            <w:r w:rsidRPr="00D948C1">
              <w:rPr>
                <w:noProof/>
                <w:webHidden/>
              </w:rPr>
              <w:instrText xml:space="preserve"> PAGEREF _Toc171068800 \h </w:instrText>
            </w:r>
            <w:r w:rsidRPr="00D948C1">
              <w:rPr>
                <w:noProof/>
                <w:webHidden/>
              </w:rPr>
            </w:r>
            <w:r w:rsidRPr="00D948C1">
              <w:rPr>
                <w:noProof/>
                <w:webHidden/>
              </w:rPr>
              <w:fldChar w:fldCharType="separate"/>
            </w:r>
            <w:r w:rsidR="009357A9">
              <w:rPr>
                <w:noProof/>
                <w:webHidden/>
              </w:rPr>
              <w:t>55</w:t>
            </w:r>
            <w:r w:rsidRPr="00D948C1">
              <w:rPr>
                <w:noProof/>
                <w:webHidden/>
              </w:rPr>
              <w:fldChar w:fldCharType="end"/>
            </w:r>
          </w:hyperlink>
        </w:p>
        <w:p w14:paraId="70762795" w14:textId="1AD9487A"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1" w:history="1">
            <w:r w:rsidRPr="00D948C1">
              <w:rPr>
                <w:rStyle w:val="Hyperlink"/>
                <w:noProof/>
              </w:rPr>
              <w:t>17</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Transfers (to)/from Earmarked Reserves</w:t>
            </w:r>
            <w:r w:rsidRPr="00D948C1">
              <w:rPr>
                <w:noProof/>
                <w:webHidden/>
              </w:rPr>
              <w:tab/>
            </w:r>
            <w:r w:rsidRPr="00D948C1">
              <w:rPr>
                <w:noProof/>
                <w:webHidden/>
              </w:rPr>
              <w:fldChar w:fldCharType="begin"/>
            </w:r>
            <w:r w:rsidRPr="00D948C1">
              <w:rPr>
                <w:noProof/>
                <w:webHidden/>
              </w:rPr>
              <w:instrText xml:space="preserve"> PAGEREF _Toc171068801 \h </w:instrText>
            </w:r>
            <w:r w:rsidRPr="00D948C1">
              <w:rPr>
                <w:noProof/>
                <w:webHidden/>
              </w:rPr>
            </w:r>
            <w:r w:rsidRPr="00D948C1">
              <w:rPr>
                <w:noProof/>
                <w:webHidden/>
              </w:rPr>
              <w:fldChar w:fldCharType="separate"/>
            </w:r>
            <w:r w:rsidR="009357A9">
              <w:rPr>
                <w:noProof/>
                <w:webHidden/>
              </w:rPr>
              <w:t>56</w:t>
            </w:r>
            <w:r w:rsidRPr="00D948C1">
              <w:rPr>
                <w:noProof/>
                <w:webHidden/>
              </w:rPr>
              <w:fldChar w:fldCharType="end"/>
            </w:r>
          </w:hyperlink>
        </w:p>
        <w:p w14:paraId="7FD973CA" w14:textId="4A13455F"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2" w:history="1">
            <w:r w:rsidRPr="00D948C1">
              <w:rPr>
                <w:rStyle w:val="Hyperlink"/>
                <w:noProof/>
              </w:rPr>
              <w:t>18</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Unusable Reserves</w:t>
            </w:r>
            <w:r w:rsidRPr="00D948C1">
              <w:rPr>
                <w:noProof/>
                <w:webHidden/>
              </w:rPr>
              <w:tab/>
            </w:r>
            <w:r w:rsidRPr="00D948C1">
              <w:rPr>
                <w:noProof/>
                <w:webHidden/>
              </w:rPr>
              <w:fldChar w:fldCharType="begin"/>
            </w:r>
            <w:r w:rsidRPr="00D948C1">
              <w:rPr>
                <w:noProof/>
                <w:webHidden/>
              </w:rPr>
              <w:instrText xml:space="preserve"> PAGEREF _Toc171068802 \h </w:instrText>
            </w:r>
            <w:r w:rsidRPr="00D948C1">
              <w:rPr>
                <w:noProof/>
                <w:webHidden/>
              </w:rPr>
            </w:r>
            <w:r w:rsidRPr="00D948C1">
              <w:rPr>
                <w:noProof/>
                <w:webHidden/>
              </w:rPr>
              <w:fldChar w:fldCharType="separate"/>
            </w:r>
            <w:r w:rsidR="009357A9">
              <w:rPr>
                <w:noProof/>
                <w:webHidden/>
              </w:rPr>
              <w:t>57</w:t>
            </w:r>
            <w:r w:rsidRPr="00D948C1">
              <w:rPr>
                <w:noProof/>
                <w:webHidden/>
              </w:rPr>
              <w:fldChar w:fldCharType="end"/>
            </w:r>
          </w:hyperlink>
        </w:p>
        <w:p w14:paraId="543C058A" w14:textId="551CB253"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3" w:history="1">
            <w:r w:rsidRPr="00D948C1">
              <w:rPr>
                <w:rStyle w:val="Hyperlink"/>
                <w:noProof/>
              </w:rPr>
              <w:t>19</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Contingent Liability</w:t>
            </w:r>
            <w:r w:rsidRPr="00D948C1">
              <w:rPr>
                <w:noProof/>
                <w:webHidden/>
              </w:rPr>
              <w:tab/>
            </w:r>
            <w:r w:rsidRPr="00D948C1">
              <w:rPr>
                <w:noProof/>
                <w:webHidden/>
              </w:rPr>
              <w:fldChar w:fldCharType="begin"/>
            </w:r>
            <w:r w:rsidRPr="00D948C1">
              <w:rPr>
                <w:noProof/>
                <w:webHidden/>
              </w:rPr>
              <w:instrText xml:space="preserve"> PAGEREF _Toc171068803 \h </w:instrText>
            </w:r>
            <w:r w:rsidRPr="00D948C1">
              <w:rPr>
                <w:noProof/>
                <w:webHidden/>
              </w:rPr>
            </w:r>
            <w:r w:rsidRPr="00D948C1">
              <w:rPr>
                <w:noProof/>
                <w:webHidden/>
              </w:rPr>
              <w:fldChar w:fldCharType="separate"/>
            </w:r>
            <w:r w:rsidR="009357A9">
              <w:rPr>
                <w:noProof/>
                <w:webHidden/>
              </w:rPr>
              <w:t>60</w:t>
            </w:r>
            <w:r w:rsidRPr="00D948C1">
              <w:rPr>
                <w:noProof/>
                <w:webHidden/>
              </w:rPr>
              <w:fldChar w:fldCharType="end"/>
            </w:r>
          </w:hyperlink>
        </w:p>
        <w:p w14:paraId="1DAD7466" w14:textId="094ED93A"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4" w:history="1">
            <w:r w:rsidRPr="00D948C1">
              <w:rPr>
                <w:rStyle w:val="Hyperlink"/>
                <w:noProof/>
              </w:rPr>
              <w:t>20</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Post Balance Sheet Events</w:t>
            </w:r>
            <w:r w:rsidRPr="00D948C1">
              <w:rPr>
                <w:noProof/>
                <w:webHidden/>
              </w:rPr>
              <w:tab/>
            </w:r>
            <w:r w:rsidRPr="00D948C1">
              <w:rPr>
                <w:noProof/>
                <w:webHidden/>
              </w:rPr>
              <w:fldChar w:fldCharType="begin"/>
            </w:r>
            <w:r w:rsidRPr="00D948C1">
              <w:rPr>
                <w:noProof/>
                <w:webHidden/>
              </w:rPr>
              <w:instrText xml:space="preserve"> PAGEREF _Toc171068804 \h </w:instrText>
            </w:r>
            <w:r w:rsidRPr="00D948C1">
              <w:rPr>
                <w:noProof/>
                <w:webHidden/>
              </w:rPr>
            </w:r>
            <w:r w:rsidRPr="00D948C1">
              <w:rPr>
                <w:noProof/>
                <w:webHidden/>
              </w:rPr>
              <w:fldChar w:fldCharType="separate"/>
            </w:r>
            <w:r w:rsidR="009357A9">
              <w:rPr>
                <w:noProof/>
                <w:webHidden/>
              </w:rPr>
              <w:t>60</w:t>
            </w:r>
            <w:r w:rsidRPr="00D948C1">
              <w:rPr>
                <w:noProof/>
                <w:webHidden/>
              </w:rPr>
              <w:fldChar w:fldCharType="end"/>
            </w:r>
          </w:hyperlink>
        </w:p>
        <w:p w14:paraId="22572ACC" w14:textId="0CDF0A63"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5" w:history="1">
            <w:r w:rsidRPr="00D948C1">
              <w:rPr>
                <w:rStyle w:val="Hyperlink"/>
                <w:noProof/>
              </w:rPr>
              <w:t>21</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Nature and Extent of Risks Arising from Financial Instruments</w:t>
            </w:r>
            <w:r w:rsidRPr="00D948C1">
              <w:rPr>
                <w:noProof/>
                <w:webHidden/>
              </w:rPr>
              <w:tab/>
            </w:r>
            <w:r w:rsidRPr="00D948C1">
              <w:rPr>
                <w:noProof/>
                <w:webHidden/>
              </w:rPr>
              <w:fldChar w:fldCharType="begin"/>
            </w:r>
            <w:r w:rsidRPr="00D948C1">
              <w:rPr>
                <w:noProof/>
                <w:webHidden/>
              </w:rPr>
              <w:instrText xml:space="preserve"> PAGEREF _Toc171068805 \h </w:instrText>
            </w:r>
            <w:r w:rsidRPr="00D948C1">
              <w:rPr>
                <w:noProof/>
                <w:webHidden/>
              </w:rPr>
            </w:r>
            <w:r w:rsidRPr="00D948C1">
              <w:rPr>
                <w:noProof/>
                <w:webHidden/>
              </w:rPr>
              <w:fldChar w:fldCharType="separate"/>
            </w:r>
            <w:r w:rsidR="009357A9">
              <w:rPr>
                <w:noProof/>
                <w:webHidden/>
              </w:rPr>
              <w:t>60</w:t>
            </w:r>
            <w:r w:rsidRPr="00D948C1">
              <w:rPr>
                <w:noProof/>
                <w:webHidden/>
              </w:rPr>
              <w:fldChar w:fldCharType="end"/>
            </w:r>
          </w:hyperlink>
        </w:p>
        <w:p w14:paraId="0511A15D" w14:textId="4493CFA1"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6" w:history="1">
            <w:r w:rsidRPr="00D948C1">
              <w:rPr>
                <w:rStyle w:val="Hyperlink"/>
                <w:noProof/>
                <w:lang w:val="en-US"/>
              </w:rPr>
              <w:t>22</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lang w:val="en-US"/>
              </w:rPr>
              <w:t xml:space="preserve">Local Authority Controlled Company </w:t>
            </w:r>
            <w:r w:rsidRPr="00D948C1">
              <w:rPr>
                <w:rStyle w:val="Hyperlink"/>
                <w:rFonts w:hint="eastAsia"/>
                <w:noProof/>
                <w:lang w:val="en-US"/>
              </w:rPr>
              <w:t>–</w:t>
            </w:r>
            <w:r w:rsidRPr="00D948C1">
              <w:rPr>
                <w:rStyle w:val="Hyperlink"/>
                <w:noProof/>
                <w:lang w:val="en-US"/>
              </w:rPr>
              <w:t xml:space="preserve"> NW FireControl Limited</w:t>
            </w:r>
            <w:r w:rsidRPr="00D948C1">
              <w:rPr>
                <w:noProof/>
                <w:webHidden/>
              </w:rPr>
              <w:tab/>
            </w:r>
            <w:r w:rsidRPr="00D948C1">
              <w:rPr>
                <w:noProof/>
                <w:webHidden/>
              </w:rPr>
              <w:fldChar w:fldCharType="begin"/>
            </w:r>
            <w:r w:rsidRPr="00D948C1">
              <w:rPr>
                <w:noProof/>
                <w:webHidden/>
              </w:rPr>
              <w:instrText xml:space="preserve"> PAGEREF _Toc171068806 \h </w:instrText>
            </w:r>
            <w:r w:rsidRPr="00D948C1">
              <w:rPr>
                <w:noProof/>
                <w:webHidden/>
              </w:rPr>
            </w:r>
            <w:r w:rsidRPr="00D948C1">
              <w:rPr>
                <w:noProof/>
                <w:webHidden/>
              </w:rPr>
              <w:fldChar w:fldCharType="separate"/>
            </w:r>
            <w:r w:rsidR="009357A9">
              <w:rPr>
                <w:noProof/>
                <w:webHidden/>
              </w:rPr>
              <w:t>62</w:t>
            </w:r>
            <w:r w:rsidRPr="00D948C1">
              <w:rPr>
                <w:noProof/>
                <w:webHidden/>
              </w:rPr>
              <w:fldChar w:fldCharType="end"/>
            </w:r>
          </w:hyperlink>
        </w:p>
        <w:p w14:paraId="10682AAE" w14:textId="5EACD3DE"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7" w:history="1">
            <w:r w:rsidRPr="00D948C1">
              <w:rPr>
                <w:rStyle w:val="Hyperlink"/>
                <w:noProof/>
              </w:rPr>
              <w:t>23</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Adjust net surplus/(deficit) on the provision of services for non-cash movements</w:t>
            </w:r>
            <w:r w:rsidRPr="00D948C1">
              <w:rPr>
                <w:noProof/>
                <w:webHidden/>
              </w:rPr>
              <w:tab/>
            </w:r>
            <w:r w:rsidRPr="00D948C1">
              <w:rPr>
                <w:noProof/>
                <w:webHidden/>
              </w:rPr>
              <w:fldChar w:fldCharType="begin"/>
            </w:r>
            <w:r w:rsidRPr="00D948C1">
              <w:rPr>
                <w:noProof/>
                <w:webHidden/>
              </w:rPr>
              <w:instrText xml:space="preserve"> PAGEREF _Toc171068807 \h </w:instrText>
            </w:r>
            <w:r w:rsidRPr="00D948C1">
              <w:rPr>
                <w:noProof/>
                <w:webHidden/>
              </w:rPr>
            </w:r>
            <w:r w:rsidRPr="00D948C1">
              <w:rPr>
                <w:noProof/>
                <w:webHidden/>
              </w:rPr>
              <w:fldChar w:fldCharType="separate"/>
            </w:r>
            <w:r w:rsidR="009357A9">
              <w:rPr>
                <w:noProof/>
                <w:webHidden/>
              </w:rPr>
              <w:t>63</w:t>
            </w:r>
            <w:r w:rsidRPr="00D948C1">
              <w:rPr>
                <w:noProof/>
                <w:webHidden/>
              </w:rPr>
              <w:fldChar w:fldCharType="end"/>
            </w:r>
          </w:hyperlink>
        </w:p>
        <w:p w14:paraId="073A0A0A" w14:textId="2D5FE2FF"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8" w:history="1">
            <w:r w:rsidRPr="00D948C1">
              <w:rPr>
                <w:rStyle w:val="Hyperlink"/>
                <w:noProof/>
              </w:rPr>
              <w:t>24</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Adjust for items included in the net surplus/(deficit) on the provision of services that are investing and financing activities</w:t>
            </w:r>
            <w:r w:rsidRPr="00D948C1">
              <w:rPr>
                <w:noProof/>
                <w:webHidden/>
              </w:rPr>
              <w:tab/>
            </w:r>
            <w:r w:rsidRPr="00D948C1">
              <w:rPr>
                <w:noProof/>
                <w:webHidden/>
              </w:rPr>
              <w:fldChar w:fldCharType="begin"/>
            </w:r>
            <w:r w:rsidRPr="00D948C1">
              <w:rPr>
                <w:noProof/>
                <w:webHidden/>
              </w:rPr>
              <w:instrText xml:space="preserve"> PAGEREF _Toc171068808 \h </w:instrText>
            </w:r>
            <w:r w:rsidRPr="00D948C1">
              <w:rPr>
                <w:noProof/>
                <w:webHidden/>
              </w:rPr>
            </w:r>
            <w:r w:rsidRPr="00D948C1">
              <w:rPr>
                <w:noProof/>
                <w:webHidden/>
              </w:rPr>
              <w:fldChar w:fldCharType="separate"/>
            </w:r>
            <w:r w:rsidR="009357A9">
              <w:rPr>
                <w:noProof/>
                <w:webHidden/>
              </w:rPr>
              <w:t>64</w:t>
            </w:r>
            <w:r w:rsidRPr="00D948C1">
              <w:rPr>
                <w:noProof/>
                <w:webHidden/>
              </w:rPr>
              <w:fldChar w:fldCharType="end"/>
            </w:r>
          </w:hyperlink>
        </w:p>
        <w:p w14:paraId="589FD748" w14:textId="1995D757"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09" w:history="1">
            <w:r w:rsidRPr="00D948C1">
              <w:rPr>
                <w:rStyle w:val="Hyperlink"/>
                <w:noProof/>
              </w:rPr>
              <w:t>25</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Reconciliation of liabilities arising from financing activities</w:t>
            </w:r>
            <w:r w:rsidRPr="00D948C1">
              <w:rPr>
                <w:noProof/>
                <w:webHidden/>
              </w:rPr>
              <w:tab/>
            </w:r>
            <w:r w:rsidRPr="00D948C1">
              <w:rPr>
                <w:noProof/>
                <w:webHidden/>
              </w:rPr>
              <w:fldChar w:fldCharType="begin"/>
            </w:r>
            <w:r w:rsidRPr="00D948C1">
              <w:rPr>
                <w:noProof/>
                <w:webHidden/>
              </w:rPr>
              <w:instrText xml:space="preserve"> PAGEREF _Toc171068809 \h </w:instrText>
            </w:r>
            <w:r w:rsidRPr="00D948C1">
              <w:rPr>
                <w:noProof/>
                <w:webHidden/>
              </w:rPr>
            </w:r>
            <w:r w:rsidRPr="00D948C1">
              <w:rPr>
                <w:noProof/>
                <w:webHidden/>
              </w:rPr>
              <w:fldChar w:fldCharType="separate"/>
            </w:r>
            <w:r w:rsidR="009357A9">
              <w:rPr>
                <w:noProof/>
                <w:webHidden/>
              </w:rPr>
              <w:t>64</w:t>
            </w:r>
            <w:r w:rsidRPr="00D948C1">
              <w:rPr>
                <w:noProof/>
                <w:webHidden/>
              </w:rPr>
              <w:fldChar w:fldCharType="end"/>
            </w:r>
          </w:hyperlink>
        </w:p>
        <w:p w14:paraId="0712C119" w14:textId="658AA748"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10" w:history="1">
            <w:r w:rsidRPr="00D948C1">
              <w:rPr>
                <w:rStyle w:val="Hyperlink"/>
                <w:noProof/>
              </w:rPr>
              <w:t>26</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Assumptions made about the future and other major sources of estimation and uncertainty</w:t>
            </w:r>
            <w:r w:rsidRPr="00D948C1">
              <w:rPr>
                <w:noProof/>
                <w:webHidden/>
              </w:rPr>
              <w:tab/>
            </w:r>
            <w:r w:rsidRPr="00D948C1">
              <w:rPr>
                <w:noProof/>
                <w:webHidden/>
              </w:rPr>
              <w:fldChar w:fldCharType="begin"/>
            </w:r>
            <w:r w:rsidRPr="00D948C1">
              <w:rPr>
                <w:noProof/>
                <w:webHidden/>
              </w:rPr>
              <w:instrText xml:space="preserve"> PAGEREF _Toc171068810 \h </w:instrText>
            </w:r>
            <w:r w:rsidRPr="00D948C1">
              <w:rPr>
                <w:noProof/>
                <w:webHidden/>
              </w:rPr>
            </w:r>
            <w:r w:rsidRPr="00D948C1">
              <w:rPr>
                <w:noProof/>
                <w:webHidden/>
              </w:rPr>
              <w:fldChar w:fldCharType="separate"/>
            </w:r>
            <w:r w:rsidR="009357A9">
              <w:rPr>
                <w:noProof/>
                <w:webHidden/>
              </w:rPr>
              <w:t>64</w:t>
            </w:r>
            <w:r w:rsidRPr="00D948C1">
              <w:rPr>
                <w:noProof/>
                <w:webHidden/>
              </w:rPr>
              <w:fldChar w:fldCharType="end"/>
            </w:r>
          </w:hyperlink>
        </w:p>
        <w:p w14:paraId="75868AAF" w14:textId="27064895"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11" w:history="1">
            <w:r w:rsidRPr="00D948C1">
              <w:rPr>
                <w:rStyle w:val="Hyperlink"/>
                <w:noProof/>
              </w:rPr>
              <w:t>27</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Expenditure and Income Analysed by Nature</w:t>
            </w:r>
            <w:r w:rsidRPr="00D948C1">
              <w:rPr>
                <w:noProof/>
                <w:webHidden/>
              </w:rPr>
              <w:tab/>
            </w:r>
            <w:r w:rsidRPr="00D948C1">
              <w:rPr>
                <w:noProof/>
                <w:webHidden/>
              </w:rPr>
              <w:fldChar w:fldCharType="begin"/>
            </w:r>
            <w:r w:rsidRPr="00D948C1">
              <w:rPr>
                <w:noProof/>
                <w:webHidden/>
              </w:rPr>
              <w:instrText xml:space="preserve"> PAGEREF _Toc171068811 \h </w:instrText>
            </w:r>
            <w:r w:rsidRPr="00D948C1">
              <w:rPr>
                <w:noProof/>
                <w:webHidden/>
              </w:rPr>
            </w:r>
            <w:r w:rsidRPr="00D948C1">
              <w:rPr>
                <w:noProof/>
                <w:webHidden/>
              </w:rPr>
              <w:fldChar w:fldCharType="separate"/>
            </w:r>
            <w:r w:rsidR="009357A9">
              <w:rPr>
                <w:noProof/>
                <w:webHidden/>
              </w:rPr>
              <w:t>65</w:t>
            </w:r>
            <w:r w:rsidRPr="00D948C1">
              <w:rPr>
                <w:noProof/>
                <w:webHidden/>
              </w:rPr>
              <w:fldChar w:fldCharType="end"/>
            </w:r>
          </w:hyperlink>
        </w:p>
        <w:p w14:paraId="45835B07" w14:textId="2E67A0A6"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12" w:history="1">
            <w:r w:rsidRPr="00D948C1">
              <w:rPr>
                <w:rStyle w:val="Hyperlink"/>
                <w:noProof/>
              </w:rPr>
              <w:t>28</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Significant Judgements</w:t>
            </w:r>
            <w:r w:rsidRPr="00D948C1">
              <w:rPr>
                <w:noProof/>
                <w:webHidden/>
              </w:rPr>
              <w:tab/>
            </w:r>
            <w:r w:rsidRPr="00D948C1">
              <w:rPr>
                <w:noProof/>
                <w:webHidden/>
              </w:rPr>
              <w:fldChar w:fldCharType="begin"/>
            </w:r>
            <w:r w:rsidRPr="00D948C1">
              <w:rPr>
                <w:noProof/>
                <w:webHidden/>
              </w:rPr>
              <w:instrText xml:space="preserve"> PAGEREF _Toc171068812 \h </w:instrText>
            </w:r>
            <w:r w:rsidRPr="00D948C1">
              <w:rPr>
                <w:noProof/>
                <w:webHidden/>
              </w:rPr>
            </w:r>
            <w:r w:rsidRPr="00D948C1">
              <w:rPr>
                <w:noProof/>
                <w:webHidden/>
              </w:rPr>
              <w:fldChar w:fldCharType="separate"/>
            </w:r>
            <w:r w:rsidR="009357A9">
              <w:rPr>
                <w:noProof/>
                <w:webHidden/>
              </w:rPr>
              <w:t>66</w:t>
            </w:r>
            <w:r w:rsidRPr="00D948C1">
              <w:rPr>
                <w:noProof/>
                <w:webHidden/>
              </w:rPr>
              <w:fldChar w:fldCharType="end"/>
            </w:r>
          </w:hyperlink>
        </w:p>
        <w:p w14:paraId="5B47F455" w14:textId="5D56435C" w:rsidR="004D6C26" w:rsidRPr="00D948C1" w:rsidRDefault="004D6C26">
          <w:pPr>
            <w:pStyle w:val="TOC2"/>
            <w:tabs>
              <w:tab w:val="left" w:pos="960"/>
              <w:tab w:val="right" w:leader="dot" w:pos="9017"/>
            </w:tabs>
            <w:rPr>
              <w:rFonts w:asciiTheme="minorHAnsi" w:eastAsiaTheme="minorEastAsia" w:hAnsiTheme="minorHAnsi" w:cstheme="minorBidi"/>
              <w:noProof/>
              <w:kern w:val="2"/>
              <w:szCs w:val="24"/>
              <w:lang w:eastAsia="en-GB"/>
              <w14:ligatures w14:val="standardContextual"/>
            </w:rPr>
          </w:pPr>
          <w:hyperlink w:anchor="_Toc171068813" w:history="1">
            <w:r w:rsidRPr="00D948C1">
              <w:rPr>
                <w:rStyle w:val="Hyperlink"/>
                <w:noProof/>
              </w:rPr>
              <w:t>29</w:t>
            </w:r>
            <w:r w:rsidRPr="00D948C1">
              <w:rPr>
                <w:rFonts w:asciiTheme="minorHAnsi" w:eastAsiaTheme="minorEastAsia" w:hAnsiTheme="minorHAnsi" w:cstheme="minorBidi"/>
                <w:noProof/>
                <w:kern w:val="2"/>
                <w:szCs w:val="24"/>
                <w:lang w:eastAsia="en-GB"/>
                <w14:ligatures w14:val="standardContextual"/>
              </w:rPr>
              <w:tab/>
            </w:r>
            <w:r w:rsidRPr="00D948C1">
              <w:rPr>
                <w:rStyle w:val="Hyperlink"/>
                <w:noProof/>
              </w:rPr>
              <w:t>Accounting Policies</w:t>
            </w:r>
            <w:r w:rsidRPr="00D948C1">
              <w:rPr>
                <w:noProof/>
                <w:webHidden/>
              </w:rPr>
              <w:tab/>
            </w:r>
            <w:r w:rsidRPr="00D948C1">
              <w:rPr>
                <w:noProof/>
                <w:webHidden/>
              </w:rPr>
              <w:fldChar w:fldCharType="begin"/>
            </w:r>
            <w:r w:rsidRPr="00D948C1">
              <w:rPr>
                <w:noProof/>
                <w:webHidden/>
              </w:rPr>
              <w:instrText xml:space="preserve"> PAGEREF _Toc171068813 \h </w:instrText>
            </w:r>
            <w:r w:rsidRPr="00D948C1">
              <w:rPr>
                <w:noProof/>
                <w:webHidden/>
              </w:rPr>
            </w:r>
            <w:r w:rsidRPr="00D948C1">
              <w:rPr>
                <w:noProof/>
                <w:webHidden/>
              </w:rPr>
              <w:fldChar w:fldCharType="separate"/>
            </w:r>
            <w:r w:rsidR="009357A9">
              <w:rPr>
                <w:noProof/>
                <w:webHidden/>
              </w:rPr>
              <w:t>66</w:t>
            </w:r>
            <w:r w:rsidRPr="00D948C1">
              <w:rPr>
                <w:noProof/>
                <w:webHidden/>
              </w:rPr>
              <w:fldChar w:fldCharType="end"/>
            </w:r>
          </w:hyperlink>
        </w:p>
        <w:p w14:paraId="72754415" w14:textId="5F60D467"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814" w:history="1">
            <w:r w:rsidRPr="00D948C1">
              <w:rPr>
                <w:rStyle w:val="Hyperlink"/>
                <w:noProof/>
              </w:rPr>
              <w:t>Fire Fighters Pension Fund Account and Net Assets Statement</w:t>
            </w:r>
            <w:r w:rsidRPr="00D948C1">
              <w:rPr>
                <w:noProof/>
                <w:webHidden/>
              </w:rPr>
              <w:tab/>
            </w:r>
            <w:r w:rsidRPr="00D948C1">
              <w:rPr>
                <w:noProof/>
                <w:webHidden/>
              </w:rPr>
              <w:fldChar w:fldCharType="begin"/>
            </w:r>
            <w:r w:rsidRPr="00D948C1">
              <w:rPr>
                <w:noProof/>
                <w:webHidden/>
              </w:rPr>
              <w:instrText xml:space="preserve"> PAGEREF _Toc171068814 \h </w:instrText>
            </w:r>
            <w:r w:rsidRPr="00D948C1">
              <w:rPr>
                <w:noProof/>
                <w:webHidden/>
              </w:rPr>
            </w:r>
            <w:r w:rsidRPr="00D948C1">
              <w:rPr>
                <w:noProof/>
                <w:webHidden/>
              </w:rPr>
              <w:fldChar w:fldCharType="separate"/>
            </w:r>
            <w:r w:rsidR="009357A9">
              <w:rPr>
                <w:noProof/>
                <w:webHidden/>
              </w:rPr>
              <w:t>76</w:t>
            </w:r>
            <w:r w:rsidRPr="00D948C1">
              <w:rPr>
                <w:noProof/>
                <w:webHidden/>
              </w:rPr>
              <w:fldChar w:fldCharType="end"/>
            </w:r>
          </w:hyperlink>
        </w:p>
        <w:p w14:paraId="17C1C65A" w14:textId="36DF7F0F" w:rsidR="004D6C26" w:rsidRPr="00D948C1" w:rsidRDefault="004D6C26">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171068815" w:history="1">
            <w:r w:rsidRPr="00D948C1">
              <w:rPr>
                <w:rStyle w:val="Hyperlink"/>
                <w:noProof/>
              </w:rPr>
              <w:t>Glossary of Terms</w:t>
            </w:r>
            <w:r w:rsidRPr="00D948C1">
              <w:rPr>
                <w:noProof/>
                <w:webHidden/>
              </w:rPr>
              <w:tab/>
            </w:r>
            <w:r w:rsidRPr="00D948C1">
              <w:rPr>
                <w:noProof/>
                <w:webHidden/>
              </w:rPr>
              <w:fldChar w:fldCharType="begin"/>
            </w:r>
            <w:r w:rsidRPr="00D948C1">
              <w:rPr>
                <w:noProof/>
                <w:webHidden/>
              </w:rPr>
              <w:instrText xml:space="preserve"> PAGEREF _Toc171068815 \h </w:instrText>
            </w:r>
            <w:r w:rsidRPr="00D948C1">
              <w:rPr>
                <w:noProof/>
                <w:webHidden/>
              </w:rPr>
            </w:r>
            <w:r w:rsidRPr="00D948C1">
              <w:rPr>
                <w:noProof/>
                <w:webHidden/>
              </w:rPr>
              <w:fldChar w:fldCharType="separate"/>
            </w:r>
            <w:r w:rsidR="009357A9">
              <w:rPr>
                <w:noProof/>
                <w:webHidden/>
              </w:rPr>
              <w:t>78</w:t>
            </w:r>
            <w:r w:rsidRPr="00D948C1">
              <w:rPr>
                <w:noProof/>
                <w:webHidden/>
              </w:rPr>
              <w:fldChar w:fldCharType="end"/>
            </w:r>
          </w:hyperlink>
        </w:p>
        <w:p w14:paraId="0B3D2694" w14:textId="7FE333BF" w:rsidR="002B6814" w:rsidRPr="00D948C1" w:rsidRDefault="005A3C76" w:rsidP="006B4BE1">
          <w:pPr>
            <w:sectPr w:rsidR="002B6814" w:rsidRPr="00D948C1" w:rsidSect="0050229D">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6" w:footer="706" w:gutter="0"/>
              <w:pgNumType w:start="1"/>
              <w:cols w:space="720"/>
              <w:docGrid w:linePitch="326"/>
            </w:sectPr>
          </w:pPr>
          <w:r w:rsidRPr="00D948C1">
            <w:rPr>
              <w:b/>
              <w:bCs/>
              <w:noProof/>
              <w:szCs w:val="24"/>
            </w:rPr>
            <w:fldChar w:fldCharType="end"/>
          </w:r>
        </w:p>
      </w:sdtContent>
    </w:sdt>
    <w:p w14:paraId="10335662" w14:textId="230A968B" w:rsidR="006E6CFF" w:rsidRPr="00D948C1" w:rsidRDefault="003668C6" w:rsidP="006C0086">
      <w:pPr>
        <w:pStyle w:val="Heading1"/>
        <w:spacing w:line="276" w:lineRule="auto"/>
        <w:rPr>
          <w:szCs w:val="24"/>
        </w:rPr>
      </w:pPr>
      <w:bookmarkStart w:id="1" w:name="_Toc171068774"/>
      <w:r w:rsidRPr="00D948C1">
        <w:rPr>
          <w:szCs w:val="24"/>
        </w:rPr>
        <w:lastRenderedPageBreak/>
        <w:t>Narrative Report</w:t>
      </w:r>
      <w:bookmarkEnd w:id="1"/>
    </w:p>
    <w:p w14:paraId="1C85B084" w14:textId="77777777" w:rsidR="006E6CFF" w:rsidRPr="00D948C1" w:rsidRDefault="006E6CFF" w:rsidP="006C0086">
      <w:pPr>
        <w:pStyle w:val="Footer"/>
        <w:tabs>
          <w:tab w:val="clear" w:pos="4153"/>
          <w:tab w:val="clear" w:pos="8306"/>
        </w:tabs>
        <w:spacing w:line="276" w:lineRule="auto"/>
        <w:rPr>
          <w:szCs w:val="24"/>
        </w:rPr>
      </w:pPr>
    </w:p>
    <w:p w14:paraId="4FD1734C" w14:textId="06CAD511" w:rsidR="006E6CFF" w:rsidRPr="00D948C1" w:rsidRDefault="006E6CFF" w:rsidP="006C0086">
      <w:pPr>
        <w:spacing w:line="276" w:lineRule="auto"/>
        <w:rPr>
          <w:szCs w:val="24"/>
        </w:rPr>
      </w:pPr>
      <w:r w:rsidRPr="00D948C1">
        <w:rPr>
          <w:szCs w:val="24"/>
        </w:rPr>
        <w:t xml:space="preserve">The Lancashire Combined Fire Authority (CFA) (the Authority) was established as a free-standing body from 1 April 1998. It sets its own budget, holds its own reserves, raises its own council </w:t>
      </w:r>
      <w:r w:rsidR="00A15F19" w:rsidRPr="00D948C1">
        <w:rPr>
          <w:szCs w:val="24"/>
        </w:rPr>
        <w:t>tax,</w:t>
      </w:r>
      <w:r w:rsidRPr="00D948C1">
        <w:rPr>
          <w:szCs w:val="24"/>
        </w:rPr>
        <w:t xml:space="preserve"> and receives funding direct from the Government and through business rates. </w:t>
      </w:r>
    </w:p>
    <w:p w14:paraId="3140FF0E" w14:textId="77777777" w:rsidR="006E6CFF" w:rsidRPr="00D948C1" w:rsidRDefault="006E6CFF" w:rsidP="006C0086">
      <w:pPr>
        <w:spacing w:line="276" w:lineRule="auto"/>
        <w:rPr>
          <w:szCs w:val="24"/>
        </w:rPr>
      </w:pPr>
    </w:p>
    <w:p w14:paraId="25858AC3" w14:textId="7D55EF1F" w:rsidR="006E6CFF" w:rsidRPr="00D948C1" w:rsidRDefault="006E6CFF" w:rsidP="006C0086">
      <w:pPr>
        <w:spacing w:line="276" w:lineRule="auto"/>
        <w:rPr>
          <w:szCs w:val="24"/>
        </w:rPr>
      </w:pPr>
      <w:r w:rsidRPr="00D948C1">
        <w:rPr>
          <w:szCs w:val="24"/>
        </w:rPr>
        <w:t xml:space="preserve">The Authority must prepare and publish a Statement of Accounts annually. Its purpose is to give electors, local taxpayers, Fire Authority Members, </w:t>
      </w:r>
      <w:r w:rsidR="0091485F" w:rsidRPr="00D948C1">
        <w:rPr>
          <w:szCs w:val="24"/>
        </w:rPr>
        <w:t>employees,</w:t>
      </w:r>
      <w:r w:rsidRPr="00D948C1">
        <w:rPr>
          <w:szCs w:val="24"/>
        </w:rPr>
        <w:t xml:space="preserve"> and other interested parties clear information about the Fire authority’s finances.</w:t>
      </w:r>
    </w:p>
    <w:p w14:paraId="0F292A0B" w14:textId="77777777" w:rsidR="006E6CFF" w:rsidRPr="00D948C1" w:rsidRDefault="006E6CFF" w:rsidP="006C0086">
      <w:pPr>
        <w:spacing w:line="276" w:lineRule="auto"/>
        <w:rPr>
          <w:szCs w:val="24"/>
        </w:rPr>
      </w:pPr>
    </w:p>
    <w:p w14:paraId="393E9B3F" w14:textId="77777777" w:rsidR="006E6CFF" w:rsidRPr="00D948C1" w:rsidRDefault="006E6CFF" w:rsidP="006C0086">
      <w:pPr>
        <w:spacing w:line="276" w:lineRule="auto"/>
        <w:rPr>
          <w:szCs w:val="24"/>
        </w:rPr>
      </w:pPr>
      <w:r w:rsidRPr="00D948C1">
        <w:rPr>
          <w:szCs w:val="24"/>
        </w:rPr>
        <w:t>The aim is to provide information on:</w:t>
      </w:r>
    </w:p>
    <w:p w14:paraId="31D6A305" w14:textId="77777777" w:rsidR="006E6CFF" w:rsidRPr="00D948C1" w:rsidRDefault="006E6CFF" w:rsidP="006C0086">
      <w:pPr>
        <w:spacing w:line="276" w:lineRule="auto"/>
        <w:rPr>
          <w:szCs w:val="24"/>
        </w:rPr>
      </w:pPr>
    </w:p>
    <w:p w14:paraId="1238B635" w14:textId="5533C7AF" w:rsidR="006E6CFF" w:rsidRPr="00D948C1" w:rsidRDefault="006E6CFF" w:rsidP="006C0086">
      <w:pPr>
        <w:numPr>
          <w:ilvl w:val="0"/>
          <w:numId w:val="30"/>
        </w:numPr>
        <w:spacing w:line="276" w:lineRule="auto"/>
        <w:rPr>
          <w:szCs w:val="24"/>
        </w:rPr>
      </w:pPr>
      <w:r w:rsidRPr="00D948C1">
        <w:rPr>
          <w:szCs w:val="24"/>
        </w:rPr>
        <w:t xml:space="preserve">the cost of providing Fire Authority services in the financial year </w:t>
      </w:r>
      <w:proofErr w:type="gramStart"/>
      <w:r w:rsidRPr="00D948C1">
        <w:rPr>
          <w:szCs w:val="24"/>
        </w:rPr>
        <w:t>202</w:t>
      </w:r>
      <w:r w:rsidR="001C0417" w:rsidRPr="00D948C1">
        <w:rPr>
          <w:szCs w:val="24"/>
        </w:rPr>
        <w:t>3</w:t>
      </w:r>
      <w:r w:rsidRPr="00D948C1">
        <w:rPr>
          <w:szCs w:val="24"/>
        </w:rPr>
        <w:t>/2</w:t>
      </w:r>
      <w:r w:rsidR="001C0417" w:rsidRPr="00D948C1">
        <w:rPr>
          <w:szCs w:val="24"/>
        </w:rPr>
        <w:t>4</w:t>
      </w:r>
      <w:r w:rsidRPr="00D948C1">
        <w:rPr>
          <w:szCs w:val="24"/>
        </w:rPr>
        <w:t>;</w:t>
      </w:r>
      <w:proofErr w:type="gramEnd"/>
    </w:p>
    <w:p w14:paraId="24B2DC5B" w14:textId="77777777" w:rsidR="006E6CFF" w:rsidRPr="00D948C1" w:rsidRDefault="006E6CFF" w:rsidP="006C0086">
      <w:pPr>
        <w:numPr>
          <w:ilvl w:val="0"/>
          <w:numId w:val="30"/>
        </w:numPr>
        <w:spacing w:line="276" w:lineRule="auto"/>
        <w:rPr>
          <w:szCs w:val="24"/>
        </w:rPr>
      </w:pPr>
      <w:r w:rsidRPr="00D948C1">
        <w:rPr>
          <w:szCs w:val="24"/>
        </w:rPr>
        <w:t xml:space="preserve">how these services were paid </w:t>
      </w:r>
      <w:proofErr w:type="gramStart"/>
      <w:r w:rsidRPr="00D948C1">
        <w:rPr>
          <w:szCs w:val="24"/>
        </w:rPr>
        <w:t>for;</w:t>
      </w:r>
      <w:proofErr w:type="gramEnd"/>
    </w:p>
    <w:p w14:paraId="7CBC655F" w14:textId="77777777" w:rsidR="006E6CFF" w:rsidRPr="00D948C1" w:rsidRDefault="006E6CFF" w:rsidP="006C0086">
      <w:pPr>
        <w:numPr>
          <w:ilvl w:val="0"/>
          <w:numId w:val="30"/>
        </w:numPr>
        <w:spacing w:line="276" w:lineRule="auto"/>
        <w:rPr>
          <w:szCs w:val="24"/>
        </w:rPr>
      </w:pPr>
      <w:r w:rsidRPr="00D948C1">
        <w:rPr>
          <w:szCs w:val="24"/>
        </w:rPr>
        <w:t>what assets the Fire Authority owned at the end of the financial year; and</w:t>
      </w:r>
    </w:p>
    <w:p w14:paraId="6289F74E" w14:textId="77777777" w:rsidR="006E6CFF" w:rsidRPr="00D948C1" w:rsidRDefault="006E6CFF" w:rsidP="006C0086">
      <w:pPr>
        <w:numPr>
          <w:ilvl w:val="0"/>
          <w:numId w:val="30"/>
        </w:numPr>
        <w:spacing w:line="276" w:lineRule="auto"/>
        <w:rPr>
          <w:szCs w:val="24"/>
        </w:rPr>
      </w:pPr>
      <w:r w:rsidRPr="00D948C1">
        <w:rPr>
          <w:szCs w:val="24"/>
        </w:rPr>
        <w:t>what was owed, to and by, the Fire Authority at the end of the financial year.</w:t>
      </w:r>
    </w:p>
    <w:p w14:paraId="61E146AC" w14:textId="77777777" w:rsidR="006E6CFF" w:rsidRPr="00D948C1" w:rsidRDefault="006E6CFF" w:rsidP="006C0086">
      <w:pPr>
        <w:spacing w:line="276" w:lineRule="auto"/>
        <w:rPr>
          <w:szCs w:val="24"/>
        </w:rPr>
      </w:pPr>
    </w:p>
    <w:p w14:paraId="1A611E70" w14:textId="77777777" w:rsidR="006E6CFF" w:rsidRPr="00D948C1" w:rsidRDefault="006E6CFF" w:rsidP="006C0086">
      <w:pPr>
        <w:spacing w:line="276" w:lineRule="auto"/>
        <w:rPr>
          <w:szCs w:val="24"/>
        </w:rPr>
      </w:pPr>
      <w:r w:rsidRPr="00D948C1">
        <w:rPr>
          <w:szCs w:val="24"/>
        </w:rPr>
        <w:t>This narrative report gives a guide to the most important matters included in the Statement of Accounts.</w:t>
      </w:r>
    </w:p>
    <w:p w14:paraId="1AD95C06" w14:textId="77777777" w:rsidR="006E6CFF" w:rsidRPr="00D948C1" w:rsidRDefault="006E6CFF" w:rsidP="006C0086">
      <w:pPr>
        <w:pStyle w:val="Footer"/>
        <w:tabs>
          <w:tab w:val="clear" w:pos="4153"/>
          <w:tab w:val="clear" w:pos="8306"/>
        </w:tabs>
        <w:spacing w:line="276" w:lineRule="auto"/>
        <w:rPr>
          <w:b/>
          <w:szCs w:val="24"/>
        </w:rPr>
      </w:pPr>
    </w:p>
    <w:p w14:paraId="1FAC0189" w14:textId="77777777" w:rsidR="006E6CFF" w:rsidRPr="00D948C1" w:rsidRDefault="006E6CFF" w:rsidP="006C0086">
      <w:pPr>
        <w:spacing w:line="276" w:lineRule="auto"/>
        <w:rPr>
          <w:b/>
          <w:bCs/>
        </w:rPr>
      </w:pPr>
      <w:r w:rsidRPr="00D948C1">
        <w:rPr>
          <w:b/>
          <w:bCs/>
        </w:rPr>
        <w:t>Contents of this Statement of Accounts</w:t>
      </w:r>
    </w:p>
    <w:p w14:paraId="24C3B6D1" w14:textId="77777777" w:rsidR="006E6CFF" w:rsidRPr="00D948C1" w:rsidRDefault="006E6CFF" w:rsidP="006C0086">
      <w:pPr>
        <w:pStyle w:val="Footer"/>
        <w:tabs>
          <w:tab w:val="clear" w:pos="4153"/>
          <w:tab w:val="clear" w:pos="8306"/>
        </w:tabs>
        <w:spacing w:line="276" w:lineRule="auto"/>
        <w:rPr>
          <w:b/>
          <w:szCs w:val="24"/>
        </w:rPr>
      </w:pPr>
    </w:p>
    <w:p w14:paraId="034945CC" w14:textId="0799A67B" w:rsidR="006E6CFF" w:rsidRPr="00D948C1" w:rsidRDefault="006E6CFF" w:rsidP="006C0086">
      <w:pPr>
        <w:spacing w:line="276" w:lineRule="auto"/>
        <w:rPr>
          <w:szCs w:val="24"/>
        </w:rPr>
      </w:pPr>
      <w:r w:rsidRPr="00D948C1">
        <w:rPr>
          <w:szCs w:val="24"/>
        </w:rPr>
        <w:t>This Statement of Accounts covers the financial year ended on 31 March 202</w:t>
      </w:r>
      <w:r w:rsidR="001C0417" w:rsidRPr="00D948C1">
        <w:rPr>
          <w:szCs w:val="24"/>
        </w:rPr>
        <w:t>4</w:t>
      </w:r>
      <w:r w:rsidRPr="00D948C1">
        <w:rPr>
          <w:szCs w:val="24"/>
        </w:rPr>
        <w:t xml:space="preserve"> (referred to as </w:t>
      </w:r>
      <w:r w:rsidRPr="00D948C1">
        <w:rPr>
          <w:caps/>
          <w:szCs w:val="24"/>
        </w:rPr>
        <w:t>202</w:t>
      </w:r>
      <w:r w:rsidR="001C0417" w:rsidRPr="00D948C1">
        <w:rPr>
          <w:caps/>
          <w:szCs w:val="24"/>
        </w:rPr>
        <w:t>3</w:t>
      </w:r>
      <w:r w:rsidRPr="00D948C1">
        <w:rPr>
          <w:caps/>
          <w:szCs w:val="24"/>
        </w:rPr>
        <w:t>/2</w:t>
      </w:r>
      <w:r w:rsidR="001C0417" w:rsidRPr="00D948C1">
        <w:rPr>
          <w:caps/>
          <w:szCs w:val="24"/>
        </w:rPr>
        <w:t>4</w:t>
      </w:r>
      <w:r w:rsidRPr="00D948C1">
        <w:rPr>
          <w:szCs w:val="24"/>
        </w:rPr>
        <w:t>). It has been prepared in accordance with the Accounts and Audit Regulations 2015 as amended by the Accounts and Audit (Amendment) Regulations 2021 and the Code of Practice on Local Authority Accounting in the United Kingdom. The Statement contains:</w:t>
      </w:r>
    </w:p>
    <w:p w14:paraId="2D075CBB" w14:textId="77777777" w:rsidR="006E6CFF" w:rsidRPr="00D948C1" w:rsidRDefault="006E6CFF" w:rsidP="006C0086">
      <w:pPr>
        <w:spacing w:line="276" w:lineRule="auto"/>
        <w:rPr>
          <w:b/>
          <w:szCs w:val="24"/>
        </w:rPr>
      </w:pPr>
    </w:p>
    <w:p w14:paraId="0E7D3F91" w14:textId="596F6B02" w:rsidR="006E6CFF" w:rsidRPr="00D948C1" w:rsidRDefault="006E6CFF" w:rsidP="006C0086">
      <w:pPr>
        <w:spacing w:line="276" w:lineRule="auto"/>
        <w:rPr>
          <w:szCs w:val="24"/>
        </w:rPr>
      </w:pPr>
      <w:r w:rsidRPr="00D948C1">
        <w:rPr>
          <w:b/>
          <w:szCs w:val="24"/>
        </w:rPr>
        <w:t>Statement on</w:t>
      </w:r>
      <w:r w:rsidRPr="00D948C1">
        <w:rPr>
          <w:szCs w:val="24"/>
        </w:rPr>
        <w:t xml:space="preserve"> </w:t>
      </w:r>
      <w:r w:rsidRPr="00D948C1">
        <w:rPr>
          <w:b/>
          <w:szCs w:val="24"/>
        </w:rPr>
        <w:t xml:space="preserve">Annual Governance Arrangements </w:t>
      </w:r>
      <w:r w:rsidRPr="00D948C1">
        <w:rPr>
          <w:szCs w:val="24"/>
        </w:rPr>
        <w:t xml:space="preserve">– Sets out the Authority’s responsibilities </w:t>
      </w:r>
      <w:r w:rsidR="000F28B4" w:rsidRPr="00D948C1">
        <w:rPr>
          <w:szCs w:val="24"/>
        </w:rPr>
        <w:t>regarding</w:t>
      </w:r>
      <w:r w:rsidRPr="00D948C1">
        <w:rPr>
          <w:szCs w:val="24"/>
        </w:rPr>
        <w:t xml:space="preserve"> the system of internal control and corporate governance.</w:t>
      </w:r>
    </w:p>
    <w:p w14:paraId="75FC48AF" w14:textId="77777777" w:rsidR="006E6CFF" w:rsidRPr="00D948C1" w:rsidRDefault="006E6CFF" w:rsidP="006C0086">
      <w:pPr>
        <w:spacing w:line="276" w:lineRule="auto"/>
        <w:rPr>
          <w:szCs w:val="24"/>
        </w:rPr>
      </w:pPr>
    </w:p>
    <w:p w14:paraId="6A7D4574" w14:textId="010B1629" w:rsidR="006E6CFF" w:rsidRPr="00D948C1" w:rsidRDefault="006E6CFF" w:rsidP="006C0086">
      <w:pPr>
        <w:spacing w:line="276" w:lineRule="auto"/>
        <w:rPr>
          <w:szCs w:val="24"/>
        </w:rPr>
      </w:pPr>
      <w:r w:rsidRPr="00D948C1">
        <w:rPr>
          <w:rFonts w:cs="Arial"/>
          <w:b/>
          <w:szCs w:val="24"/>
        </w:rPr>
        <w:t>Independent Auditor’s Report to the Members of Lancashire Combined Fire Authority</w:t>
      </w:r>
      <w:r w:rsidRPr="00D948C1">
        <w:rPr>
          <w:szCs w:val="24"/>
        </w:rPr>
        <w:t xml:space="preserve"> – The Auditor's report to the C</w:t>
      </w:r>
      <w:r w:rsidR="00B5320B">
        <w:rPr>
          <w:szCs w:val="24"/>
        </w:rPr>
        <w:t>ombine Fire Authority</w:t>
      </w:r>
      <w:r w:rsidRPr="00D948C1">
        <w:rPr>
          <w:szCs w:val="24"/>
        </w:rPr>
        <w:t xml:space="preserve"> on the accounts for </w:t>
      </w:r>
      <w:r w:rsidRPr="00D948C1">
        <w:rPr>
          <w:caps/>
          <w:szCs w:val="24"/>
        </w:rPr>
        <w:t>202</w:t>
      </w:r>
      <w:r w:rsidR="00277A8C" w:rsidRPr="00D948C1">
        <w:rPr>
          <w:caps/>
          <w:szCs w:val="24"/>
        </w:rPr>
        <w:t>3</w:t>
      </w:r>
      <w:r w:rsidRPr="00D948C1">
        <w:rPr>
          <w:caps/>
          <w:szCs w:val="24"/>
        </w:rPr>
        <w:t>/2</w:t>
      </w:r>
      <w:r w:rsidR="00277A8C" w:rsidRPr="00D948C1">
        <w:rPr>
          <w:caps/>
          <w:szCs w:val="24"/>
        </w:rPr>
        <w:t>4</w:t>
      </w:r>
      <w:r w:rsidRPr="00D948C1">
        <w:rPr>
          <w:szCs w:val="24"/>
        </w:rPr>
        <w:t>, which are set out in the sections shown below.</w:t>
      </w:r>
    </w:p>
    <w:p w14:paraId="62DE51EC" w14:textId="77777777" w:rsidR="006E6CFF" w:rsidRPr="00D948C1" w:rsidRDefault="006E6CFF" w:rsidP="006C0086">
      <w:pPr>
        <w:spacing w:line="276" w:lineRule="auto"/>
        <w:rPr>
          <w:szCs w:val="24"/>
        </w:rPr>
      </w:pPr>
    </w:p>
    <w:p w14:paraId="05F9C253" w14:textId="77777777" w:rsidR="006E6CFF" w:rsidRPr="00D948C1" w:rsidRDefault="006E6CFF" w:rsidP="006C0086">
      <w:pPr>
        <w:spacing w:line="276" w:lineRule="auto"/>
        <w:rPr>
          <w:szCs w:val="24"/>
        </w:rPr>
      </w:pPr>
      <w:r w:rsidRPr="00D948C1">
        <w:rPr>
          <w:b/>
          <w:szCs w:val="24"/>
        </w:rPr>
        <w:t>Statement of Responsibilities for the Statement of Accounts</w:t>
      </w:r>
      <w:r w:rsidRPr="00D948C1">
        <w:rPr>
          <w:szCs w:val="24"/>
        </w:rPr>
        <w:t xml:space="preserve"> – Sets out the responsibilities of the Authority and the Treasurer with regards to the statement of accounts.</w:t>
      </w:r>
    </w:p>
    <w:p w14:paraId="59A099BB" w14:textId="77777777" w:rsidR="006E6CFF" w:rsidRPr="00D948C1" w:rsidRDefault="006E6CFF" w:rsidP="006C0086">
      <w:pPr>
        <w:tabs>
          <w:tab w:val="left" w:pos="720"/>
          <w:tab w:val="right" w:pos="5760"/>
        </w:tabs>
        <w:spacing w:line="276" w:lineRule="auto"/>
        <w:rPr>
          <w:szCs w:val="24"/>
        </w:rPr>
      </w:pPr>
    </w:p>
    <w:p w14:paraId="013681E4" w14:textId="64B19CB4" w:rsidR="006E6CFF" w:rsidRPr="00D948C1" w:rsidRDefault="006E6CFF" w:rsidP="006C0086">
      <w:pPr>
        <w:spacing w:line="276" w:lineRule="auto"/>
        <w:rPr>
          <w:szCs w:val="24"/>
        </w:rPr>
      </w:pPr>
      <w:r w:rsidRPr="00D948C1">
        <w:rPr>
          <w:b/>
          <w:szCs w:val="24"/>
        </w:rPr>
        <w:t xml:space="preserve">Comprehensive Income &amp; Expenditure Statement </w:t>
      </w:r>
      <w:r w:rsidRPr="00D948C1">
        <w:rPr>
          <w:szCs w:val="24"/>
        </w:rPr>
        <w:t>- This statement shows the accounting cost in the year of providing services in accordance with generally accepted accounting practices, rather than the amount to be funded from taxation. The Fire Authority raises taxation to cover expenditure in accordance with regulations; this may be different from the accounting cost. The taxation position is shown in the Movement in Reserves Statement.</w:t>
      </w:r>
    </w:p>
    <w:p w14:paraId="2321AAF9" w14:textId="77777777" w:rsidR="006E6CFF" w:rsidRPr="00D948C1" w:rsidRDefault="006E6CFF" w:rsidP="006C0086">
      <w:pPr>
        <w:spacing w:line="276" w:lineRule="auto"/>
        <w:rPr>
          <w:szCs w:val="24"/>
        </w:rPr>
      </w:pPr>
    </w:p>
    <w:p w14:paraId="5DA8CD33" w14:textId="7A4AE1FC" w:rsidR="006E6CFF" w:rsidRPr="00D948C1" w:rsidRDefault="006E6CFF" w:rsidP="006C0086">
      <w:pPr>
        <w:spacing w:line="276" w:lineRule="auto"/>
        <w:rPr>
          <w:szCs w:val="24"/>
        </w:rPr>
      </w:pPr>
      <w:r w:rsidRPr="00D948C1">
        <w:rPr>
          <w:b/>
          <w:szCs w:val="24"/>
        </w:rPr>
        <w:t xml:space="preserve">Movement In Reserves Statement </w:t>
      </w:r>
      <w:r w:rsidRPr="00D948C1">
        <w:rPr>
          <w:szCs w:val="24"/>
        </w:rPr>
        <w:t xml:space="preserve">– This statement shows the movement in year on the different reserves held by the Fire Authority analysed between usable and other reserves. </w:t>
      </w:r>
      <w:r w:rsidRPr="00D948C1">
        <w:rPr>
          <w:szCs w:val="24"/>
        </w:rPr>
        <w:lastRenderedPageBreak/>
        <w:t>The surplus or (deficit) on the Provision of Services line shows the true economic cost of providing the Fire Authority’s services, more details of which are shown in the Comprehensive Income and Expenditure Statement.</w:t>
      </w:r>
    </w:p>
    <w:p w14:paraId="2FD51274" w14:textId="77777777" w:rsidR="006E6CFF" w:rsidRPr="00D948C1" w:rsidRDefault="006E6CFF" w:rsidP="006C0086">
      <w:pPr>
        <w:spacing w:line="276" w:lineRule="auto"/>
        <w:rPr>
          <w:b/>
          <w:szCs w:val="24"/>
        </w:rPr>
      </w:pPr>
    </w:p>
    <w:p w14:paraId="1C31C41C" w14:textId="6013B0FF" w:rsidR="006E6CFF" w:rsidRPr="00D948C1" w:rsidRDefault="006E6CFF" w:rsidP="006C0086">
      <w:pPr>
        <w:spacing w:line="276" w:lineRule="auto"/>
        <w:rPr>
          <w:szCs w:val="24"/>
        </w:rPr>
      </w:pPr>
      <w:r w:rsidRPr="00D948C1">
        <w:rPr>
          <w:b/>
          <w:szCs w:val="24"/>
        </w:rPr>
        <w:t>Balance Sheet</w:t>
      </w:r>
      <w:r w:rsidRPr="00D948C1">
        <w:rPr>
          <w:szCs w:val="24"/>
        </w:rPr>
        <w:t xml:space="preserve"> – This shows information on the financial position of the Fire Authority as at the 31 March 202</w:t>
      </w:r>
      <w:r w:rsidR="00277A8C" w:rsidRPr="00D948C1">
        <w:rPr>
          <w:szCs w:val="24"/>
        </w:rPr>
        <w:t>4</w:t>
      </w:r>
      <w:r w:rsidRPr="00D948C1">
        <w:rPr>
          <w:szCs w:val="24"/>
        </w:rPr>
        <w:t xml:space="preserve">, including the level of balances and reserves at the Fire Authority’s disposal, its </w:t>
      </w:r>
      <w:r w:rsidR="005436A9" w:rsidRPr="00D948C1">
        <w:rPr>
          <w:szCs w:val="24"/>
        </w:rPr>
        <w:t>long-term</w:t>
      </w:r>
      <w:r w:rsidRPr="00D948C1">
        <w:rPr>
          <w:szCs w:val="24"/>
        </w:rPr>
        <w:t xml:space="preserve"> indebtedness and the value of the assets held by the Fire Authority.</w:t>
      </w:r>
    </w:p>
    <w:p w14:paraId="3C3D2317" w14:textId="77777777" w:rsidR="006E6CFF" w:rsidRPr="00D948C1" w:rsidRDefault="006E6CFF" w:rsidP="006C0086">
      <w:pPr>
        <w:spacing w:line="276" w:lineRule="auto"/>
        <w:rPr>
          <w:szCs w:val="24"/>
        </w:rPr>
      </w:pPr>
    </w:p>
    <w:p w14:paraId="1077F6AF" w14:textId="77777777" w:rsidR="006E6CFF" w:rsidRPr="00D948C1" w:rsidRDefault="006E6CFF" w:rsidP="006C0086">
      <w:pPr>
        <w:spacing w:line="276" w:lineRule="auto"/>
        <w:rPr>
          <w:szCs w:val="24"/>
        </w:rPr>
      </w:pPr>
      <w:r w:rsidRPr="00D948C1">
        <w:rPr>
          <w:b/>
          <w:szCs w:val="24"/>
        </w:rPr>
        <w:t>Cash Flow Statement</w:t>
      </w:r>
      <w:r w:rsidRPr="00D948C1">
        <w:rPr>
          <w:szCs w:val="24"/>
        </w:rPr>
        <w:t xml:space="preserve"> – This shows the cash and cash equivalent movements in and out of the Fire Authority due to transactions with third parties for revenue and capital purposes.</w:t>
      </w:r>
    </w:p>
    <w:p w14:paraId="653F5C6E" w14:textId="77777777" w:rsidR="006E6CFF" w:rsidRPr="00D948C1" w:rsidRDefault="006E6CFF" w:rsidP="006C0086">
      <w:pPr>
        <w:spacing w:line="276" w:lineRule="auto"/>
        <w:rPr>
          <w:szCs w:val="24"/>
        </w:rPr>
      </w:pPr>
    </w:p>
    <w:p w14:paraId="4AC9E564" w14:textId="4FDA87CD" w:rsidR="006E6CFF" w:rsidRPr="00D948C1" w:rsidRDefault="006E6CFF" w:rsidP="006C0086">
      <w:pPr>
        <w:spacing w:line="276" w:lineRule="auto"/>
        <w:rPr>
          <w:szCs w:val="24"/>
        </w:rPr>
      </w:pPr>
      <w:r w:rsidRPr="00D948C1">
        <w:rPr>
          <w:b/>
          <w:szCs w:val="24"/>
        </w:rPr>
        <w:t>Fire Fighters Pension Fund Account and Net Assets Statement</w:t>
      </w:r>
      <w:r w:rsidRPr="00D948C1">
        <w:rPr>
          <w:szCs w:val="24"/>
        </w:rPr>
        <w:t xml:space="preserve"> – Shows the financial position of the fire fighters pension fund account, showing whether the Authority owes, or is owed, money by the Government </w:t>
      </w:r>
      <w:r w:rsidR="007D71A7" w:rsidRPr="00D948C1">
        <w:rPr>
          <w:szCs w:val="24"/>
        </w:rPr>
        <w:t>to</w:t>
      </w:r>
      <w:r w:rsidRPr="00D948C1">
        <w:rPr>
          <w:szCs w:val="24"/>
        </w:rPr>
        <w:t xml:space="preserve"> balance the account, together with details of its net assets.</w:t>
      </w:r>
    </w:p>
    <w:p w14:paraId="4BF85B5F" w14:textId="77777777" w:rsidR="003668C6" w:rsidRPr="00D948C1" w:rsidRDefault="003668C6" w:rsidP="006C0086">
      <w:pPr>
        <w:spacing w:line="276" w:lineRule="auto"/>
        <w:rPr>
          <w:szCs w:val="24"/>
        </w:rPr>
      </w:pPr>
    </w:p>
    <w:p w14:paraId="3E7209B7" w14:textId="77777777" w:rsidR="006E6CFF" w:rsidRPr="00D948C1" w:rsidRDefault="006E6CFF" w:rsidP="006C0086">
      <w:pPr>
        <w:spacing w:line="276" w:lineRule="auto"/>
        <w:rPr>
          <w:b/>
          <w:bCs/>
        </w:rPr>
      </w:pPr>
      <w:r w:rsidRPr="00D948C1">
        <w:rPr>
          <w:b/>
          <w:bCs/>
        </w:rPr>
        <w:t>Review of the Year</w:t>
      </w:r>
    </w:p>
    <w:p w14:paraId="37EB89E6" w14:textId="77777777" w:rsidR="006E6CFF" w:rsidRPr="00D948C1" w:rsidRDefault="006E6CFF" w:rsidP="006C0086">
      <w:pPr>
        <w:spacing w:line="276" w:lineRule="auto"/>
        <w:rPr>
          <w:szCs w:val="24"/>
        </w:rPr>
      </w:pPr>
    </w:p>
    <w:p w14:paraId="54C731B8" w14:textId="13EB2EE1" w:rsidR="00AC2CD0" w:rsidRPr="00D948C1" w:rsidRDefault="00AC2CD0" w:rsidP="006C0086">
      <w:pPr>
        <w:tabs>
          <w:tab w:val="num" w:pos="284"/>
        </w:tabs>
        <w:spacing w:line="276" w:lineRule="auto"/>
        <w:rPr>
          <w:szCs w:val="24"/>
        </w:rPr>
      </w:pPr>
      <w:r w:rsidRPr="00D948C1">
        <w:rPr>
          <w:szCs w:val="24"/>
        </w:rPr>
        <w:t>Supporting our people to deliver the best possible services in Lancashire is a priority in our plans every year. Health and wellbeing and training and development have been the focus of attention in 2023/24, with our staff involved in shaping new and improved initiatives.</w:t>
      </w:r>
    </w:p>
    <w:p w14:paraId="77B89265" w14:textId="77777777" w:rsidR="00AC2CD0" w:rsidRPr="00D948C1" w:rsidRDefault="00AC2CD0" w:rsidP="006C0086">
      <w:pPr>
        <w:tabs>
          <w:tab w:val="num" w:pos="284"/>
        </w:tabs>
        <w:spacing w:line="276" w:lineRule="auto"/>
        <w:rPr>
          <w:szCs w:val="24"/>
        </w:rPr>
      </w:pPr>
    </w:p>
    <w:p w14:paraId="78CB3B7A" w14:textId="77777777" w:rsidR="00AC2CD0" w:rsidRPr="00D948C1" w:rsidRDefault="00AC2CD0" w:rsidP="006C0086">
      <w:pPr>
        <w:tabs>
          <w:tab w:val="num" w:pos="284"/>
        </w:tabs>
        <w:spacing w:line="276" w:lineRule="auto"/>
        <w:rPr>
          <w:szCs w:val="24"/>
        </w:rPr>
      </w:pPr>
      <w:r w:rsidRPr="00D948C1">
        <w:rPr>
          <w:szCs w:val="24"/>
        </w:rPr>
        <w:t xml:space="preserve">The introduction of peer support ambassadors, 32 volunteers within the Service who support people around them through wellbeing conversations, has </w:t>
      </w:r>
      <w:proofErr w:type="gramStart"/>
      <w:r w:rsidRPr="00D948C1">
        <w:rPr>
          <w:szCs w:val="24"/>
        </w:rPr>
        <w:t>opened up</w:t>
      </w:r>
      <w:proofErr w:type="gramEnd"/>
      <w:r w:rsidRPr="00D948C1">
        <w:rPr>
          <w:szCs w:val="24"/>
        </w:rPr>
        <w:t xml:space="preserve"> mental health conversations and is helping to remove the stigma of talking about it. </w:t>
      </w:r>
    </w:p>
    <w:p w14:paraId="543372D6" w14:textId="77777777" w:rsidR="00AC2CD0" w:rsidRPr="00D948C1" w:rsidRDefault="00AC2CD0" w:rsidP="006C0086">
      <w:pPr>
        <w:tabs>
          <w:tab w:val="num" w:pos="284"/>
        </w:tabs>
        <w:spacing w:line="276" w:lineRule="auto"/>
        <w:rPr>
          <w:szCs w:val="24"/>
        </w:rPr>
      </w:pPr>
    </w:p>
    <w:p w14:paraId="27B5BD25" w14:textId="77777777" w:rsidR="00AC2CD0" w:rsidRPr="00D948C1" w:rsidRDefault="00AC2CD0" w:rsidP="006C0086">
      <w:pPr>
        <w:tabs>
          <w:tab w:val="num" w:pos="284"/>
        </w:tabs>
        <w:spacing w:line="276" w:lineRule="auto"/>
        <w:rPr>
          <w:szCs w:val="24"/>
        </w:rPr>
      </w:pPr>
      <w:r w:rsidRPr="00D948C1">
        <w:rPr>
          <w:szCs w:val="24"/>
        </w:rPr>
        <w:t xml:space="preserve">Our new Lift and Climb mentoring programme </w:t>
      </w:r>
      <w:proofErr w:type="gramStart"/>
      <w:r w:rsidRPr="00D948C1">
        <w:rPr>
          <w:szCs w:val="24"/>
        </w:rPr>
        <w:t>is</w:t>
      </w:r>
      <w:proofErr w:type="gramEnd"/>
      <w:r w:rsidRPr="00D948C1">
        <w:rPr>
          <w:szCs w:val="24"/>
        </w:rPr>
        <w:t xml:space="preserve"> pairing individuals across the Service in different roles and locations, so they can benefit from the guidance and experience of colleagues. The initiative was brought from idea to reality by a member of staff and is supporting people in operational and service support roles. </w:t>
      </w:r>
    </w:p>
    <w:p w14:paraId="4AE506CD" w14:textId="77777777" w:rsidR="00AC2CD0" w:rsidRPr="00D948C1" w:rsidRDefault="00AC2CD0" w:rsidP="006C0086">
      <w:pPr>
        <w:tabs>
          <w:tab w:val="num" w:pos="284"/>
        </w:tabs>
        <w:spacing w:line="276" w:lineRule="auto"/>
        <w:rPr>
          <w:szCs w:val="24"/>
        </w:rPr>
      </w:pPr>
    </w:p>
    <w:p w14:paraId="0225F7CE" w14:textId="4F422057" w:rsidR="00AC2CD0" w:rsidRPr="00D948C1" w:rsidRDefault="00AC2CD0" w:rsidP="006C0086">
      <w:pPr>
        <w:tabs>
          <w:tab w:val="num" w:pos="284"/>
        </w:tabs>
        <w:spacing w:line="276" w:lineRule="auto"/>
        <w:rPr>
          <w:szCs w:val="24"/>
        </w:rPr>
      </w:pPr>
      <w:r w:rsidRPr="00D948C1">
        <w:rPr>
          <w:szCs w:val="24"/>
        </w:rPr>
        <w:t>Adapting to changing risks in communities and finding new ways to make Lancashire safer is a continuous endeavour, and one which we are motivated and driven to succeed in doing. We have improved core services this year in addition to the new assets that signal advancements in how the whole sector operates.</w:t>
      </w:r>
    </w:p>
    <w:p w14:paraId="3B6E73CC" w14:textId="77777777" w:rsidR="00AC2CD0" w:rsidRPr="00D948C1" w:rsidRDefault="00AC2CD0" w:rsidP="006C0086">
      <w:pPr>
        <w:tabs>
          <w:tab w:val="num" w:pos="284"/>
        </w:tabs>
        <w:spacing w:line="276" w:lineRule="auto"/>
        <w:rPr>
          <w:szCs w:val="24"/>
        </w:rPr>
      </w:pPr>
    </w:p>
    <w:p w14:paraId="05A058A1" w14:textId="1C443BC2" w:rsidR="00AC2CD0" w:rsidRPr="00D948C1" w:rsidRDefault="00AC2CD0" w:rsidP="006C0086">
      <w:pPr>
        <w:tabs>
          <w:tab w:val="num" w:pos="284"/>
        </w:tabs>
        <w:spacing w:line="276" w:lineRule="auto"/>
        <w:rPr>
          <w:szCs w:val="24"/>
        </w:rPr>
      </w:pPr>
      <w:r w:rsidRPr="00D948C1">
        <w:rPr>
          <w:szCs w:val="24"/>
        </w:rPr>
        <w:t>The home fire safety check service is our long-established, main method of prevention designed to provide tailored interventions to people in their homes that reduce the risk of fires. In 2023/24 we delivered well over the target number of interventions and saw a reduction in the number of fires in the home and fewer casualties.</w:t>
      </w:r>
    </w:p>
    <w:p w14:paraId="472133BF" w14:textId="77777777" w:rsidR="00AC2CD0" w:rsidRPr="00D948C1" w:rsidRDefault="00AC2CD0" w:rsidP="006C0086">
      <w:pPr>
        <w:tabs>
          <w:tab w:val="num" w:pos="284"/>
        </w:tabs>
        <w:spacing w:line="276" w:lineRule="auto"/>
        <w:rPr>
          <w:szCs w:val="24"/>
        </w:rPr>
      </w:pPr>
    </w:p>
    <w:p w14:paraId="7374D435" w14:textId="00B55241" w:rsidR="00AC2CD0" w:rsidRPr="00D948C1" w:rsidRDefault="00AC2CD0" w:rsidP="006C0086">
      <w:pPr>
        <w:tabs>
          <w:tab w:val="num" w:pos="284"/>
        </w:tabs>
        <w:spacing w:line="276" w:lineRule="auto"/>
        <w:rPr>
          <w:szCs w:val="24"/>
        </w:rPr>
      </w:pPr>
      <w:r w:rsidRPr="00D948C1">
        <w:rPr>
          <w:szCs w:val="24"/>
        </w:rPr>
        <w:t xml:space="preserve">Our business fire safety check service is a newer initiative and part a wider programme to support employers and landlords to keep people safe in their buildings. We exceeded our target in this area too, with crews assuring compliance with fire safety laws in businesses like </w:t>
      </w:r>
      <w:r w:rsidRPr="00D948C1">
        <w:rPr>
          <w:szCs w:val="24"/>
        </w:rPr>
        <w:lastRenderedPageBreak/>
        <w:t xml:space="preserve">shops and offices, leaving specialist business safety advisors and inspectors to focus on more complex, high-risk premises. </w:t>
      </w:r>
    </w:p>
    <w:p w14:paraId="09C06F1D" w14:textId="77777777" w:rsidR="00AC2CD0" w:rsidRPr="00D948C1" w:rsidRDefault="00AC2CD0" w:rsidP="006C0086">
      <w:pPr>
        <w:tabs>
          <w:tab w:val="num" w:pos="284"/>
        </w:tabs>
        <w:spacing w:line="276" w:lineRule="auto"/>
        <w:rPr>
          <w:szCs w:val="24"/>
        </w:rPr>
      </w:pPr>
    </w:p>
    <w:p w14:paraId="63FDDD2B" w14:textId="77777777" w:rsidR="00AC2CD0" w:rsidRPr="00D948C1" w:rsidRDefault="00AC2CD0" w:rsidP="006C0086">
      <w:pPr>
        <w:tabs>
          <w:tab w:val="num" w:pos="284"/>
        </w:tabs>
        <w:spacing w:line="276" w:lineRule="auto"/>
        <w:rPr>
          <w:szCs w:val="24"/>
        </w:rPr>
      </w:pPr>
      <w:r w:rsidRPr="00D948C1">
        <w:rPr>
          <w:szCs w:val="24"/>
        </w:rPr>
        <w:t>Alongside these community focussed prevention and protection services, we continue to strengthen our emergency response capabilities through innovation and investment. We became the first service in the UK to introduce an underwater drone and sonar scanner for search and rescue operations. These not only improve how we respond to water-related incidents but also increases firefighter safety.</w:t>
      </w:r>
    </w:p>
    <w:p w14:paraId="061EA497" w14:textId="77777777" w:rsidR="00AC2CD0" w:rsidRPr="00D948C1" w:rsidRDefault="00AC2CD0" w:rsidP="006C0086">
      <w:pPr>
        <w:tabs>
          <w:tab w:val="num" w:pos="284"/>
        </w:tabs>
        <w:spacing w:line="276" w:lineRule="auto"/>
        <w:rPr>
          <w:szCs w:val="24"/>
        </w:rPr>
      </w:pPr>
    </w:p>
    <w:p w14:paraId="1D1AA925" w14:textId="77777777" w:rsidR="00AC2CD0" w:rsidRPr="00D948C1" w:rsidRDefault="00AC2CD0" w:rsidP="006C0086">
      <w:pPr>
        <w:tabs>
          <w:tab w:val="num" w:pos="284"/>
        </w:tabs>
        <w:spacing w:line="276" w:lineRule="auto"/>
        <w:rPr>
          <w:szCs w:val="24"/>
        </w:rPr>
      </w:pPr>
      <w:r w:rsidRPr="00D948C1">
        <w:rPr>
          <w:szCs w:val="24"/>
        </w:rPr>
        <w:t>Dynamic cover software is changing the way we deploy resources across the county. Providing visual data on community risks and emergency cover in real-time, it enables us to position fire engines with more precision, improving emergency cover and reducing response times.</w:t>
      </w:r>
    </w:p>
    <w:p w14:paraId="7D36A5CF" w14:textId="77777777" w:rsidR="00AC2CD0" w:rsidRPr="00D948C1" w:rsidRDefault="00AC2CD0" w:rsidP="006C0086">
      <w:pPr>
        <w:tabs>
          <w:tab w:val="num" w:pos="284"/>
        </w:tabs>
        <w:spacing w:line="276" w:lineRule="auto"/>
        <w:rPr>
          <w:szCs w:val="24"/>
        </w:rPr>
      </w:pPr>
    </w:p>
    <w:p w14:paraId="22D7A0D9" w14:textId="272C953D" w:rsidR="00AC2CD0" w:rsidRPr="00D948C1" w:rsidRDefault="00AC2CD0" w:rsidP="006C0086">
      <w:pPr>
        <w:tabs>
          <w:tab w:val="num" w:pos="284"/>
        </w:tabs>
        <w:spacing w:line="276" w:lineRule="auto"/>
        <w:rPr>
          <w:szCs w:val="24"/>
        </w:rPr>
      </w:pPr>
      <w:r w:rsidRPr="00D948C1">
        <w:rPr>
          <w:szCs w:val="24"/>
        </w:rPr>
        <w:t xml:space="preserve">Our </w:t>
      </w:r>
      <w:r w:rsidR="00B5320B" w:rsidRPr="00D948C1">
        <w:rPr>
          <w:szCs w:val="24"/>
        </w:rPr>
        <w:t>brand-new</w:t>
      </w:r>
      <w:r w:rsidRPr="00D948C1">
        <w:rPr>
          <w:szCs w:val="24"/>
        </w:rPr>
        <w:t xml:space="preserve"> incident command units were the result of extensive research and development to ensure that when they joined our fleet, they brought the best possible technology and systems for effective management of complex and large-scale emergencies. Software on board connects the command units to firefighters on the incident ground and the command support room at Service headquarters, sharing one operating picture to all.</w:t>
      </w:r>
    </w:p>
    <w:p w14:paraId="43A23569" w14:textId="77777777" w:rsidR="00AC2CD0" w:rsidRPr="00D948C1" w:rsidRDefault="00AC2CD0" w:rsidP="006C0086">
      <w:pPr>
        <w:tabs>
          <w:tab w:val="num" w:pos="284"/>
        </w:tabs>
        <w:spacing w:line="276" w:lineRule="auto"/>
        <w:rPr>
          <w:szCs w:val="24"/>
        </w:rPr>
      </w:pPr>
    </w:p>
    <w:p w14:paraId="0BEC3E19" w14:textId="45426558" w:rsidR="006E6CFF" w:rsidRPr="00D948C1" w:rsidRDefault="00AC2CD0" w:rsidP="006C0086">
      <w:pPr>
        <w:tabs>
          <w:tab w:val="num" w:pos="284"/>
        </w:tabs>
        <w:spacing w:line="276" w:lineRule="auto"/>
        <w:rPr>
          <w:szCs w:val="24"/>
        </w:rPr>
      </w:pPr>
      <w:r w:rsidRPr="00D948C1">
        <w:rPr>
          <w:szCs w:val="24"/>
        </w:rPr>
        <w:t>At the heart of all that we achieve are people dedicated to making a difference in Lancashire’s communities. In our staff survey, 94% of respondents said they felt that their work contributes to making Lancashire safer, testament to the collective approach we uphold. Together we will continue to learn, improve, and innovate so that we provide the best possible public services now and in the future.</w:t>
      </w:r>
    </w:p>
    <w:p w14:paraId="0116F437" w14:textId="77777777" w:rsidR="006E6CFF" w:rsidRPr="00D948C1" w:rsidRDefault="006E6CFF" w:rsidP="006C0086">
      <w:pPr>
        <w:tabs>
          <w:tab w:val="num" w:pos="284"/>
        </w:tabs>
        <w:spacing w:line="276" w:lineRule="auto"/>
        <w:rPr>
          <w:rFonts w:cs="Arial"/>
          <w:color w:val="000000" w:themeColor="text1"/>
          <w:szCs w:val="24"/>
        </w:rPr>
      </w:pPr>
    </w:p>
    <w:p w14:paraId="68A39F1F" w14:textId="70AA2D75" w:rsidR="006E6CFF" w:rsidRPr="00D948C1" w:rsidRDefault="006E6CFF" w:rsidP="006C0086">
      <w:pPr>
        <w:spacing w:line="276" w:lineRule="auto"/>
        <w:rPr>
          <w:b/>
          <w:bCs/>
        </w:rPr>
      </w:pPr>
      <w:r w:rsidRPr="00D948C1">
        <w:rPr>
          <w:b/>
          <w:bCs/>
        </w:rPr>
        <w:t>The 202</w:t>
      </w:r>
      <w:r w:rsidR="00277A8C" w:rsidRPr="00D948C1">
        <w:rPr>
          <w:b/>
          <w:bCs/>
        </w:rPr>
        <w:t>3</w:t>
      </w:r>
      <w:r w:rsidRPr="00D948C1">
        <w:rPr>
          <w:b/>
          <w:bCs/>
        </w:rPr>
        <w:t>/2</w:t>
      </w:r>
      <w:r w:rsidR="00277A8C" w:rsidRPr="00D948C1">
        <w:rPr>
          <w:b/>
          <w:bCs/>
        </w:rPr>
        <w:t>4</w:t>
      </w:r>
      <w:r w:rsidRPr="00D948C1">
        <w:rPr>
          <w:b/>
          <w:bCs/>
        </w:rPr>
        <w:t xml:space="preserve"> Financial Overview</w:t>
      </w:r>
    </w:p>
    <w:p w14:paraId="681C4A7E" w14:textId="77777777" w:rsidR="006E6CFF" w:rsidRPr="00D948C1" w:rsidRDefault="006E6CFF" w:rsidP="006C0086">
      <w:pPr>
        <w:spacing w:line="276" w:lineRule="auto"/>
        <w:rPr>
          <w:szCs w:val="24"/>
        </w:rPr>
      </w:pPr>
    </w:p>
    <w:p w14:paraId="2062AE19" w14:textId="79A9DB4C"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t>The Authority’s spending is planned and controlled by an annual budget process, which leads to the setting of its budget requirement. Expenditure on the day-to-day running costs of the service is determined through the Revenue Budget and is recorded in the Comprehensive Income and Expenditure Statement.</w:t>
      </w:r>
    </w:p>
    <w:p w14:paraId="04BDC542" w14:textId="77777777" w:rsidR="006E6CFF" w:rsidRPr="00D948C1" w:rsidRDefault="006E6CFF" w:rsidP="006C0086">
      <w:pPr>
        <w:spacing w:line="276" w:lineRule="auto"/>
        <w:rPr>
          <w:rFonts w:cs="Arial"/>
          <w:color w:val="000000" w:themeColor="text1"/>
          <w:szCs w:val="24"/>
        </w:rPr>
      </w:pPr>
    </w:p>
    <w:p w14:paraId="7F453616" w14:textId="5D86063B"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t xml:space="preserve">In setting its budget the Authority aims to balance the public’s requirement for and expectations of our services with the cost of providing this. As such the revenue budget focuses on the need </w:t>
      </w:r>
      <w:proofErr w:type="gramStart"/>
      <w:r w:rsidRPr="00D948C1">
        <w:rPr>
          <w:rFonts w:cs="Arial"/>
          <w:color w:val="000000" w:themeColor="text1"/>
          <w:szCs w:val="24"/>
        </w:rPr>
        <w:t>to:-</w:t>
      </w:r>
      <w:proofErr w:type="gramEnd"/>
    </w:p>
    <w:p w14:paraId="1D38E447" w14:textId="77777777" w:rsidR="006E6CFF" w:rsidRPr="00D948C1" w:rsidRDefault="006E6CFF" w:rsidP="006C0086">
      <w:pPr>
        <w:spacing w:line="276" w:lineRule="auto"/>
        <w:rPr>
          <w:rFonts w:cs="Arial"/>
          <w:color w:val="000000" w:themeColor="text1"/>
          <w:szCs w:val="24"/>
        </w:rPr>
      </w:pPr>
    </w:p>
    <w:p w14:paraId="2A9A3C0E"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 xml:space="preserve">deliver services as outlined in the Risk Management Plan and other </w:t>
      </w:r>
      <w:proofErr w:type="gramStart"/>
      <w:r w:rsidRPr="00D948C1">
        <w:rPr>
          <w:rFonts w:cs="Arial"/>
          <w:color w:val="000000" w:themeColor="text1"/>
          <w:szCs w:val="24"/>
        </w:rPr>
        <w:t>plans;</w:t>
      </w:r>
      <w:proofErr w:type="gramEnd"/>
    </w:p>
    <w:p w14:paraId="79FEAAC4"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 xml:space="preserve">maintain future council tax increases at reasonable </w:t>
      </w:r>
      <w:proofErr w:type="gramStart"/>
      <w:r w:rsidRPr="00D948C1">
        <w:rPr>
          <w:rFonts w:cs="Arial"/>
          <w:color w:val="000000" w:themeColor="text1"/>
          <w:szCs w:val="24"/>
        </w:rPr>
        <w:t>levels;</w:t>
      </w:r>
      <w:proofErr w:type="gramEnd"/>
    </w:p>
    <w:p w14:paraId="39EA1E8F"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 xml:space="preserve">continue to deliver efficiencies in line with </w:t>
      </w:r>
      <w:proofErr w:type="gramStart"/>
      <w:r w:rsidRPr="00D948C1">
        <w:rPr>
          <w:rFonts w:cs="Arial"/>
          <w:color w:val="000000" w:themeColor="text1"/>
          <w:szCs w:val="24"/>
        </w:rPr>
        <w:t>targets;</w:t>
      </w:r>
      <w:proofErr w:type="gramEnd"/>
    </w:p>
    <w:p w14:paraId="65A32971"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 xml:space="preserve">continue to invest in improvements in service delivery and </w:t>
      </w:r>
      <w:proofErr w:type="gramStart"/>
      <w:r w:rsidRPr="00D948C1">
        <w:rPr>
          <w:rFonts w:cs="Arial"/>
          <w:color w:val="000000" w:themeColor="text1"/>
          <w:szCs w:val="24"/>
        </w:rPr>
        <w:t>facilities;</w:t>
      </w:r>
      <w:proofErr w:type="gramEnd"/>
    </w:p>
    <w:p w14:paraId="3F79B78E"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set a robust budget that takes account of known and anticipated pressures; and</w:t>
      </w:r>
    </w:p>
    <w:p w14:paraId="3B83A4D1" w14:textId="77777777" w:rsidR="006E6CFF" w:rsidRPr="00D948C1" w:rsidRDefault="006E6CFF" w:rsidP="006C0086">
      <w:pPr>
        <w:numPr>
          <w:ilvl w:val="0"/>
          <w:numId w:val="36"/>
        </w:numPr>
        <w:spacing w:line="276" w:lineRule="auto"/>
        <w:rPr>
          <w:rFonts w:cs="Arial"/>
          <w:color w:val="000000" w:themeColor="text1"/>
          <w:szCs w:val="24"/>
        </w:rPr>
      </w:pPr>
      <w:r w:rsidRPr="00D948C1">
        <w:rPr>
          <w:rFonts w:cs="Arial"/>
          <w:color w:val="000000" w:themeColor="text1"/>
          <w:szCs w:val="24"/>
        </w:rPr>
        <w:t>maintain an adequate level of reserves.</w:t>
      </w:r>
    </w:p>
    <w:p w14:paraId="4456C4C9" w14:textId="77777777" w:rsidR="006E6CFF" w:rsidRPr="00D948C1" w:rsidRDefault="006E6CFF" w:rsidP="006C0086">
      <w:pPr>
        <w:spacing w:line="276" w:lineRule="auto"/>
        <w:rPr>
          <w:rFonts w:cs="Arial"/>
          <w:color w:val="000000" w:themeColor="text1"/>
          <w:szCs w:val="24"/>
        </w:rPr>
      </w:pPr>
    </w:p>
    <w:p w14:paraId="4FC82B36" w14:textId="3BA65AE6"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lastRenderedPageBreak/>
        <w:t>The Authority agreed a</w:t>
      </w:r>
      <w:r w:rsidR="00687019">
        <w:rPr>
          <w:rFonts w:cs="Arial"/>
          <w:color w:val="000000" w:themeColor="text1"/>
          <w:szCs w:val="24"/>
        </w:rPr>
        <w:t xml:space="preserve"> net</w:t>
      </w:r>
      <w:r w:rsidRPr="00D948C1">
        <w:rPr>
          <w:rFonts w:cs="Arial"/>
          <w:color w:val="000000" w:themeColor="text1"/>
          <w:szCs w:val="24"/>
        </w:rPr>
        <w:t xml:space="preserve"> revenue budget of £6</w:t>
      </w:r>
      <w:r w:rsidR="00687019">
        <w:rPr>
          <w:rFonts w:cs="Arial"/>
          <w:color w:val="000000" w:themeColor="text1"/>
          <w:szCs w:val="24"/>
        </w:rPr>
        <w:t>8</w:t>
      </w:r>
      <w:r w:rsidR="00AC2CD0" w:rsidRPr="00D948C1">
        <w:rPr>
          <w:rFonts w:cs="Arial"/>
          <w:color w:val="000000" w:themeColor="text1"/>
          <w:szCs w:val="24"/>
        </w:rPr>
        <w:t>.</w:t>
      </w:r>
      <w:r w:rsidR="00687019">
        <w:rPr>
          <w:rFonts w:cs="Arial"/>
          <w:color w:val="000000" w:themeColor="text1"/>
          <w:szCs w:val="24"/>
        </w:rPr>
        <w:t>2</w:t>
      </w:r>
      <w:r w:rsidRPr="00D948C1">
        <w:rPr>
          <w:rFonts w:cs="Arial"/>
          <w:color w:val="000000" w:themeColor="text1"/>
          <w:szCs w:val="24"/>
        </w:rPr>
        <w:t>m and a council tax of £</w:t>
      </w:r>
      <w:r w:rsidR="00AC2CD0" w:rsidRPr="00D948C1">
        <w:rPr>
          <w:rFonts w:cs="Arial"/>
          <w:color w:val="000000" w:themeColor="text1"/>
          <w:szCs w:val="24"/>
        </w:rPr>
        <w:t>82</w:t>
      </w:r>
      <w:r w:rsidRPr="00D948C1">
        <w:rPr>
          <w:rFonts w:cs="Arial"/>
          <w:color w:val="000000" w:themeColor="text1"/>
          <w:szCs w:val="24"/>
        </w:rPr>
        <w:t xml:space="preserve">.27. This represented a £5 increase in council tax, in line with the Council Tax referendum limit. Based on this the budget was considered affordable, </w:t>
      </w:r>
      <w:r w:rsidR="007D71A7" w:rsidRPr="00D948C1">
        <w:rPr>
          <w:rFonts w:cs="Arial"/>
          <w:color w:val="000000" w:themeColor="text1"/>
          <w:szCs w:val="24"/>
        </w:rPr>
        <w:t>prudent,</w:t>
      </w:r>
      <w:r w:rsidRPr="00D948C1">
        <w:rPr>
          <w:rFonts w:cs="Arial"/>
          <w:color w:val="000000" w:themeColor="text1"/>
          <w:szCs w:val="24"/>
        </w:rPr>
        <w:t xml:space="preserve"> and sustainable, whilst ensuring that the Authority was able to deliver against its corporate priorities.</w:t>
      </w:r>
    </w:p>
    <w:p w14:paraId="4D2E8870" w14:textId="77777777" w:rsidR="006E6CFF" w:rsidRPr="00D948C1" w:rsidRDefault="006E6CFF" w:rsidP="006C0086">
      <w:pPr>
        <w:spacing w:line="276" w:lineRule="auto"/>
        <w:rPr>
          <w:rFonts w:cs="Arial"/>
          <w:color w:val="000000" w:themeColor="text1"/>
          <w:szCs w:val="24"/>
        </w:rPr>
      </w:pPr>
    </w:p>
    <w:p w14:paraId="3478448F" w14:textId="18C11DBE" w:rsidR="004A1184" w:rsidRPr="00D948C1" w:rsidRDefault="006E6CFF" w:rsidP="006C0086">
      <w:pPr>
        <w:spacing w:line="276" w:lineRule="auto"/>
        <w:rPr>
          <w:rFonts w:cs="Arial"/>
          <w:color w:val="000000" w:themeColor="text1"/>
          <w:szCs w:val="24"/>
        </w:rPr>
      </w:pPr>
      <w:r w:rsidRPr="00D948C1">
        <w:rPr>
          <w:rFonts w:cs="Arial"/>
          <w:color w:val="000000" w:themeColor="text1"/>
          <w:szCs w:val="24"/>
        </w:rPr>
        <w:t xml:space="preserve">The net revenue position shows a </w:t>
      </w:r>
      <w:r w:rsidR="00C030E7" w:rsidRPr="00D948C1">
        <w:rPr>
          <w:rFonts w:cs="Arial"/>
          <w:color w:val="000000" w:themeColor="text1"/>
          <w:szCs w:val="24"/>
        </w:rPr>
        <w:t>small</w:t>
      </w:r>
      <w:r w:rsidRPr="00D948C1">
        <w:rPr>
          <w:rFonts w:cs="Arial"/>
          <w:color w:val="000000" w:themeColor="text1"/>
          <w:szCs w:val="24"/>
        </w:rPr>
        <w:t xml:space="preserve"> overspend of £</w:t>
      </w:r>
      <w:r w:rsidR="00C030E7" w:rsidRPr="00D948C1">
        <w:rPr>
          <w:rFonts w:cs="Arial"/>
          <w:color w:val="000000" w:themeColor="text1"/>
          <w:szCs w:val="24"/>
        </w:rPr>
        <w:t>0.2</w:t>
      </w:r>
      <w:r w:rsidRPr="00D948C1">
        <w:rPr>
          <w:rFonts w:cs="Arial"/>
          <w:color w:val="000000" w:themeColor="text1"/>
          <w:szCs w:val="24"/>
        </w:rPr>
        <w:t>m.</w:t>
      </w:r>
    </w:p>
    <w:p w14:paraId="47E84998" w14:textId="77777777" w:rsidR="00B10A2A" w:rsidRPr="00D948C1" w:rsidRDefault="00B10A2A" w:rsidP="006C0086">
      <w:pPr>
        <w:spacing w:line="276" w:lineRule="auto"/>
        <w:rPr>
          <w:rFonts w:cs="Arial"/>
          <w:color w:val="000000" w:themeColor="text1"/>
          <w:szCs w:val="24"/>
        </w:rPr>
      </w:pPr>
      <w:r w:rsidRPr="00D948C1">
        <w:rPr>
          <w:rFonts w:cs="Arial"/>
          <w:color w:val="000000" w:themeColor="text1"/>
          <w:szCs w:val="24"/>
        </w:rPr>
        <w:br w:type="page"/>
      </w:r>
    </w:p>
    <w:p w14:paraId="647AF030" w14:textId="1D89BB6F"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lastRenderedPageBreak/>
        <w:t>The following charts show a breakdown of where the monies we received come from and how we spent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1"/>
        <w:gridCol w:w="1301"/>
      </w:tblGrid>
      <w:tr w:rsidR="006E6CFF" w:rsidRPr="00D948C1" w14:paraId="2548DB3C" w14:textId="77777777" w:rsidTr="007B764B">
        <w:tc>
          <w:tcPr>
            <w:tcW w:w="8621" w:type="dxa"/>
          </w:tcPr>
          <w:p w14:paraId="2555A655" w14:textId="3F7B0ADA" w:rsidR="006E6CFF" w:rsidRPr="00D948C1" w:rsidRDefault="007B764B" w:rsidP="006C0086">
            <w:pPr>
              <w:spacing w:line="276" w:lineRule="auto"/>
              <w:jc w:val="both"/>
              <w:rPr>
                <w:rFonts w:cs="Arial"/>
                <w:noProof/>
                <w:color w:val="000000" w:themeColor="text1"/>
                <w:szCs w:val="24"/>
              </w:rPr>
            </w:pPr>
            <w:r w:rsidRPr="00D948C1">
              <w:rPr>
                <w:noProof/>
              </w:rPr>
              <w:drawing>
                <wp:inline distT="0" distB="0" distL="0" distR="0" wp14:anchorId="12D49DE0" wp14:editId="2E8896D0">
                  <wp:extent cx="5337544" cy="3923413"/>
                  <wp:effectExtent l="0" t="0" r="0" b="1270"/>
                  <wp:docPr id="1267124731" name="Chart 1" descr="Pie chart showing the Authority's expenditure analysis for 2023/24. Employee pay costs 70%, supplies and services 13%, capital financing and other items 7%, premises 5%, transport 3% and other employee related costs 2%.">
                    <a:extLst xmlns:a="http://schemas.openxmlformats.org/drawingml/2006/main">
                      <a:ext uri="{FF2B5EF4-FFF2-40B4-BE49-F238E27FC236}">
                        <a16:creationId xmlns:a16="http://schemas.microsoft.com/office/drawing/2014/main" id="{372AEFDB-2802-4E30-98EF-C4BE56708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1301" w:type="dxa"/>
          </w:tcPr>
          <w:p w14:paraId="61DAE325" w14:textId="644D6A59" w:rsidR="00057CAF" w:rsidRPr="00D948C1" w:rsidRDefault="00057CAF" w:rsidP="006C0086">
            <w:pPr>
              <w:spacing w:line="276" w:lineRule="auto"/>
              <w:jc w:val="both"/>
              <w:rPr>
                <w:rFonts w:cs="Arial"/>
                <w:color w:val="000000" w:themeColor="text1"/>
                <w:szCs w:val="24"/>
              </w:rPr>
            </w:pPr>
          </w:p>
        </w:tc>
      </w:tr>
    </w:tbl>
    <w:p w14:paraId="43A81EA0" w14:textId="2D24B6BA" w:rsidR="004A1184" w:rsidRPr="00D948C1" w:rsidRDefault="00E815CF" w:rsidP="006C0086">
      <w:pPr>
        <w:spacing w:line="276" w:lineRule="auto"/>
        <w:rPr>
          <w:rFonts w:cs="Arial"/>
          <w:color w:val="000000" w:themeColor="text1"/>
          <w:szCs w:val="24"/>
        </w:rPr>
      </w:pPr>
      <w:r w:rsidRPr="00D948C1">
        <w:rPr>
          <w:noProof/>
        </w:rPr>
        <w:drawing>
          <wp:inline distT="0" distB="0" distL="0" distR="0" wp14:anchorId="7482D981" wp14:editId="363D808C">
            <wp:extent cx="5338800" cy="3924000"/>
            <wp:effectExtent l="0" t="0" r="0" b="635"/>
            <wp:docPr id="572777185" name="Chart 1" descr="Pie chart showing the Authority's income analysis for 2023/24. Council tax 50%, business rates 27%, government grant 12% and other income 11%.">
              <a:extLst xmlns:a="http://schemas.openxmlformats.org/drawingml/2006/main">
                <a:ext uri="{FF2B5EF4-FFF2-40B4-BE49-F238E27FC236}">
                  <a16:creationId xmlns:a16="http://schemas.microsoft.com/office/drawing/2014/main" id="{3F73873E-F689-4F4D-806A-5D85CDB21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547006" w14:textId="1D9D4684" w:rsidR="004A1184" w:rsidRPr="00D948C1" w:rsidRDefault="004A1184" w:rsidP="006C0086">
      <w:pPr>
        <w:spacing w:line="276" w:lineRule="auto"/>
        <w:rPr>
          <w:rFonts w:cs="Arial"/>
          <w:color w:val="000000" w:themeColor="text1"/>
          <w:szCs w:val="24"/>
        </w:rPr>
      </w:pPr>
      <w:r w:rsidRPr="00D948C1">
        <w:rPr>
          <w:rFonts w:cs="Arial"/>
          <w:color w:val="000000" w:themeColor="text1"/>
          <w:szCs w:val="24"/>
        </w:rPr>
        <w:br w:type="page"/>
      </w:r>
    </w:p>
    <w:p w14:paraId="095A2956" w14:textId="23ABC940"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lastRenderedPageBreak/>
        <w:t xml:space="preserve">A summarised comparison of the Fire Authority’s expenditure for the year compared with budget is set out </w:t>
      </w:r>
      <w:r w:rsidR="000E606D" w:rsidRPr="00D948C1">
        <w:rPr>
          <w:rFonts w:cs="Arial"/>
          <w:color w:val="000000" w:themeColor="text1"/>
          <w:szCs w:val="24"/>
        </w:rPr>
        <w:t>below:</w:t>
      </w:r>
    </w:p>
    <w:p w14:paraId="40428272" w14:textId="77777777" w:rsidR="006E6CFF" w:rsidRPr="00D948C1" w:rsidRDefault="006E6CFF" w:rsidP="006C0086">
      <w:pPr>
        <w:spacing w:line="276" w:lineRule="auto"/>
        <w:rPr>
          <w:rFonts w:cs="Arial"/>
          <w:color w:val="000000" w:themeColor="text1"/>
          <w:szCs w:val="24"/>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95"/>
        <w:gridCol w:w="1495"/>
        <w:gridCol w:w="1494"/>
      </w:tblGrid>
      <w:tr w:rsidR="006E6CFF" w:rsidRPr="00D948C1" w14:paraId="1722917A" w14:textId="77777777" w:rsidTr="00BD79B2">
        <w:trPr>
          <w:trHeight w:val="600"/>
          <w:tblHeader/>
        </w:trPr>
        <w:tc>
          <w:tcPr>
            <w:tcW w:w="4082" w:type="dxa"/>
            <w:shd w:val="clear" w:color="auto" w:fill="BD2716"/>
            <w:noWrap/>
            <w:vAlign w:val="center"/>
            <w:hideMark/>
          </w:tcPr>
          <w:p w14:paraId="529321E9" w14:textId="72A518EB" w:rsidR="006E6CFF" w:rsidRPr="00D948C1" w:rsidRDefault="00B10A2A" w:rsidP="006C0086">
            <w:pPr>
              <w:spacing w:line="276" w:lineRule="auto"/>
              <w:rPr>
                <w:rFonts w:cs="Arial"/>
                <w:color w:val="FFFFFF" w:themeColor="background1"/>
                <w:szCs w:val="24"/>
                <w:lang w:eastAsia="en-GB"/>
              </w:rPr>
            </w:pPr>
            <w:bookmarkStart w:id="2" w:name="_Hlk162424902"/>
            <w:r w:rsidRPr="00D948C1">
              <w:rPr>
                <w:rFonts w:cs="Arial"/>
                <w:color w:val="FFFFFF" w:themeColor="background1"/>
                <w:szCs w:val="24"/>
                <w:lang w:eastAsia="en-GB"/>
              </w:rPr>
              <w:t>Comparison (</w:t>
            </w:r>
            <w:r w:rsidR="00F2325E" w:rsidRPr="00D948C1">
              <w:rPr>
                <w:rFonts w:cs="Arial"/>
                <w:color w:val="FFFFFF" w:themeColor="background1"/>
                <w:szCs w:val="24"/>
                <w:lang w:eastAsia="en-GB"/>
              </w:rPr>
              <w:t>£000</w:t>
            </w:r>
            <w:r w:rsidRPr="00D948C1">
              <w:rPr>
                <w:rFonts w:cs="Arial"/>
                <w:color w:val="FFFFFF" w:themeColor="background1"/>
                <w:szCs w:val="24"/>
                <w:lang w:eastAsia="en-GB"/>
              </w:rPr>
              <w:t>)</w:t>
            </w:r>
          </w:p>
        </w:tc>
        <w:tc>
          <w:tcPr>
            <w:tcW w:w="1495" w:type="dxa"/>
            <w:shd w:val="clear" w:color="auto" w:fill="BD2716"/>
            <w:vAlign w:val="center"/>
            <w:hideMark/>
          </w:tcPr>
          <w:p w14:paraId="7188C0F5" w14:textId="2D8B63D6" w:rsidR="006E6CFF" w:rsidRPr="00D948C1" w:rsidRDefault="006E6CFF"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Budget</w:t>
            </w:r>
          </w:p>
        </w:tc>
        <w:tc>
          <w:tcPr>
            <w:tcW w:w="1495" w:type="dxa"/>
            <w:shd w:val="clear" w:color="auto" w:fill="BD2716"/>
            <w:vAlign w:val="center"/>
            <w:hideMark/>
          </w:tcPr>
          <w:p w14:paraId="265F64A0" w14:textId="77777777" w:rsidR="006E6CFF" w:rsidRPr="00D948C1" w:rsidRDefault="006E6CFF"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Spend</w:t>
            </w:r>
          </w:p>
        </w:tc>
        <w:tc>
          <w:tcPr>
            <w:tcW w:w="1494" w:type="dxa"/>
            <w:shd w:val="clear" w:color="auto" w:fill="BD2716"/>
            <w:vAlign w:val="center"/>
            <w:hideMark/>
          </w:tcPr>
          <w:p w14:paraId="34A41E13" w14:textId="14D36B9D" w:rsidR="006E6CFF" w:rsidRPr="00D948C1" w:rsidRDefault="006E6CFF"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(Under) / Overspend</w:t>
            </w:r>
          </w:p>
        </w:tc>
      </w:tr>
      <w:tr w:rsidR="006E6CFF" w:rsidRPr="00D948C1" w14:paraId="50F66AD9" w14:textId="77777777" w:rsidTr="00ED0584">
        <w:trPr>
          <w:trHeight w:val="300"/>
        </w:trPr>
        <w:tc>
          <w:tcPr>
            <w:tcW w:w="4082" w:type="dxa"/>
            <w:shd w:val="clear" w:color="auto" w:fill="auto"/>
            <w:noWrap/>
            <w:vAlign w:val="center"/>
            <w:hideMark/>
          </w:tcPr>
          <w:p w14:paraId="2433AF3E" w14:textId="77777777" w:rsidR="006E6CFF" w:rsidRPr="00D948C1" w:rsidRDefault="006E6CFF" w:rsidP="006C0086">
            <w:pPr>
              <w:spacing w:line="276" w:lineRule="auto"/>
              <w:rPr>
                <w:rFonts w:cs="Arial"/>
                <w:szCs w:val="24"/>
                <w:lang w:eastAsia="en-GB"/>
              </w:rPr>
            </w:pPr>
            <w:r w:rsidRPr="00D948C1">
              <w:rPr>
                <w:rFonts w:cs="Arial"/>
                <w:szCs w:val="24"/>
                <w:lang w:eastAsia="en-GB"/>
              </w:rPr>
              <w:t>Employees: pay costs</w:t>
            </w:r>
          </w:p>
        </w:tc>
        <w:tc>
          <w:tcPr>
            <w:tcW w:w="1495" w:type="dxa"/>
            <w:shd w:val="clear" w:color="auto" w:fill="auto"/>
            <w:noWrap/>
            <w:vAlign w:val="center"/>
          </w:tcPr>
          <w:p w14:paraId="6DD6A0A8" w14:textId="64DA0AEB" w:rsidR="006E6CFF" w:rsidRPr="00D948C1" w:rsidRDefault="00ED0584" w:rsidP="006C0086">
            <w:pPr>
              <w:spacing w:line="276" w:lineRule="auto"/>
              <w:jc w:val="right"/>
              <w:rPr>
                <w:rFonts w:cs="Arial"/>
                <w:szCs w:val="24"/>
                <w:lang w:eastAsia="en-GB"/>
              </w:rPr>
            </w:pPr>
            <w:r w:rsidRPr="00D948C1">
              <w:rPr>
                <w:rFonts w:cs="Arial"/>
                <w:szCs w:val="24"/>
                <w:lang w:eastAsia="en-GB"/>
              </w:rPr>
              <w:t>53,167</w:t>
            </w:r>
          </w:p>
        </w:tc>
        <w:tc>
          <w:tcPr>
            <w:tcW w:w="1495" w:type="dxa"/>
            <w:shd w:val="clear" w:color="auto" w:fill="auto"/>
            <w:noWrap/>
            <w:vAlign w:val="center"/>
          </w:tcPr>
          <w:p w14:paraId="5DDE43A4" w14:textId="391C8861" w:rsidR="006E6CFF" w:rsidRPr="00D948C1" w:rsidRDefault="00ED0584" w:rsidP="006C0086">
            <w:pPr>
              <w:spacing w:line="276" w:lineRule="auto"/>
              <w:jc w:val="right"/>
              <w:rPr>
                <w:rFonts w:cs="Arial"/>
                <w:szCs w:val="24"/>
                <w:lang w:eastAsia="en-GB"/>
              </w:rPr>
            </w:pPr>
            <w:r w:rsidRPr="00D948C1">
              <w:rPr>
                <w:rFonts w:cs="Arial"/>
                <w:szCs w:val="24"/>
                <w:lang w:eastAsia="en-GB"/>
              </w:rPr>
              <w:t>53,526</w:t>
            </w:r>
          </w:p>
        </w:tc>
        <w:tc>
          <w:tcPr>
            <w:tcW w:w="1494" w:type="dxa"/>
            <w:shd w:val="clear" w:color="auto" w:fill="auto"/>
            <w:noWrap/>
            <w:vAlign w:val="center"/>
          </w:tcPr>
          <w:p w14:paraId="32D5D919" w14:textId="1C75150C" w:rsidR="006E6CFF" w:rsidRPr="00D948C1" w:rsidRDefault="00ED0584" w:rsidP="006C0086">
            <w:pPr>
              <w:spacing w:line="276" w:lineRule="auto"/>
              <w:jc w:val="right"/>
              <w:rPr>
                <w:rFonts w:cs="Arial"/>
                <w:szCs w:val="24"/>
                <w:lang w:eastAsia="en-GB"/>
              </w:rPr>
            </w:pPr>
            <w:r w:rsidRPr="00D948C1">
              <w:rPr>
                <w:rFonts w:cs="Arial"/>
                <w:szCs w:val="24"/>
                <w:lang w:eastAsia="en-GB"/>
              </w:rPr>
              <w:t>359</w:t>
            </w:r>
          </w:p>
        </w:tc>
      </w:tr>
      <w:tr w:rsidR="006E6CFF" w:rsidRPr="00D948C1" w14:paraId="54405153" w14:textId="77777777" w:rsidTr="00ED0584">
        <w:trPr>
          <w:trHeight w:val="300"/>
        </w:trPr>
        <w:tc>
          <w:tcPr>
            <w:tcW w:w="4082" w:type="dxa"/>
            <w:shd w:val="clear" w:color="auto" w:fill="auto"/>
            <w:noWrap/>
            <w:vAlign w:val="center"/>
            <w:hideMark/>
          </w:tcPr>
          <w:p w14:paraId="186DEDB6" w14:textId="77777777" w:rsidR="006E6CFF" w:rsidRPr="00D948C1" w:rsidRDefault="006E6CFF" w:rsidP="006C0086">
            <w:pPr>
              <w:spacing w:line="276" w:lineRule="auto"/>
              <w:rPr>
                <w:rFonts w:cs="Arial"/>
                <w:szCs w:val="24"/>
                <w:lang w:eastAsia="en-GB"/>
              </w:rPr>
            </w:pPr>
            <w:r w:rsidRPr="00D948C1">
              <w:rPr>
                <w:rFonts w:cs="Arial"/>
                <w:szCs w:val="24"/>
                <w:lang w:eastAsia="en-GB"/>
              </w:rPr>
              <w:t>Other employee related costs</w:t>
            </w:r>
          </w:p>
        </w:tc>
        <w:tc>
          <w:tcPr>
            <w:tcW w:w="1495" w:type="dxa"/>
            <w:shd w:val="clear" w:color="auto" w:fill="auto"/>
            <w:noWrap/>
            <w:vAlign w:val="center"/>
          </w:tcPr>
          <w:p w14:paraId="4C4521A7" w14:textId="61643BE4" w:rsidR="006E6CFF" w:rsidRPr="00D948C1" w:rsidRDefault="00ED0584" w:rsidP="006C0086">
            <w:pPr>
              <w:spacing w:line="276" w:lineRule="auto"/>
              <w:jc w:val="right"/>
              <w:rPr>
                <w:rFonts w:cs="Arial"/>
                <w:szCs w:val="24"/>
                <w:lang w:eastAsia="en-GB"/>
              </w:rPr>
            </w:pPr>
            <w:r w:rsidRPr="00D948C1">
              <w:rPr>
                <w:rFonts w:cs="Arial"/>
                <w:szCs w:val="24"/>
                <w:lang w:eastAsia="en-GB"/>
              </w:rPr>
              <w:t>1,536</w:t>
            </w:r>
          </w:p>
        </w:tc>
        <w:tc>
          <w:tcPr>
            <w:tcW w:w="1495" w:type="dxa"/>
            <w:shd w:val="clear" w:color="auto" w:fill="auto"/>
            <w:noWrap/>
            <w:vAlign w:val="center"/>
          </w:tcPr>
          <w:p w14:paraId="1328E8E6" w14:textId="55E372B8" w:rsidR="006E6CFF" w:rsidRPr="00D948C1" w:rsidRDefault="00ED0584" w:rsidP="006C0086">
            <w:pPr>
              <w:spacing w:line="276" w:lineRule="auto"/>
              <w:jc w:val="right"/>
              <w:rPr>
                <w:rFonts w:cs="Arial"/>
                <w:szCs w:val="24"/>
                <w:lang w:eastAsia="en-GB"/>
              </w:rPr>
            </w:pPr>
            <w:r w:rsidRPr="00D948C1">
              <w:rPr>
                <w:rFonts w:cs="Arial"/>
                <w:szCs w:val="24"/>
                <w:lang w:eastAsia="en-GB"/>
              </w:rPr>
              <w:t>1,395</w:t>
            </w:r>
          </w:p>
        </w:tc>
        <w:tc>
          <w:tcPr>
            <w:tcW w:w="1494" w:type="dxa"/>
            <w:shd w:val="clear" w:color="auto" w:fill="auto"/>
            <w:noWrap/>
            <w:vAlign w:val="center"/>
          </w:tcPr>
          <w:p w14:paraId="237B823E" w14:textId="59AB7C98" w:rsidR="006E6CFF" w:rsidRPr="00D948C1" w:rsidRDefault="00ED0584" w:rsidP="006C0086">
            <w:pPr>
              <w:spacing w:line="276" w:lineRule="auto"/>
              <w:jc w:val="right"/>
              <w:rPr>
                <w:rFonts w:cs="Arial"/>
                <w:szCs w:val="24"/>
                <w:lang w:eastAsia="en-GB"/>
              </w:rPr>
            </w:pPr>
            <w:r w:rsidRPr="00D948C1">
              <w:rPr>
                <w:rFonts w:cs="Arial"/>
                <w:szCs w:val="24"/>
                <w:lang w:eastAsia="en-GB"/>
              </w:rPr>
              <w:t>(141)</w:t>
            </w:r>
          </w:p>
        </w:tc>
      </w:tr>
      <w:tr w:rsidR="006E6CFF" w:rsidRPr="00D948C1" w14:paraId="2CF42362" w14:textId="77777777" w:rsidTr="00ED0584">
        <w:trPr>
          <w:trHeight w:val="300"/>
        </w:trPr>
        <w:tc>
          <w:tcPr>
            <w:tcW w:w="4082" w:type="dxa"/>
            <w:shd w:val="clear" w:color="auto" w:fill="auto"/>
            <w:noWrap/>
            <w:vAlign w:val="center"/>
            <w:hideMark/>
          </w:tcPr>
          <w:p w14:paraId="427CBDF6" w14:textId="77777777" w:rsidR="006E6CFF" w:rsidRPr="00D948C1" w:rsidRDefault="006E6CFF" w:rsidP="006C0086">
            <w:pPr>
              <w:spacing w:line="276" w:lineRule="auto"/>
              <w:rPr>
                <w:rFonts w:cs="Arial"/>
                <w:szCs w:val="24"/>
                <w:lang w:eastAsia="en-GB"/>
              </w:rPr>
            </w:pPr>
            <w:r w:rsidRPr="00D948C1">
              <w:rPr>
                <w:rFonts w:cs="Arial"/>
                <w:szCs w:val="24"/>
                <w:lang w:eastAsia="en-GB"/>
              </w:rPr>
              <w:t>Premises</w:t>
            </w:r>
          </w:p>
        </w:tc>
        <w:tc>
          <w:tcPr>
            <w:tcW w:w="1495" w:type="dxa"/>
            <w:shd w:val="clear" w:color="auto" w:fill="auto"/>
            <w:noWrap/>
            <w:vAlign w:val="center"/>
          </w:tcPr>
          <w:p w14:paraId="469053EB" w14:textId="0A12923A" w:rsidR="006E6CFF" w:rsidRPr="00D948C1" w:rsidRDefault="00ED0584" w:rsidP="006C0086">
            <w:pPr>
              <w:spacing w:line="276" w:lineRule="auto"/>
              <w:jc w:val="right"/>
              <w:rPr>
                <w:rFonts w:cs="Arial"/>
                <w:szCs w:val="24"/>
                <w:lang w:eastAsia="en-GB"/>
              </w:rPr>
            </w:pPr>
            <w:r w:rsidRPr="00D948C1">
              <w:rPr>
                <w:rFonts w:cs="Arial"/>
                <w:szCs w:val="24"/>
                <w:lang w:eastAsia="en-GB"/>
              </w:rPr>
              <w:t>5,014</w:t>
            </w:r>
          </w:p>
        </w:tc>
        <w:tc>
          <w:tcPr>
            <w:tcW w:w="1495" w:type="dxa"/>
            <w:shd w:val="clear" w:color="auto" w:fill="auto"/>
            <w:noWrap/>
            <w:vAlign w:val="center"/>
          </w:tcPr>
          <w:p w14:paraId="29F03823" w14:textId="16C90AE3" w:rsidR="006E6CFF" w:rsidRPr="00D948C1" w:rsidRDefault="00ED0584" w:rsidP="006C0086">
            <w:pPr>
              <w:spacing w:line="276" w:lineRule="auto"/>
              <w:jc w:val="right"/>
              <w:rPr>
                <w:rFonts w:cs="Arial"/>
                <w:szCs w:val="24"/>
                <w:lang w:eastAsia="en-GB"/>
              </w:rPr>
            </w:pPr>
            <w:r w:rsidRPr="00D948C1">
              <w:rPr>
                <w:rFonts w:cs="Arial"/>
                <w:szCs w:val="24"/>
                <w:lang w:eastAsia="en-GB"/>
              </w:rPr>
              <w:t>4,132</w:t>
            </w:r>
          </w:p>
        </w:tc>
        <w:tc>
          <w:tcPr>
            <w:tcW w:w="1494" w:type="dxa"/>
            <w:shd w:val="clear" w:color="auto" w:fill="auto"/>
            <w:noWrap/>
            <w:vAlign w:val="center"/>
          </w:tcPr>
          <w:p w14:paraId="7FA6616A" w14:textId="4BDDDAF5" w:rsidR="006E6CFF" w:rsidRPr="00D948C1" w:rsidRDefault="00ED0584" w:rsidP="006C0086">
            <w:pPr>
              <w:spacing w:line="276" w:lineRule="auto"/>
              <w:jc w:val="right"/>
              <w:rPr>
                <w:rFonts w:cs="Arial"/>
                <w:szCs w:val="24"/>
                <w:lang w:eastAsia="en-GB"/>
              </w:rPr>
            </w:pPr>
            <w:r w:rsidRPr="00D948C1">
              <w:rPr>
                <w:rFonts w:cs="Arial"/>
                <w:szCs w:val="24"/>
                <w:lang w:eastAsia="en-GB"/>
              </w:rPr>
              <w:t>(882)</w:t>
            </w:r>
          </w:p>
        </w:tc>
      </w:tr>
      <w:tr w:rsidR="006E6CFF" w:rsidRPr="00D948C1" w14:paraId="61EDC6E9" w14:textId="77777777" w:rsidTr="00ED0584">
        <w:trPr>
          <w:trHeight w:val="300"/>
        </w:trPr>
        <w:tc>
          <w:tcPr>
            <w:tcW w:w="4082" w:type="dxa"/>
            <w:shd w:val="clear" w:color="auto" w:fill="auto"/>
            <w:noWrap/>
            <w:vAlign w:val="center"/>
            <w:hideMark/>
          </w:tcPr>
          <w:p w14:paraId="2CFE3474" w14:textId="77777777" w:rsidR="006E6CFF" w:rsidRPr="00D948C1" w:rsidRDefault="006E6CFF" w:rsidP="006C0086">
            <w:pPr>
              <w:spacing w:line="276" w:lineRule="auto"/>
              <w:rPr>
                <w:rFonts w:cs="Arial"/>
                <w:szCs w:val="24"/>
                <w:lang w:eastAsia="en-GB"/>
              </w:rPr>
            </w:pPr>
            <w:r w:rsidRPr="00D948C1">
              <w:rPr>
                <w:rFonts w:cs="Arial"/>
                <w:szCs w:val="24"/>
                <w:lang w:eastAsia="en-GB"/>
              </w:rPr>
              <w:t>Transport</w:t>
            </w:r>
          </w:p>
        </w:tc>
        <w:tc>
          <w:tcPr>
            <w:tcW w:w="1495" w:type="dxa"/>
            <w:shd w:val="clear" w:color="auto" w:fill="auto"/>
            <w:noWrap/>
            <w:vAlign w:val="center"/>
          </w:tcPr>
          <w:p w14:paraId="2F2F156B" w14:textId="7CAFDF1A" w:rsidR="006E6CFF" w:rsidRPr="00D948C1" w:rsidRDefault="00ED0584" w:rsidP="006C0086">
            <w:pPr>
              <w:spacing w:line="276" w:lineRule="auto"/>
              <w:jc w:val="right"/>
              <w:rPr>
                <w:rFonts w:cs="Arial"/>
                <w:szCs w:val="24"/>
                <w:lang w:eastAsia="en-GB"/>
              </w:rPr>
            </w:pPr>
            <w:r w:rsidRPr="00D948C1">
              <w:rPr>
                <w:rFonts w:cs="Arial"/>
                <w:szCs w:val="24"/>
                <w:lang w:eastAsia="en-GB"/>
              </w:rPr>
              <w:t>2,505</w:t>
            </w:r>
          </w:p>
        </w:tc>
        <w:tc>
          <w:tcPr>
            <w:tcW w:w="1495" w:type="dxa"/>
            <w:shd w:val="clear" w:color="auto" w:fill="auto"/>
            <w:noWrap/>
            <w:vAlign w:val="center"/>
          </w:tcPr>
          <w:p w14:paraId="3C556417" w14:textId="5F27656F" w:rsidR="006E6CFF" w:rsidRPr="00D948C1" w:rsidRDefault="00ED0584" w:rsidP="006C0086">
            <w:pPr>
              <w:spacing w:line="276" w:lineRule="auto"/>
              <w:jc w:val="right"/>
              <w:rPr>
                <w:rFonts w:cs="Arial"/>
                <w:szCs w:val="24"/>
                <w:lang w:eastAsia="en-GB"/>
              </w:rPr>
            </w:pPr>
            <w:r w:rsidRPr="00D948C1">
              <w:rPr>
                <w:rFonts w:cs="Arial"/>
                <w:szCs w:val="24"/>
                <w:lang w:eastAsia="en-GB"/>
              </w:rPr>
              <w:t>2,380</w:t>
            </w:r>
          </w:p>
        </w:tc>
        <w:tc>
          <w:tcPr>
            <w:tcW w:w="1494" w:type="dxa"/>
            <w:shd w:val="clear" w:color="auto" w:fill="auto"/>
            <w:noWrap/>
            <w:vAlign w:val="center"/>
          </w:tcPr>
          <w:p w14:paraId="32EDA55E" w14:textId="6DF8AB8F" w:rsidR="006E6CFF" w:rsidRPr="00D948C1" w:rsidRDefault="00ED0584" w:rsidP="006C0086">
            <w:pPr>
              <w:spacing w:line="276" w:lineRule="auto"/>
              <w:jc w:val="right"/>
              <w:rPr>
                <w:rFonts w:cs="Arial"/>
                <w:szCs w:val="24"/>
                <w:lang w:eastAsia="en-GB"/>
              </w:rPr>
            </w:pPr>
            <w:r w:rsidRPr="00D948C1">
              <w:rPr>
                <w:rFonts w:cs="Arial"/>
                <w:szCs w:val="24"/>
                <w:lang w:eastAsia="en-GB"/>
              </w:rPr>
              <w:t>(125)</w:t>
            </w:r>
          </w:p>
        </w:tc>
      </w:tr>
      <w:tr w:rsidR="006E6CFF" w:rsidRPr="00D948C1" w14:paraId="640881AD" w14:textId="77777777" w:rsidTr="00ED0584">
        <w:trPr>
          <w:trHeight w:val="300"/>
        </w:trPr>
        <w:tc>
          <w:tcPr>
            <w:tcW w:w="4082" w:type="dxa"/>
            <w:shd w:val="clear" w:color="auto" w:fill="auto"/>
            <w:noWrap/>
            <w:vAlign w:val="center"/>
            <w:hideMark/>
          </w:tcPr>
          <w:p w14:paraId="79F4C896" w14:textId="77777777" w:rsidR="006E6CFF" w:rsidRPr="00D948C1" w:rsidRDefault="006E6CFF" w:rsidP="006C0086">
            <w:pPr>
              <w:spacing w:line="276" w:lineRule="auto"/>
              <w:rPr>
                <w:rFonts w:cs="Arial"/>
                <w:szCs w:val="24"/>
                <w:lang w:eastAsia="en-GB"/>
              </w:rPr>
            </w:pPr>
            <w:r w:rsidRPr="00D948C1">
              <w:rPr>
                <w:rFonts w:cs="Arial"/>
                <w:szCs w:val="24"/>
                <w:lang w:eastAsia="en-GB"/>
              </w:rPr>
              <w:t>Supplies &amp; services</w:t>
            </w:r>
          </w:p>
        </w:tc>
        <w:tc>
          <w:tcPr>
            <w:tcW w:w="1495" w:type="dxa"/>
            <w:shd w:val="clear" w:color="auto" w:fill="auto"/>
            <w:noWrap/>
            <w:vAlign w:val="center"/>
          </w:tcPr>
          <w:p w14:paraId="3EC00A91" w14:textId="1C48BCF1" w:rsidR="006E6CFF" w:rsidRPr="00D948C1" w:rsidRDefault="00ED0584" w:rsidP="006C0086">
            <w:pPr>
              <w:spacing w:line="276" w:lineRule="auto"/>
              <w:jc w:val="right"/>
              <w:rPr>
                <w:rFonts w:cs="Arial"/>
                <w:szCs w:val="24"/>
                <w:lang w:eastAsia="en-GB"/>
              </w:rPr>
            </w:pPr>
            <w:r w:rsidRPr="00D948C1">
              <w:rPr>
                <w:rFonts w:cs="Arial"/>
                <w:szCs w:val="24"/>
                <w:lang w:eastAsia="en-GB"/>
              </w:rPr>
              <w:t>9,507</w:t>
            </w:r>
          </w:p>
        </w:tc>
        <w:tc>
          <w:tcPr>
            <w:tcW w:w="1495" w:type="dxa"/>
            <w:shd w:val="clear" w:color="auto" w:fill="auto"/>
            <w:noWrap/>
            <w:vAlign w:val="center"/>
          </w:tcPr>
          <w:p w14:paraId="6862420D" w14:textId="2D4B4152" w:rsidR="006E6CFF" w:rsidRPr="00D948C1" w:rsidRDefault="00ED0584" w:rsidP="006C0086">
            <w:pPr>
              <w:spacing w:line="276" w:lineRule="auto"/>
              <w:jc w:val="right"/>
              <w:rPr>
                <w:rFonts w:cs="Arial"/>
                <w:szCs w:val="24"/>
                <w:lang w:eastAsia="en-GB"/>
              </w:rPr>
            </w:pPr>
            <w:r w:rsidRPr="00D948C1">
              <w:rPr>
                <w:rFonts w:cs="Arial"/>
                <w:szCs w:val="24"/>
                <w:lang w:eastAsia="en-GB"/>
              </w:rPr>
              <w:t>9,959</w:t>
            </w:r>
          </w:p>
        </w:tc>
        <w:tc>
          <w:tcPr>
            <w:tcW w:w="1494" w:type="dxa"/>
            <w:shd w:val="clear" w:color="auto" w:fill="auto"/>
            <w:noWrap/>
            <w:vAlign w:val="center"/>
          </w:tcPr>
          <w:p w14:paraId="1C8CE3B6" w14:textId="5A201815" w:rsidR="006E6CFF" w:rsidRPr="00D948C1" w:rsidRDefault="00ED0584" w:rsidP="006C0086">
            <w:pPr>
              <w:spacing w:line="276" w:lineRule="auto"/>
              <w:jc w:val="right"/>
              <w:rPr>
                <w:rFonts w:cs="Arial"/>
                <w:szCs w:val="24"/>
                <w:lang w:eastAsia="en-GB"/>
              </w:rPr>
            </w:pPr>
            <w:r w:rsidRPr="00D948C1">
              <w:rPr>
                <w:rFonts w:cs="Arial"/>
                <w:szCs w:val="24"/>
                <w:lang w:eastAsia="en-GB"/>
              </w:rPr>
              <w:t>452</w:t>
            </w:r>
          </w:p>
        </w:tc>
      </w:tr>
      <w:tr w:rsidR="006E6CFF" w:rsidRPr="00D948C1" w14:paraId="463F6864" w14:textId="77777777" w:rsidTr="00ED0584">
        <w:trPr>
          <w:trHeight w:val="300"/>
        </w:trPr>
        <w:tc>
          <w:tcPr>
            <w:tcW w:w="4082" w:type="dxa"/>
            <w:shd w:val="clear" w:color="auto" w:fill="auto"/>
            <w:noWrap/>
            <w:vAlign w:val="center"/>
            <w:hideMark/>
          </w:tcPr>
          <w:p w14:paraId="3563AB68" w14:textId="77777777" w:rsidR="006E6CFF" w:rsidRPr="00D948C1" w:rsidRDefault="006E6CFF" w:rsidP="006C0086">
            <w:pPr>
              <w:spacing w:line="276" w:lineRule="auto"/>
              <w:rPr>
                <w:rFonts w:cs="Arial"/>
                <w:szCs w:val="24"/>
                <w:lang w:eastAsia="en-GB"/>
              </w:rPr>
            </w:pPr>
            <w:r w:rsidRPr="00D948C1">
              <w:rPr>
                <w:rFonts w:cs="Arial"/>
                <w:szCs w:val="24"/>
                <w:lang w:eastAsia="en-GB"/>
              </w:rPr>
              <w:t>Capital financing costs &amp; other items</w:t>
            </w:r>
          </w:p>
        </w:tc>
        <w:tc>
          <w:tcPr>
            <w:tcW w:w="1495" w:type="dxa"/>
            <w:shd w:val="clear" w:color="auto" w:fill="auto"/>
            <w:noWrap/>
            <w:vAlign w:val="center"/>
          </w:tcPr>
          <w:p w14:paraId="4BB37B4A" w14:textId="77FD91A2" w:rsidR="006E6CFF" w:rsidRPr="00D948C1" w:rsidRDefault="00ED0584" w:rsidP="006C0086">
            <w:pPr>
              <w:spacing w:line="276" w:lineRule="auto"/>
              <w:jc w:val="right"/>
              <w:rPr>
                <w:rFonts w:cs="Arial"/>
                <w:szCs w:val="24"/>
                <w:lang w:eastAsia="en-GB"/>
              </w:rPr>
            </w:pPr>
            <w:r w:rsidRPr="00D948C1">
              <w:rPr>
                <w:rFonts w:cs="Arial"/>
                <w:szCs w:val="24"/>
                <w:lang w:eastAsia="en-GB"/>
              </w:rPr>
              <w:t>4,560</w:t>
            </w:r>
          </w:p>
        </w:tc>
        <w:tc>
          <w:tcPr>
            <w:tcW w:w="1495" w:type="dxa"/>
            <w:shd w:val="clear" w:color="auto" w:fill="auto"/>
            <w:noWrap/>
            <w:vAlign w:val="center"/>
          </w:tcPr>
          <w:p w14:paraId="3F8D9CCD" w14:textId="50B2B9FA" w:rsidR="006E6CFF" w:rsidRPr="00D948C1" w:rsidRDefault="00ED0584" w:rsidP="006C0086">
            <w:pPr>
              <w:spacing w:line="276" w:lineRule="auto"/>
              <w:jc w:val="right"/>
              <w:rPr>
                <w:rFonts w:cs="Arial"/>
                <w:szCs w:val="24"/>
                <w:lang w:eastAsia="en-GB"/>
              </w:rPr>
            </w:pPr>
            <w:r w:rsidRPr="00D948C1">
              <w:rPr>
                <w:rFonts w:cs="Arial"/>
                <w:szCs w:val="24"/>
                <w:lang w:eastAsia="en-GB"/>
              </w:rPr>
              <w:t>5,523</w:t>
            </w:r>
          </w:p>
        </w:tc>
        <w:tc>
          <w:tcPr>
            <w:tcW w:w="1494" w:type="dxa"/>
            <w:shd w:val="clear" w:color="auto" w:fill="auto"/>
            <w:noWrap/>
            <w:vAlign w:val="center"/>
          </w:tcPr>
          <w:p w14:paraId="36C532EC" w14:textId="01E627C8" w:rsidR="006E6CFF" w:rsidRPr="00D948C1" w:rsidRDefault="00ED0584" w:rsidP="006C0086">
            <w:pPr>
              <w:spacing w:line="276" w:lineRule="auto"/>
              <w:jc w:val="right"/>
              <w:rPr>
                <w:rFonts w:cs="Arial"/>
                <w:szCs w:val="24"/>
                <w:lang w:eastAsia="en-GB"/>
              </w:rPr>
            </w:pPr>
            <w:r w:rsidRPr="00D948C1">
              <w:rPr>
                <w:rFonts w:cs="Arial"/>
                <w:szCs w:val="24"/>
                <w:lang w:eastAsia="en-GB"/>
              </w:rPr>
              <w:t>963</w:t>
            </w:r>
          </w:p>
        </w:tc>
      </w:tr>
      <w:tr w:rsidR="006E6CFF" w:rsidRPr="00D948C1" w14:paraId="52F50694" w14:textId="77777777" w:rsidTr="00533E5D">
        <w:trPr>
          <w:trHeight w:val="300"/>
        </w:trPr>
        <w:tc>
          <w:tcPr>
            <w:tcW w:w="4082" w:type="dxa"/>
            <w:shd w:val="clear" w:color="auto" w:fill="auto"/>
            <w:noWrap/>
            <w:vAlign w:val="center"/>
            <w:hideMark/>
          </w:tcPr>
          <w:p w14:paraId="0994AA4F" w14:textId="77777777" w:rsidR="006E6CFF" w:rsidRPr="00D948C1" w:rsidRDefault="006E6CFF" w:rsidP="006C0086">
            <w:pPr>
              <w:spacing w:line="276" w:lineRule="auto"/>
              <w:rPr>
                <w:rFonts w:cs="Arial"/>
                <w:b/>
                <w:bCs/>
                <w:szCs w:val="24"/>
                <w:lang w:eastAsia="en-GB"/>
              </w:rPr>
            </w:pPr>
            <w:r w:rsidRPr="00D948C1">
              <w:rPr>
                <w:rFonts w:cs="Arial"/>
                <w:b/>
                <w:bCs/>
                <w:szCs w:val="24"/>
                <w:lang w:eastAsia="en-GB"/>
              </w:rPr>
              <w:t>Total Expenditure</w:t>
            </w:r>
          </w:p>
        </w:tc>
        <w:tc>
          <w:tcPr>
            <w:tcW w:w="1495" w:type="dxa"/>
            <w:shd w:val="clear" w:color="auto" w:fill="auto"/>
            <w:noWrap/>
            <w:vAlign w:val="center"/>
            <w:hideMark/>
          </w:tcPr>
          <w:p w14:paraId="27565458" w14:textId="176D3150"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76,289</w:t>
            </w:r>
          </w:p>
        </w:tc>
        <w:tc>
          <w:tcPr>
            <w:tcW w:w="1495" w:type="dxa"/>
            <w:shd w:val="clear" w:color="auto" w:fill="auto"/>
            <w:noWrap/>
            <w:vAlign w:val="center"/>
            <w:hideMark/>
          </w:tcPr>
          <w:p w14:paraId="35EE7DED" w14:textId="07186BF6"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76,915</w:t>
            </w:r>
          </w:p>
        </w:tc>
        <w:tc>
          <w:tcPr>
            <w:tcW w:w="1494" w:type="dxa"/>
            <w:shd w:val="clear" w:color="auto" w:fill="auto"/>
            <w:noWrap/>
            <w:vAlign w:val="center"/>
            <w:hideMark/>
          </w:tcPr>
          <w:p w14:paraId="1961AB4A" w14:textId="573C8E7C"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626</w:t>
            </w:r>
          </w:p>
        </w:tc>
      </w:tr>
      <w:tr w:rsidR="006E6CFF" w:rsidRPr="00D948C1" w14:paraId="49C97CC3" w14:textId="77777777" w:rsidTr="00533E5D">
        <w:trPr>
          <w:trHeight w:val="300"/>
        </w:trPr>
        <w:tc>
          <w:tcPr>
            <w:tcW w:w="4082" w:type="dxa"/>
            <w:shd w:val="clear" w:color="auto" w:fill="auto"/>
            <w:noWrap/>
            <w:vAlign w:val="center"/>
            <w:hideMark/>
          </w:tcPr>
          <w:p w14:paraId="1D0A4DA9" w14:textId="77777777" w:rsidR="006E6CFF" w:rsidRPr="00D948C1" w:rsidRDefault="006E6CFF" w:rsidP="006C0086">
            <w:pPr>
              <w:spacing w:line="276" w:lineRule="auto"/>
              <w:rPr>
                <w:rFonts w:cs="Arial"/>
                <w:szCs w:val="24"/>
                <w:lang w:eastAsia="en-GB"/>
              </w:rPr>
            </w:pPr>
            <w:r w:rsidRPr="00D948C1">
              <w:rPr>
                <w:rFonts w:cs="Arial"/>
                <w:szCs w:val="24"/>
                <w:lang w:eastAsia="en-GB"/>
              </w:rPr>
              <w:t>Other Income</w:t>
            </w:r>
          </w:p>
        </w:tc>
        <w:tc>
          <w:tcPr>
            <w:tcW w:w="1495" w:type="dxa"/>
            <w:shd w:val="clear" w:color="auto" w:fill="auto"/>
            <w:noWrap/>
            <w:vAlign w:val="center"/>
            <w:hideMark/>
          </w:tcPr>
          <w:p w14:paraId="2F520378" w14:textId="43F89558" w:rsidR="006E6CFF" w:rsidRPr="00D948C1" w:rsidRDefault="006E6CFF" w:rsidP="006C0086">
            <w:pPr>
              <w:spacing w:line="276" w:lineRule="auto"/>
              <w:jc w:val="right"/>
              <w:rPr>
                <w:rFonts w:cs="Arial"/>
                <w:szCs w:val="24"/>
                <w:lang w:eastAsia="en-GB"/>
              </w:rPr>
            </w:pPr>
            <w:r w:rsidRPr="00D948C1">
              <w:rPr>
                <w:rFonts w:cs="Arial"/>
                <w:szCs w:val="24"/>
                <w:lang w:eastAsia="en-GB"/>
              </w:rPr>
              <w:t>(</w:t>
            </w:r>
            <w:r w:rsidR="00ED0584" w:rsidRPr="00D948C1">
              <w:rPr>
                <w:rFonts w:cs="Arial"/>
                <w:szCs w:val="24"/>
                <w:lang w:eastAsia="en-GB"/>
              </w:rPr>
              <w:t>8</w:t>
            </w:r>
            <w:r w:rsidRPr="00D948C1">
              <w:rPr>
                <w:rFonts w:cs="Arial"/>
                <w:szCs w:val="24"/>
                <w:lang w:eastAsia="en-GB"/>
              </w:rPr>
              <w:t>,</w:t>
            </w:r>
            <w:r w:rsidR="00ED0584" w:rsidRPr="00D948C1">
              <w:rPr>
                <w:rFonts w:cs="Arial"/>
                <w:szCs w:val="24"/>
                <w:lang w:eastAsia="en-GB"/>
              </w:rPr>
              <w:t>10</w:t>
            </w:r>
            <w:r w:rsidRPr="00D948C1">
              <w:rPr>
                <w:rFonts w:cs="Arial"/>
                <w:szCs w:val="24"/>
                <w:lang w:eastAsia="en-GB"/>
              </w:rPr>
              <w:t>6)</w:t>
            </w:r>
          </w:p>
        </w:tc>
        <w:tc>
          <w:tcPr>
            <w:tcW w:w="1495" w:type="dxa"/>
            <w:shd w:val="clear" w:color="auto" w:fill="auto"/>
            <w:noWrap/>
            <w:vAlign w:val="center"/>
            <w:hideMark/>
          </w:tcPr>
          <w:p w14:paraId="785BD979" w14:textId="395C431B" w:rsidR="006E6CFF" w:rsidRPr="00D948C1" w:rsidRDefault="00ED0584" w:rsidP="006C0086">
            <w:pPr>
              <w:spacing w:line="276" w:lineRule="auto"/>
              <w:jc w:val="right"/>
              <w:rPr>
                <w:rFonts w:cs="Arial"/>
                <w:szCs w:val="24"/>
                <w:lang w:eastAsia="en-GB"/>
              </w:rPr>
            </w:pPr>
            <w:r w:rsidRPr="00D948C1">
              <w:rPr>
                <w:rFonts w:cs="Arial"/>
                <w:szCs w:val="24"/>
                <w:lang w:eastAsia="en-GB"/>
              </w:rPr>
              <w:t>(8,349)</w:t>
            </w:r>
          </w:p>
        </w:tc>
        <w:tc>
          <w:tcPr>
            <w:tcW w:w="1494" w:type="dxa"/>
            <w:shd w:val="clear" w:color="auto" w:fill="auto"/>
            <w:noWrap/>
            <w:vAlign w:val="center"/>
            <w:hideMark/>
          </w:tcPr>
          <w:p w14:paraId="76B2F0B6" w14:textId="6684AB5F" w:rsidR="006E6CFF" w:rsidRPr="00D948C1" w:rsidRDefault="00ED0584" w:rsidP="006C0086">
            <w:pPr>
              <w:spacing w:line="276" w:lineRule="auto"/>
              <w:jc w:val="right"/>
              <w:rPr>
                <w:rFonts w:cs="Arial"/>
                <w:szCs w:val="24"/>
                <w:lang w:eastAsia="en-GB"/>
              </w:rPr>
            </w:pPr>
            <w:r w:rsidRPr="00D948C1">
              <w:rPr>
                <w:rFonts w:cs="Arial"/>
                <w:szCs w:val="24"/>
                <w:lang w:eastAsia="en-GB"/>
              </w:rPr>
              <w:t>(243)</w:t>
            </w:r>
          </w:p>
        </w:tc>
      </w:tr>
      <w:tr w:rsidR="006E6CFF" w:rsidRPr="00D948C1" w14:paraId="367CE81D" w14:textId="77777777" w:rsidTr="00533E5D">
        <w:trPr>
          <w:trHeight w:val="300"/>
        </w:trPr>
        <w:tc>
          <w:tcPr>
            <w:tcW w:w="4082" w:type="dxa"/>
            <w:shd w:val="clear" w:color="auto" w:fill="auto"/>
            <w:noWrap/>
            <w:vAlign w:val="center"/>
            <w:hideMark/>
          </w:tcPr>
          <w:p w14:paraId="51C42E6A" w14:textId="77777777" w:rsidR="006E6CFF" w:rsidRPr="00D948C1" w:rsidRDefault="006E6CFF" w:rsidP="006C0086">
            <w:pPr>
              <w:spacing w:line="276" w:lineRule="auto"/>
              <w:rPr>
                <w:rFonts w:cs="Arial"/>
                <w:b/>
                <w:bCs/>
                <w:szCs w:val="24"/>
                <w:lang w:eastAsia="en-GB"/>
              </w:rPr>
            </w:pPr>
            <w:r w:rsidRPr="00D948C1">
              <w:rPr>
                <w:rFonts w:cs="Arial"/>
                <w:b/>
                <w:bCs/>
                <w:szCs w:val="24"/>
                <w:lang w:eastAsia="en-GB"/>
              </w:rPr>
              <w:t>Budget requirement</w:t>
            </w:r>
          </w:p>
        </w:tc>
        <w:tc>
          <w:tcPr>
            <w:tcW w:w="1495" w:type="dxa"/>
            <w:shd w:val="clear" w:color="auto" w:fill="auto"/>
            <w:noWrap/>
            <w:vAlign w:val="center"/>
            <w:hideMark/>
          </w:tcPr>
          <w:p w14:paraId="6E356FB9" w14:textId="1D49A04E"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68,183</w:t>
            </w:r>
            <w:r w:rsidR="006E6CFF" w:rsidRPr="00D948C1">
              <w:rPr>
                <w:rFonts w:cs="Arial"/>
                <w:b/>
                <w:bCs/>
                <w:szCs w:val="24"/>
                <w:lang w:eastAsia="en-GB"/>
              </w:rPr>
              <w:t xml:space="preserve"> </w:t>
            </w:r>
          </w:p>
        </w:tc>
        <w:tc>
          <w:tcPr>
            <w:tcW w:w="1495" w:type="dxa"/>
            <w:shd w:val="clear" w:color="auto" w:fill="auto"/>
            <w:noWrap/>
            <w:vAlign w:val="center"/>
            <w:hideMark/>
          </w:tcPr>
          <w:p w14:paraId="130BF689" w14:textId="4FDE0D47"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68,566</w:t>
            </w:r>
          </w:p>
        </w:tc>
        <w:tc>
          <w:tcPr>
            <w:tcW w:w="1494" w:type="dxa"/>
            <w:shd w:val="clear" w:color="auto" w:fill="auto"/>
            <w:noWrap/>
            <w:vAlign w:val="center"/>
            <w:hideMark/>
          </w:tcPr>
          <w:p w14:paraId="4CFD8FA7" w14:textId="45112823"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383</w:t>
            </w:r>
          </w:p>
        </w:tc>
      </w:tr>
    </w:tbl>
    <w:p w14:paraId="69D14ACC" w14:textId="77777777" w:rsidR="00632FB9" w:rsidRPr="00D948C1" w:rsidRDefault="00632FB9" w:rsidP="006C0086">
      <w:pPr>
        <w:spacing w:line="276" w:lineRule="auto"/>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95"/>
        <w:gridCol w:w="1495"/>
        <w:gridCol w:w="1494"/>
      </w:tblGrid>
      <w:tr w:rsidR="00665819" w:rsidRPr="00D948C1" w14:paraId="04751BA2" w14:textId="77777777" w:rsidTr="00BD79B2">
        <w:trPr>
          <w:trHeight w:val="300"/>
        </w:trPr>
        <w:tc>
          <w:tcPr>
            <w:tcW w:w="8566" w:type="dxa"/>
            <w:gridSpan w:val="4"/>
            <w:shd w:val="clear" w:color="auto" w:fill="D9D9D9" w:themeFill="background1" w:themeFillShade="D9"/>
            <w:noWrap/>
            <w:vAlign w:val="center"/>
            <w:hideMark/>
          </w:tcPr>
          <w:p w14:paraId="555DA44E" w14:textId="2CD51C78" w:rsidR="00665819" w:rsidRPr="00D948C1" w:rsidRDefault="00665819" w:rsidP="006C0086">
            <w:pPr>
              <w:spacing w:line="276" w:lineRule="auto"/>
              <w:rPr>
                <w:rFonts w:cs="Arial"/>
                <w:b/>
                <w:bCs/>
                <w:szCs w:val="24"/>
                <w:lang w:eastAsia="en-GB"/>
              </w:rPr>
            </w:pPr>
            <w:r w:rsidRPr="00D948C1">
              <w:rPr>
                <w:rFonts w:cs="Arial"/>
                <w:b/>
                <w:bCs/>
                <w:szCs w:val="24"/>
                <w:lang w:eastAsia="en-GB"/>
              </w:rPr>
              <w:t>Funded by:</w:t>
            </w:r>
          </w:p>
        </w:tc>
      </w:tr>
      <w:tr w:rsidR="006E6CFF" w:rsidRPr="00D948C1" w14:paraId="51F30DEC" w14:textId="77777777" w:rsidTr="00ED0584">
        <w:trPr>
          <w:trHeight w:val="300"/>
        </w:trPr>
        <w:tc>
          <w:tcPr>
            <w:tcW w:w="4082" w:type="dxa"/>
            <w:shd w:val="clear" w:color="auto" w:fill="auto"/>
            <w:noWrap/>
            <w:vAlign w:val="center"/>
            <w:hideMark/>
          </w:tcPr>
          <w:p w14:paraId="1BB1BA6B" w14:textId="77777777" w:rsidR="006E6CFF" w:rsidRPr="00D948C1" w:rsidRDefault="006E6CFF" w:rsidP="006C0086">
            <w:pPr>
              <w:spacing w:line="276" w:lineRule="auto"/>
              <w:rPr>
                <w:rFonts w:cs="Arial"/>
                <w:szCs w:val="24"/>
                <w:lang w:eastAsia="en-GB"/>
              </w:rPr>
            </w:pPr>
            <w:r w:rsidRPr="00D948C1">
              <w:rPr>
                <w:rFonts w:cs="Arial"/>
                <w:szCs w:val="24"/>
                <w:lang w:eastAsia="en-GB"/>
              </w:rPr>
              <w:t>Council tax</w:t>
            </w:r>
          </w:p>
        </w:tc>
        <w:tc>
          <w:tcPr>
            <w:tcW w:w="1495" w:type="dxa"/>
            <w:shd w:val="clear" w:color="auto" w:fill="auto"/>
            <w:noWrap/>
            <w:vAlign w:val="center"/>
          </w:tcPr>
          <w:p w14:paraId="0C4966ED" w14:textId="140C8F7E" w:rsidR="006E6CFF" w:rsidRPr="00D948C1" w:rsidRDefault="00ED0584" w:rsidP="006C0086">
            <w:pPr>
              <w:spacing w:line="276" w:lineRule="auto"/>
              <w:jc w:val="right"/>
              <w:rPr>
                <w:rFonts w:cs="Arial"/>
                <w:szCs w:val="24"/>
                <w:lang w:eastAsia="en-GB"/>
              </w:rPr>
            </w:pPr>
            <w:r w:rsidRPr="00D948C1">
              <w:rPr>
                <w:rFonts w:cs="Arial"/>
                <w:szCs w:val="24"/>
                <w:lang w:eastAsia="en-GB"/>
              </w:rPr>
              <w:t>(37,951)</w:t>
            </w:r>
          </w:p>
        </w:tc>
        <w:tc>
          <w:tcPr>
            <w:tcW w:w="1495" w:type="dxa"/>
            <w:shd w:val="clear" w:color="auto" w:fill="auto"/>
            <w:noWrap/>
            <w:vAlign w:val="center"/>
          </w:tcPr>
          <w:p w14:paraId="76FE5395" w14:textId="4CFB06EE" w:rsidR="006E6CFF" w:rsidRPr="00D948C1" w:rsidRDefault="00ED0584" w:rsidP="006C0086">
            <w:pPr>
              <w:spacing w:line="276" w:lineRule="auto"/>
              <w:jc w:val="right"/>
              <w:rPr>
                <w:rFonts w:cs="Arial"/>
                <w:szCs w:val="24"/>
                <w:lang w:eastAsia="en-GB"/>
              </w:rPr>
            </w:pPr>
            <w:r w:rsidRPr="00D948C1">
              <w:rPr>
                <w:rFonts w:cs="Arial"/>
                <w:szCs w:val="24"/>
                <w:lang w:eastAsia="en-GB"/>
              </w:rPr>
              <w:t>(37,951)</w:t>
            </w:r>
          </w:p>
        </w:tc>
        <w:tc>
          <w:tcPr>
            <w:tcW w:w="1494" w:type="dxa"/>
            <w:shd w:val="clear" w:color="auto" w:fill="auto"/>
            <w:noWrap/>
            <w:vAlign w:val="center"/>
          </w:tcPr>
          <w:p w14:paraId="15D971E5" w14:textId="5545C182" w:rsidR="006E6CFF" w:rsidRPr="00D948C1" w:rsidRDefault="00ED0584" w:rsidP="006C0086">
            <w:pPr>
              <w:spacing w:line="276" w:lineRule="auto"/>
              <w:jc w:val="right"/>
              <w:rPr>
                <w:rFonts w:cs="Arial"/>
                <w:szCs w:val="24"/>
                <w:lang w:eastAsia="en-GB"/>
              </w:rPr>
            </w:pPr>
            <w:r w:rsidRPr="00D948C1">
              <w:rPr>
                <w:rFonts w:cs="Arial"/>
                <w:szCs w:val="24"/>
                <w:lang w:eastAsia="en-GB"/>
              </w:rPr>
              <w:t>-</w:t>
            </w:r>
          </w:p>
        </w:tc>
      </w:tr>
      <w:tr w:rsidR="006E6CFF" w:rsidRPr="00D948C1" w14:paraId="73E43CE1" w14:textId="77777777" w:rsidTr="00ED0584">
        <w:trPr>
          <w:trHeight w:val="300"/>
        </w:trPr>
        <w:tc>
          <w:tcPr>
            <w:tcW w:w="4082" w:type="dxa"/>
            <w:shd w:val="clear" w:color="auto" w:fill="auto"/>
            <w:noWrap/>
            <w:vAlign w:val="center"/>
            <w:hideMark/>
          </w:tcPr>
          <w:p w14:paraId="7469E542" w14:textId="77777777" w:rsidR="006E6CFF" w:rsidRPr="00D948C1" w:rsidRDefault="006E6CFF" w:rsidP="006C0086">
            <w:pPr>
              <w:spacing w:line="276" w:lineRule="auto"/>
              <w:rPr>
                <w:rFonts w:cs="Arial"/>
                <w:szCs w:val="24"/>
                <w:lang w:eastAsia="en-GB"/>
              </w:rPr>
            </w:pPr>
            <w:r w:rsidRPr="00D948C1">
              <w:rPr>
                <w:rFonts w:cs="Arial"/>
                <w:szCs w:val="24"/>
                <w:lang w:eastAsia="en-GB"/>
              </w:rPr>
              <w:t>Business rates</w:t>
            </w:r>
          </w:p>
        </w:tc>
        <w:tc>
          <w:tcPr>
            <w:tcW w:w="1495" w:type="dxa"/>
            <w:shd w:val="clear" w:color="auto" w:fill="auto"/>
            <w:noWrap/>
            <w:vAlign w:val="center"/>
          </w:tcPr>
          <w:p w14:paraId="1D8CFC9B" w14:textId="7EC017CE" w:rsidR="006E6CFF" w:rsidRPr="00D948C1" w:rsidRDefault="00ED0584" w:rsidP="006C0086">
            <w:pPr>
              <w:spacing w:line="276" w:lineRule="auto"/>
              <w:jc w:val="right"/>
              <w:rPr>
                <w:rFonts w:cs="Arial"/>
                <w:szCs w:val="24"/>
                <w:lang w:eastAsia="en-GB"/>
              </w:rPr>
            </w:pPr>
            <w:r w:rsidRPr="00D948C1">
              <w:rPr>
                <w:rFonts w:cs="Arial"/>
                <w:szCs w:val="24"/>
                <w:lang w:eastAsia="en-GB"/>
              </w:rPr>
              <w:t>(20,505)</w:t>
            </w:r>
          </w:p>
        </w:tc>
        <w:tc>
          <w:tcPr>
            <w:tcW w:w="1495" w:type="dxa"/>
            <w:shd w:val="clear" w:color="auto" w:fill="auto"/>
            <w:noWrap/>
            <w:vAlign w:val="center"/>
          </w:tcPr>
          <w:p w14:paraId="44C381E0" w14:textId="6877E1A9" w:rsidR="006E6CFF" w:rsidRPr="00D948C1" w:rsidRDefault="00ED0584" w:rsidP="006C0086">
            <w:pPr>
              <w:spacing w:line="276" w:lineRule="auto"/>
              <w:jc w:val="right"/>
              <w:rPr>
                <w:rFonts w:cs="Arial"/>
                <w:szCs w:val="24"/>
                <w:lang w:eastAsia="en-GB"/>
              </w:rPr>
            </w:pPr>
            <w:r w:rsidRPr="00D948C1">
              <w:rPr>
                <w:rFonts w:cs="Arial"/>
                <w:szCs w:val="24"/>
                <w:lang w:eastAsia="en-GB"/>
              </w:rPr>
              <w:t>(20,913)</w:t>
            </w:r>
          </w:p>
        </w:tc>
        <w:tc>
          <w:tcPr>
            <w:tcW w:w="1494" w:type="dxa"/>
            <w:shd w:val="clear" w:color="auto" w:fill="auto"/>
            <w:noWrap/>
            <w:vAlign w:val="center"/>
          </w:tcPr>
          <w:p w14:paraId="1B5A57BA" w14:textId="387D9EB7" w:rsidR="006E6CFF" w:rsidRPr="00D948C1" w:rsidRDefault="00ED0584" w:rsidP="006C0086">
            <w:pPr>
              <w:spacing w:line="276" w:lineRule="auto"/>
              <w:jc w:val="right"/>
              <w:rPr>
                <w:rFonts w:cs="Arial"/>
                <w:szCs w:val="24"/>
                <w:lang w:eastAsia="en-GB"/>
              </w:rPr>
            </w:pPr>
            <w:r w:rsidRPr="00D948C1">
              <w:rPr>
                <w:rFonts w:cs="Arial"/>
                <w:szCs w:val="24"/>
                <w:lang w:eastAsia="en-GB"/>
              </w:rPr>
              <w:t>(408)</w:t>
            </w:r>
          </w:p>
        </w:tc>
      </w:tr>
      <w:tr w:rsidR="006E6CFF" w:rsidRPr="00D948C1" w14:paraId="10AB25AB" w14:textId="77777777" w:rsidTr="00ED0584">
        <w:trPr>
          <w:trHeight w:val="300"/>
        </w:trPr>
        <w:tc>
          <w:tcPr>
            <w:tcW w:w="4082" w:type="dxa"/>
            <w:shd w:val="clear" w:color="auto" w:fill="auto"/>
            <w:noWrap/>
            <w:vAlign w:val="center"/>
            <w:hideMark/>
          </w:tcPr>
          <w:p w14:paraId="16007A6D" w14:textId="77777777" w:rsidR="006E6CFF" w:rsidRPr="00D948C1" w:rsidRDefault="006E6CFF" w:rsidP="006C0086">
            <w:pPr>
              <w:spacing w:line="276" w:lineRule="auto"/>
              <w:rPr>
                <w:rFonts w:cs="Arial"/>
                <w:szCs w:val="24"/>
                <w:lang w:eastAsia="en-GB"/>
              </w:rPr>
            </w:pPr>
            <w:r w:rsidRPr="00D948C1">
              <w:rPr>
                <w:rFonts w:cs="Arial"/>
                <w:szCs w:val="24"/>
                <w:lang w:eastAsia="en-GB"/>
              </w:rPr>
              <w:t>Government grant</w:t>
            </w:r>
          </w:p>
        </w:tc>
        <w:tc>
          <w:tcPr>
            <w:tcW w:w="1495" w:type="dxa"/>
            <w:shd w:val="clear" w:color="auto" w:fill="auto"/>
            <w:noWrap/>
            <w:vAlign w:val="center"/>
          </w:tcPr>
          <w:p w14:paraId="2B6576A6" w14:textId="5BBDBD7C" w:rsidR="006E6CFF" w:rsidRPr="00D948C1" w:rsidRDefault="00ED0584" w:rsidP="006C0086">
            <w:pPr>
              <w:spacing w:line="276" w:lineRule="auto"/>
              <w:jc w:val="right"/>
              <w:rPr>
                <w:rFonts w:cs="Arial"/>
                <w:szCs w:val="24"/>
                <w:lang w:eastAsia="en-GB"/>
              </w:rPr>
            </w:pPr>
            <w:r w:rsidRPr="00D948C1">
              <w:rPr>
                <w:rFonts w:cs="Arial"/>
                <w:szCs w:val="24"/>
                <w:lang w:eastAsia="en-GB"/>
              </w:rPr>
              <w:t>(9,727)</w:t>
            </w:r>
          </w:p>
        </w:tc>
        <w:tc>
          <w:tcPr>
            <w:tcW w:w="1495" w:type="dxa"/>
            <w:shd w:val="clear" w:color="auto" w:fill="auto"/>
            <w:noWrap/>
            <w:vAlign w:val="center"/>
          </w:tcPr>
          <w:p w14:paraId="6E8589FB" w14:textId="123E8C56" w:rsidR="006E6CFF" w:rsidRPr="00D948C1" w:rsidRDefault="00ED0584" w:rsidP="006C0086">
            <w:pPr>
              <w:spacing w:line="276" w:lineRule="auto"/>
              <w:jc w:val="right"/>
              <w:rPr>
                <w:rFonts w:cs="Arial"/>
                <w:szCs w:val="24"/>
                <w:lang w:eastAsia="en-GB"/>
              </w:rPr>
            </w:pPr>
            <w:r w:rsidRPr="00D948C1">
              <w:rPr>
                <w:rFonts w:cs="Arial"/>
                <w:szCs w:val="24"/>
                <w:lang w:eastAsia="en-GB"/>
              </w:rPr>
              <w:t>(9,482)</w:t>
            </w:r>
          </w:p>
        </w:tc>
        <w:tc>
          <w:tcPr>
            <w:tcW w:w="1494" w:type="dxa"/>
            <w:shd w:val="clear" w:color="auto" w:fill="auto"/>
            <w:noWrap/>
            <w:vAlign w:val="center"/>
          </w:tcPr>
          <w:p w14:paraId="140B4D8F" w14:textId="07862F31" w:rsidR="006E6CFF" w:rsidRPr="00D948C1" w:rsidRDefault="00ED0584" w:rsidP="006C0086">
            <w:pPr>
              <w:spacing w:line="276" w:lineRule="auto"/>
              <w:jc w:val="right"/>
              <w:rPr>
                <w:rFonts w:cs="Arial"/>
                <w:szCs w:val="24"/>
                <w:lang w:eastAsia="en-GB"/>
              </w:rPr>
            </w:pPr>
            <w:r w:rsidRPr="00D948C1">
              <w:rPr>
                <w:rFonts w:cs="Arial"/>
                <w:szCs w:val="24"/>
                <w:lang w:eastAsia="en-GB"/>
              </w:rPr>
              <w:t>245</w:t>
            </w:r>
          </w:p>
        </w:tc>
      </w:tr>
      <w:tr w:rsidR="006E6CFF" w:rsidRPr="00D948C1" w14:paraId="022CABE3" w14:textId="77777777" w:rsidTr="00ED0584">
        <w:trPr>
          <w:trHeight w:val="300"/>
        </w:trPr>
        <w:tc>
          <w:tcPr>
            <w:tcW w:w="4082" w:type="dxa"/>
            <w:shd w:val="clear" w:color="auto" w:fill="auto"/>
            <w:noWrap/>
            <w:vAlign w:val="center"/>
            <w:hideMark/>
          </w:tcPr>
          <w:p w14:paraId="10D0C5E0" w14:textId="3496E3D1" w:rsidR="006E6CFF" w:rsidRPr="00D948C1" w:rsidRDefault="00665819" w:rsidP="006C0086">
            <w:pPr>
              <w:spacing w:line="276" w:lineRule="auto"/>
              <w:rPr>
                <w:rFonts w:cs="Arial"/>
                <w:b/>
                <w:bCs/>
                <w:szCs w:val="24"/>
                <w:lang w:eastAsia="en-GB"/>
              </w:rPr>
            </w:pPr>
            <w:r w:rsidRPr="00D948C1">
              <w:rPr>
                <w:rFonts w:cs="Arial"/>
                <w:b/>
                <w:bCs/>
                <w:szCs w:val="24"/>
                <w:lang w:eastAsia="en-GB"/>
              </w:rPr>
              <w:t>Sub-total</w:t>
            </w:r>
          </w:p>
        </w:tc>
        <w:tc>
          <w:tcPr>
            <w:tcW w:w="1495" w:type="dxa"/>
            <w:shd w:val="clear" w:color="auto" w:fill="auto"/>
            <w:noWrap/>
            <w:vAlign w:val="center"/>
          </w:tcPr>
          <w:p w14:paraId="3443D10E" w14:textId="550C86D1"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(68,183)</w:t>
            </w:r>
          </w:p>
        </w:tc>
        <w:tc>
          <w:tcPr>
            <w:tcW w:w="1495" w:type="dxa"/>
            <w:shd w:val="clear" w:color="auto" w:fill="auto"/>
            <w:noWrap/>
            <w:vAlign w:val="center"/>
          </w:tcPr>
          <w:p w14:paraId="28B7E625" w14:textId="5F6A720D"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(68,346)</w:t>
            </w:r>
          </w:p>
        </w:tc>
        <w:tc>
          <w:tcPr>
            <w:tcW w:w="1494" w:type="dxa"/>
            <w:shd w:val="clear" w:color="auto" w:fill="auto"/>
            <w:noWrap/>
            <w:vAlign w:val="center"/>
          </w:tcPr>
          <w:p w14:paraId="3204EE09" w14:textId="6AF83C2D"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(163)</w:t>
            </w:r>
          </w:p>
        </w:tc>
      </w:tr>
      <w:tr w:rsidR="006E6CFF" w:rsidRPr="00D948C1" w14:paraId="615D4AAF" w14:textId="77777777" w:rsidTr="00ED0584">
        <w:trPr>
          <w:trHeight w:val="300"/>
        </w:trPr>
        <w:tc>
          <w:tcPr>
            <w:tcW w:w="4082" w:type="dxa"/>
            <w:shd w:val="clear" w:color="auto" w:fill="auto"/>
            <w:noWrap/>
            <w:vAlign w:val="center"/>
            <w:hideMark/>
          </w:tcPr>
          <w:p w14:paraId="06CAC410" w14:textId="77777777" w:rsidR="006E6CFF" w:rsidRPr="00D948C1" w:rsidRDefault="006E6CFF" w:rsidP="006C0086">
            <w:pPr>
              <w:spacing w:line="276" w:lineRule="auto"/>
              <w:rPr>
                <w:rFonts w:cs="Arial"/>
                <w:b/>
                <w:bCs/>
                <w:szCs w:val="24"/>
                <w:lang w:eastAsia="en-GB"/>
              </w:rPr>
            </w:pPr>
            <w:r w:rsidRPr="00D948C1">
              <w:rPr>
                <w:rFonts w:cs="Arial"/>
                <w:b/>
                <w:bCs/>
                <w:szCs w:val="24"/>
                <w:lang w:eastAsia="en-GB"/>
              </w:rPr>
              <w:t>Net Overspend</w:t>
            </w:r>
          </w:p>
        </w:tc>
        <w:tc>
          <w:tcPr>
            <w:tcW w:w="1495" w:type="dxa"/>
            <w:shd w:val="clear" w:color="auto" w:fill="auto"/>
            <w:noWrap/>
            <w:vAlign w:val="center"/>
          </w:tcPr>
          <w:p w14:paraId="2BD04DD1" w14:textId="5AF5AD7B" w:rsidR="00FF4100" w:rsidRPr="00D948C1" w:rsidRDefault="00ED0584" w:rsidP="006C0086">
            <w:pPr>
              <w:spacing w:line="276" w:lineRule="auto"/>
              <w:jc w:val="right"/>
              <w:rPr>
                <w:rFonts w:cs="Arial"/>
                <w:b/>
                <w:bCs/>
                <w:szCs w:val="24"/>
                <w:lang w:eastAsia="en-GB"/>
              </w:rPr>
            </w:pPr>
            <w:r w:rsidRPr="00D948C1">
              <w:rPr>
                <w:rFonts w:cs="Arial"/>
                <w:b/>
                <w:bCs/>
                <w:szCs w:val="24"/>
                <w:lang w:eastAsia="en-GB"/>
              </w:rPr>
              <w:t>-</w:t>
            </w:r>
          </w:p>
        </w:tc>
        <w:tc>
          <w:tcPr>
            <w:tcW w:w="1495" w:type="dxa"/>
            <w:shd w:val="clear" w:color="auto" w:fill="auto"/>
            <w:noWrap/>
            <w:vAlign w:val="center"/>
          </w:tcPr>
          <w:p w14:paraId="714617A4" w14:textId="51CA898D"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220</w:t>
            </w:r>
          </w:p>
        </w:tc>
        <w:tc>
          <w:tcPr>
            <w:tcW w:w="1494" w:type="dxa"/>
            <w:shd w:val="clear" w:color="auto" w:fill="auto"/>
            <w:noWrap/>
            <w:vAlign w:val="center"/>
          </w:tcPr>
          <w:p w14:paraId="2905DF89" w14:textId="0461E84F" w:rsidR="006E6CFF" w:rsidRPr="00D948C1" w:rsidRDefault="00ED0584" w:rsidP="006C0086">
            <w:pPr>
              <w:spacing w:line="276" w:lineRule="auto"/>
              <w:jc w:val="right"/>
              <w:rPr>
                <w:rFonts w:cs="Arial"/>
                <w:b/>
                <w:bCs/>
                <w:szCs w:val="24"/>
                <w:lang w:eastAsia="en-GB"/>
              </w:rPr>
            </w:pPr>
            <w:r w:rsidRPr="00D948C1">
              <w:rPr>
                <w:rFonts w:cs="Arial"/>
                <w:b/>
                <w:bCs/>
                <w:szCs w:val="24"/>
                <w:lang w:eastAsia="en-GB"/>
              </w:rPr>
              <w:t>220</w:t>
            </w:r>
          </w:p>
        </w:tc>
      </w:tr>
      <w:bookmarkEnd w:id="2"/>
    </w:tbl>
    <w:p w14:paraId="4CA89930" w14:textId="7E03365D" w:rsidR="006E6CFF" w:rsidRPr="00D948C1" w:rsidRDefault="006E6CFF" w:rsidP="006C0086">
      <w:pPr>
        <w:spacing w:line="276" w:lineRule="auto"/>
        <w:jc w:val="center"/>
        <w:rPr>
          <w:rFonts w:cs="Arial"/>
          <w:color w:val="000000" w:themeColor="text1"/>
          <w:szCs w:val="24"/>
        </w:rPr>
      </w:pPr>
    </w:p>
    <w:p w14:paraId="7B09AC7D" w14:textId="77777777" w:rsidR="006E6CFF" w:rsidRPr="00D948C1" w:rsidRDefault="006E6CFF" w:rsidP="006C0086">
      <w:pPr>
        <w:spacing w:line="276" w:lineRule="auto"/>
        <w:rPr>
          <w:rFonts w:cs="Arial"/>
          <w:color w:val="000000" w:themeColor="text1"/>
          <w:szCs w:val="24"/>
        </w:rPr>
      </w:pPr>
      <w:r w:rsidRPr="00D948C1">
        <w:rPr>
          <w:rFonts w:cs="Arial"/>
          <w:color w:val="000000" w:themeColor="text1"/>
          <w:szCs w:val="24"/>
        </w:rPr>
        <w:t>The following reconciliation shows the comparison between the revenue budget position, as set out above, and the Total Comprehensive Income and Expenditure figure reported in the accounts.</w:t>
      </w:r>
    </w:p>
    <w:p w14:paraId="3D2B2063" w14:textId="77777777" w:rsidR="006E6CFF" w:rsidRPr="00D948C1" w:rsidRDefault="006E6CFF" w:rsidP="006C0086">
      <w:pPr>
        <w:spacing w:line="276" w:lineRule="auto"/>
        <w:jc w:val="both"/>
        <w:rPr>
          <w:rFonts w:cs="Arial"/>
          <w:color w:val="000000" w:themeColor="text1"/>
          <w:szCs w:val="24"/>
        </w:rPr>
      </w:pP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1645"/>
      </w:tblGrid>
      <w:tr w:rsidR="006E6CFF" w:rsidRPr="00D948C1" w14:paraId="6DBC44B2" w14:textId="77777777" w:rsidTr="00BD79B2">
        <w:trPr>
          <w:tblHeader/>
        </w:trPr>
        <w:tc>
          <w:tcPr>
            <w:tcW w:w="6917" w:type="dxa"/>
            <w:shd w:val="clear" w:color="auto" w:fill="BD2716"/>
            <w:vAlign w:val="center"/>
          </w:tcPr>
          <w:p w14:paraId="3A863BE0" w14:textId="5F058BD2" w:rsidR="006E6CFF" w:rsidRPr="00D948C1" w:rsidRDefault="00B10A2A" w:rsidP="006C0086">
            <w:pPr>
              <w:spacing w:line="276" w:lineRule="auto"/>
              <w:rPr>
                <w:rFonts w:cs="Arial"/>
                <w:color w:val="FFFFFF" w:themeColor="background1"/>
                <w:szCs w:val="24"/>
              </w:rPr>
            </w:pPr>
            <w:r w:rsidRPr="00D948C1">
              <w:rPr>
                <w:rFonts w:cs="Arial"/>
                <w:color w:val="FFFFFF" w:themeColor="background1"/>
                <w:szCs w:val="24"/>
              </w:rPr>
              <w:t>Reconciliation</w:t>
            </w:r>
          </w:p>
        </w:tc>
        <w:tc>
          <w:tcPr>
            <w:tcW w:w="1645" w:type="dxa"/>
            <w:shd w:val="clear" w:color="auto" w:fill="BD2716"/>
            <w:vAlign w:val="center"/>
          </w:tcPr>
          <w:p w14:paraId="4AB3C5E8" w14:textId="722B8BF1" w:rsidR="006E6CFF" w:rsidRPr="00D948C1" w:rsidRDefault="00F2325E" w:rsidP="006C0086">
            <w:pPr>
              <w:spacing w:line="276" w:lineRule="auto"/>
              <w:jc w:val="right"/>
              <w:rPr>
                <w:rFonts w:cs="Arial"/>
                <w:szCs w:val="24"/>
                <w:lang w:eastAsia="en-GB"/>
              </w:rPr>
            </w:pPr>
            <w:r w:rsidRPr="00D948C1">
              <w:rPr>
                <w:rFonts w:cs="Arial"/>
                <w:color w:val="FFFFFF" w:themeColor="background1"/>
                <w:szCs w:val="24"/>
                <w:lang w:eastAsia="en-GB"/>
              </w:rPr>
              <w:t>£000</w:t>
            </w:r>
          </w:p>
        </w:tc>
      </w:tr>
      <w:tr w:rsidR="006E6CFF" w:rsidRPr="00D948C1" w14:paraId="00175959" w14:textId="77777777" w:rsidTr="00233A66">
        <w:tc>
          <w:tcPr>
            <w:tcW w:w="6917" w:type="dxa"/>
            <w:vAlign w:val="center"/>
          </w:tcPr>
          <w:p w14:paraId="6AA464AF" w14:textId="77777777" w:rsidR="006E6CFF" w:rsidRPr="00D948C1" w:rsidRDefault="006E6CFF" w:rsidP="006C0086">
            <w:pPr>
              <w:spacing w:line="276" w:lineRule="auto"/>
              <w:rPr>
                <w:rFonts w:cs="Arial"/>
                <w:color w:val="000000" w:themeColor="text1"/>
                <w:szCs w:val="24"/>
              </w:rPr>
            </w:pPr>
            <w:r w:rsidRPr="00D948C1">
              <w:rPr>
                <w:rFonts w:cs="Arial"/>
                <w:b/>
                <w:bCs/>
                <w:color w:val="000000" w:themeColor="text1"/>
                <w:szCs w:val="24"/>
              </w:rPr>
              <w:t xml:space="preserve">Revenue Outturn </w:t>
            </w:r>
          </w:p>
        </w:tc>
        <w:tc>
          <w:tcPr>
            <w:tcW w:w="1645" w:type="dxa"/>
            <w:vAlign w:val="center"/>
          </w:tcPr>
          <w:p w14:paraId="3FB78FE0" w14:textId="088BC46E" w:rsidR="006E6CFF" w:rsidRPr="00D948C1" w:rsidRDefault="00B567FC" w:rsidP="006C0086">
            <w:pPr>
              <w:spacing w:line="276" w:lineRule="auto"/>
              <w:jc w:val="right"/>
              <w:rPr>
                <w:rFonts w:cs="Arial"/>
                <w:b/>
                <w:bCs/>
                <w:szCs w:val="24"/>
                <w:lang w:eastAsia="en-GB"/>
              </w:rPr>
            </w:pPr>
            <w:r w:rsidRPr="00D948C1">
              <w:rPr>
                <w:rFonts w:cs="Arial"/>
                <w:b/>
                <w:bCs/>
                <w:szCs w:val="24"/>
                <w:lang w:eastAsia="en-GB"/>
              </w:rPr>
              <w:t>220</w:t>
            </w:r>
          </w:p>
        </w:tc>
      </w:tr>
      <w:tr w:rsidR="006E6CFF" w:rsidRPr="00D948C1" w14:paraId="7D31BB21" w14:textId="77777777" w:rsidTr="00233A66">
        <w:tc>
          <w:tcPr>
            <w:tcW w:w="6917" w:type="dxa"/>
            <w:vAlign w:val="center"/>
          </w:tcPr>
          <w:p w14:paraId="1ACB5E10" w14:textId="77777777" w:rsidR="006E6CFF" w:rsidRPr="00D948C1" w:rsidRDefault="006E6CFF" w:rsidP="006C0086">
            <w:pPr>
              <w:spacing w:line="276" w:lineRule="auto"/>
              <w:rPr>
                <w:rFonts w:cs="Arial"/>
                <w:szCs w:val="24"/>
              </w:rPr>
            </w:pPr>
            <w:r w:rsidRPr="00D948C1">
              <w:rPr>
                <w:rFonts w:cs="Arial"/>
                <w:color w:val="000000"/>
                <w:szCs w:val="24"/>
              </w:rPr>
              <w:t xml:space="preserve">Remove Capital Contributions and transfers to / from reserves </w:t>
            </w:r>
          </w:p>
        </w:tc>
        <w:tc>
          <w:tcPr>
            <w:tcW w:w="1645" w:type="dxa"/>
            <w:vAlign w:val="center"/>
          </w:tcPr>
          <w:p w14:paraId="06E43E2B" w14:textId="53D677C6" w:rsidR="006E6CFF" w:rsidRPr="00D948C1" w:rsidRDefault="006E6CFF" w:rsidP="006C0086">
            <w:pPr>
              <w:spacing w:line="276" w:lineRule="auto"/>
              <w:jc w:val="right"/>
              <w:rPr>
                <w:rFonts w:cs="Arial"/>
                <w:szCs w:val="24"/>
                <w:lang w:eastAsia="en-GB"/>
              </w:rPr>
            </w:pPr>
            <w:r w:rsidRPr="00D948C1">
              <w:rPr>
                <w:rFonts w:cs="Arial"/>
                <w:szCs w:val="24"/>
                <w:lang w:eastAsia="en-GB"/>
              </w:rPr>
              <w:t>(</w:t>
            </w:r>
            <w:r w:rsidR="00B567FC" w:rsidRPr="00D948C1">
              <w:rPr>
                <w:rFonts w:cs="Arial"/>
                <w:szCs w:val="24"/>
                <w:lang w:eastAsia="en-GB"/>
              </w:rPr>
              <w:t>4,459</w:t>
            </w:r>
            <w:r w:rsidRPr="00D948C1">
              <w:rPr>
                <w:rFonts w:cs="Arial"/>
                <w:szCs w:val="24"/>
                <w:lang w:eastAsia="en-GB"/>
              </w:rPr>
              <w:t>)</w:t>
            </w:r>
          </w:p>
        </w:tc>
      </w:tr>
      <w:tr w:rsidR="006E6CFF" w:rsidRPr="00D948C1" w14:paraId="0937268F" w14:textId="77777777" w:rsidTr="00233A66">
        <w:tc>
          <w:tcPr>
            <w:tcW w:w="6917" w:type="dxa"/>
            <w:vAlign w:val="center"/>
          </w:tcPr>
          <w:p w14:paraId="77E4D413" w14:textId="77777777" w:rsidR="006E6CFF" w:rsidRPr="00D948C1" w:rsidRDefault="006E6CFF" w:rsidP="006C0086">
            <w:pPr>
              <w:spacing w:line="276" w:lineRule="auto"/>
              <w:rPr>
                <w:rFonts w:cs="Arial"/>
                <w:szCs w:val="24"/>
              </w:rPr>
            </w:pPr>
            <w:r w:rsidRPr="00D948C1">
              <w:rPr>
                <w:rFonts w:cs="Arial"/>
                <w:color w:val="000000"/>
                <w:szCs w:val="24"/>
              </w:rPr>
              <w:t>Adjustments for Capital Purposes</w:t>
            </w:r>
          </w:p>
        </w:tc>
        <w:tc>
          <w:tcPr>
            <w:tcW w:w="1645" w:type="dxa"/>
            <w:vAlign w:val="center"/>
          </w:tcPr>
          <w:p w14:paraId="20A8DD1B" w14:textId="57493A42" w:rsidR="006E6CFF" w:rsidRPr="00D948C1" w:rsidRDefault="006E6CFF" w:rsidP="006C0086">
            <w:pPr>
              <w:spacing w:line="276" w:lineRule="auto"/>
              <w:jc w:val="right"/>
              <w:rPr>
                <w:rFonts w:cs="Arial"/>
                <w:szCs w:val="24"/>
                <w:lang w:eastAsia="en-GB"/>
              </w:rPr>
            </w:pPr>
            <w:r w:rsidRPr="00D948C1">
              <w:rPr>
                <w:rFonts w:cs="Arial"/>
                <w:szCs w:val="24"/>
                <w:lang w:eastAsia="en-GB"/>
              </w:rPr>
              <w:t>4,</w:t>
            </w:r>
            <w:r w:rsidR="00B567FC" w:rsidRPr="00D948C1">
              <w:rPr>
                <w:rFonts w:cs="Arial"/>
                <w:szCs w:val="24"/>
                <w:lang w:eastAsia="en-GB"/>
              </w:rPr>
              <w:t>301</w:t>
            </w:r>
          </w:p>
        </w:tc>
      </w:tr>
      <w:tr w:rsidR="006E6CFF" w:rsidRPr="00D948C1" w14:paraId="7752FEF1" w14:textId="77777777" w:rsidTr="00233A66">
        <w:tc>
          <w:tcPr>
            <w:tcW w:w="6917" w:type="dxa"/>
            <w:vAlign w:val="center"/>
          </w:tcPr>
          <w:p w14:paraId="23CEF5F2" w14:textId="77777777" w:rsidR="006E6CFF" w:rsidRPr="00D948C1" w:rsidRDefault="006E6CFF" w:rsidP="006C0086">
            <w:pPr>
              <w:spacing w:line="276" w:lineRule="auto"/>
              <w:rPr>
                <w:rFonts w:cs="Arial"/>
                <w:szCs w:val="24"/>
              </w:rPr>
            </w:pPr>
            <w:r w:rsidRPr="00D948C1">
              <w:rPr>
                <w:rFonts w:cs="Arial"/>
                <w:color w:val="000000"/>
                <w:szCs w:val="24"/>
              </w:rPr>
              <w:t>Net change for Pensions Adjustments</w:t>
            </w:r>
          </w:p>
        </w:tc>
        <w:tc>
          <w:tcPr>
            <w:tcW w:w="1645" w:type="dxa"/>
            <w:vAlign w:val="center"/>
          </w:tcPr>
          <w:p w14:paraId="55BE0F04" w14:textId="14ED29E3" w:rsidR="006E6CFF" w:rsidRPr="00D948C1" w:rsidRDefault="00B567FC" w:rsidP="006C0086">
            <w:pPr>
              <w:spacing w:line="276" w:lineRule="auto"/>
              <w:jc w:val="right"/>
              <w:rPr>
                <w:rFonts w:cs="Arial"/>
                <w:szCs w:val="24"/>
                <w:lang w:eastAsia="en-GB"/>
              </w:rPr>
            </w:pPr>
            <w:r w:rsidRPr="00D948C1">
              <w:rPr>
                <w:rFonts w:cs="Arial"/>
                <w:szCs w:val="24"/>
                <w:lang w:eastAsia="en-GB"/>
              </w:rPr>
              <w:t>4,570</w:t>
            </w:r>
          </w:p>
        </w:tc>
      </w:tr>
      <w:tr w:rsidR="006E6CFF" w:rsidRPr="00D948C1" w14:paraId="7F9D45A4" w14:textId="77777777" w:rsidTr="00233A66">
        <w:tc>
          <w:tcPr>
            <w:tcW w:w="6917" w:type="dxa"/>
            <w:vAlign w:val="center"/>
          </w:tcPr>
          <w:p w14:paraId="460B525F" w14:textId="77777777" w:rsidR="006E6CFF" w:rsidRPr="00D948C1" w:rsidRDefault="006E6CFF" w:rsidP="006C0086">
            <w:pPr>
              <w:spacing w:line="276" w:lineRule="auto"/>
              <w:rPr>
                <w:rFonts w:cs="Arial"/>
                <w:szCs w:val="24"/>
              </w:rPr>
            </w:pPr>
            <w:r w:rsidRPr="00D948C1">
              <w:rPr>
                <w:rFonts w:cs="Arial"/>
                <w:color w:val="000000"/>
                <w:szCs w:val="24"/>
              </w:rPr>
              <w:t>Other Differences</w:t>
            </w:r>
          </w:p>
        </w:tc>
        <w:tc>
          <w:tcPr>
            <w:tcW w:w="1645" w:type="dxa"/>
            <w:vAlign w:val="center"/>
          </w:tcPr>
          <w:p w14:paraId="3B63D2DD" w14:textId="72DD8976" w:rsidR="006E6CFF" w:rsidRPr="00D948C1" w:rsidRDefault="00B567FC" w:rsidP="006C0086">
            <w:pPr>
              <w:spacing w:line="276" w:lineRule="auto"/>
              <w:jc w:val="right"/>
              <w:rPr>
                <w:rFonts w:cs="Arial"/>
                <w:szCs w:val="24"/>
                <w:lang w:eastAsia="en-GB"/>
              </w:rPr>
            </w:pPr>
            <w:r w:rsidRPr="00D948C1">
              <w:rPr>
                <w:rFonts w:cs="Arial"/>
                <w:szCs w:val="24"/>
                <w:lang w:eastAsia="en-GB"/>
              </w:rPr>
              <w:t>1,206</w:t>
            </w:r>
          </w:p>
        </w:tc>
      </w:tr>
      <w:tr w:rsidR="006E6CFF" w:rsidRPr="00D948C1" w14:paraId="4B4E1FA0" w14:textId="77777777" w:rsidTr="00233A66">
        <w:tc>
          <w:tcPr>
            <w:tcW w:w="6917" w:type="dxa"/>
            <w:tcBorders>
              <w:top w:val="single" w:sz="4" w:space="0" w:color="auto"/>
              <w:left w:val="single" w:sz="4" w:space="0" w:color="auto"/>
              <w:bottom w:val="single" w:sz="4" w:space="0" w:color="auto"/>
              <w:right w:val="single" w:sz="4" w:space="0" w:color="auto"/>
            </w:tcBorders>
            <w:vAlign w:val="center"/>
          </w:tcPr>
          <w:p w14:paraId="4F85B138" w14:textId="77777777" w:rsidR="006E6CFF" w:rsidRPr="00D948C1" w:rsidRDefault="006E6CFF" w:rsidP="006C0086">
            <w:pPr>
              <w:spacing w:line="276" w:lineRule="auto"/>
              <w:rPr>
                <w:rFonts w:cs="Arial"/>
                <w:szCs w:val="24"/>
              </w:rPr>
            </w:pPr>
            <w:r w:rsidRPr="00D948C1">
              <w:rPr>
                <w:rFonts w:cs="Arial"/>
                <w:b/>
                <w:bCs/>
                <w:color w:val="000000"/>
                <w:szCs w:val="24"/>
              </w:rPr>
              <w:t>Deficit on provision of services</w:t>
            </w:r>
          </w:p>
        </w:tc>
        <w:tc>
          <w:tcPr>
            <w:tcW w:w="1645" w:type="dxa"/>
            <w:tcBorders>
              <w:top w:val="single" w:sz="4" w:space="0" w:color="auto"/>
              <w:left w:val="single" w:sz="4" w:space="0" w:color="auto"/>
              <w:bottom w:val="single" w:sz="4" w:space="0" w:color="auto"/>
              <w:right w:val="single" w:sz="4" w:space="0" w:color="auto"/>
            </w:tcBorders>
            <w:vAlign w:val="center"/>
          </w:tcPr>
          <w:p w14:paraId="56EC88EF" w14:textId="17E742AE" w:rsidR="006E6CFF" w:rsidRPr="00D948C1" w:rsidRDefault="00B567FC" w:rsidP="006C0086">
            <w:pPr>
              <w:spacing w:line="276" w:lineRule="auto"/>
              <w:jc w:val="right"/>
              <w:rPr>
                <w:rFonts w:cs="Arial"/>
                <w:b/>
                <w:bCs/>
                <w:szCs w:val="24"/>
                <w:lang w:eastAsia="en-GB"/>
              </w:rPr>
            </w:pPr>
            <w:r w:rsidRPr="00D948C1">
              <w:rPr>
                <w:rFonts w:cs="Arial"/>
                <w:b/>
                <w:bCs/>
                <w:szCs w:val="24"/>
                <w:lang w:eastAsia="en-GB"/>
              </w:rPr>
              <w:t>5,838</w:t>
            </w:r>
          </w:p>
        </w:tc>
      </w:tr>
      <w:tr w:rsidR="006E6CFF" w:rsidRPr="00D948C1" w14:paraId="61F89BFF" w14:textId="77777777" w:rsidTr="00233A66">
        <w:tc>
          <w:tcPr>
            <w:tcW w:w="6917" w:type="dxa"/>
            <w:vAlign w:val="center"/>
          </w:tcPr>
          <w:p w14:paraId="0F201F0F" w14:textId="77777777" w:rsidR="006E6CFF" w:rsidRPr="00D948C1" w:rsidRDefault="006E6CFF" w:rsidP="006C0086">
            <w:pPr>
              <w:spacing w:line="276" w:lineRule="auto"/>
              <w:rPr>
                <w:rFonts w:cs="Arial"/>
                <w:szCs w:val="24"/>
              </w:rPr>
            </w:pPr>
            <w:r w:rsidRPr="00D948C1">
              <w:rPr>
                <w:rFonts w:cs="Arial"/>
                <w:color w:val="000000"/>
                <w:szCs w:val="24"/>
              </w:rPr>
              <w:t>(Surplus)/Deficit on revaluation of fixed assets</w:t>
            </w:r>
          </w:p>
        </w:tc>
        <w:tc>
          <w:tcPr>
            <w:tcW w:w="1645" w:type="dxa"/>
            <w:vAlign w:val="center"/>
          </w:tcPr>
          <w:p w14:paraId="5E54456F" w14:textId="5892C4F6" w:rsidR="006E6CFF" w:rsidRPr="00D948C1" w:rsidRDefault="006E6CFF" w:rsidP="006C0086">
            <w:pPr>
              <w:spacing w:line="276" w:lineRule="auto"/>
              <w:jc w:val="right"/>
              <w:rPr>
                <w:rFonts w:cs="Arial"/>
                <w:szCs w:val="24"/>
                <w:lang w:eastAsia="en-GB"/>
              </w:rPr>
            </w:pPr>
            <w:r w:rsidRPr="00D948C1">
              <w:rPr>
                <w:rFonts w:cs="Arial"/>
                <w:szCs w:val="24"/>
                <w:lang w:eastAsia="en-GB"/>
              </w:rPr>
              <w:t>(</w:t>
            </w:r>
            <w:r w:rsidR="00B567FC" w:rsidRPr="00D948C1">
              <w:rPr>
                <w:rFonts w:cs="Arial"/>
                <w:szCs w:val="24"/>
                <w:lang w:eastAsia="en-GB"/>
              </w:rPr>
              <w:t>1,206</w:t>
            </w:r>
            <w:r w:rsidRPr="00D948C1">
              <w:rPr>
                <w:rFonts w:cs="Arial"/>
                <w:szCs w:val="24"/>
                <w:lang w:eastAsia="en-GB"/>
              </w:rPr>
              <w:t>)</w:t>
            </w:r>
          </w:p>
        </w:tc>
      </w:tr>
      <w:tr w:rsidR="006E6CFF" w:rsidRPr="00D948C1" w14:paraId="4CF4D591" w14:textId="77777777" w:rsidTr="00233A66">
        <w:tc>
          <w:tcPr>
            <w:tcW w:w="6917" w:type="dxa"/>
            <w:vAlign w:val="center"/>
          </w:tcPr>
          <w:p w14:paraId="19857C53" w14:textId="77777777" w:rsidR="006E6CFF" w:rsidRPr="00D948C1" w:rsidRDefault="006E6CFF" w:rsidP="006C0086">
            <w:pPr>
              <w:spacing w:line="276" w:lineRule="auto"/>
              <w:rPr>
                <w:rFonts w:cs="Arial"/>
                <w:szCs w:val="24"/>
              </w:rPr>
            </w:pPr>
            <w:r w:rsidRPr="00D948C1">
              <w:rPr>
                <w:rFonts w:cs="Arial"/>
                <w:color w:val="000000"/>
                <w:szCs w:val="24"/>
              </w:rPr>
              <w:t>Actuarial (gains)/losses on pension fund assets</w:t>
            </w:r>
          </w:p>
        </w:tc>
        <w:tc>
          <w:tcPr>
            <w:tcW w:w="1645" w:type="dxa"/>
            <w:vAlign w:val="center"/>
          </w:tcPr>
          <w:p w14:paraId="30FF4B34" w14:textId="6D4F2093" w:rsidR="006E6CFF" w:rsidRPr="00D948C1" w:rsidRDefault="006E6CFF" w:rsidP="006C0086">
            <w:pPr>
              <w:spacing w:line="276" w:lineRule="auto"/>
              <w:jc w:val="right"/>
              <w:rPr>
                <w:rFonts w:cs="Arial"/>
                <w:szCs w:val="24"/>
                <w:lang w:eastAsia="en-GB"/>
              </w:rPr>
            </w:pPr>
            <w:r w:rsidRPr="00D948C1">
              <w:rPr>
                <w:rFonts w:cs="Arial"/>
                <w:szCs w:val="24"/>
                <w:lang w:eastAsia="en-GB"/>
              </w:rPr>
              <w:t>(</w:t>
            </w:r>
            <w:r w:rsidR="00B567FC" w:rsidRPr="00D948C1">
              <w:rPr>
                <w:rFonts w:cs="Arial"/>
                <w:szCs w:val="24"/>
                <w:lang w:eastAsia="en-GB"/>
              </w:rPr>
              <w:t>4,170</w:t>
            </w:r>
            <w:r w:rsidRPr="00D948C1">
              <w:rPr>
                <w:rFonts w:cs="Arial"/>
                <w:szCs w:val="24"/>
                <w:lang w:eastAsia="en-GB"/>
              </w:rPr>
              <w:t>)</w:t>
            </w:r>
          </w:p>
        </w:tc>
      </w:tr>
      <w:tr w:rsidR="006E6CFF" w:rsidRPr="00D948C1" w14:paraId="30A98FEE" w14:textId="77777777" w:rsidTr="00233A66">
        <w:tc>
          <w:tcPr>
            <w:tcW w:w="6917" w:type="dxa"/>
            <w:vAlign w:val="center"/>
          </w:tcPr>
          <w:p w14:paraId="67B2070C" w14:textId="77777777" w:rsidR="006E6CFF" w:rsidRPr="00D948C1" w:rsidRDefault="006E6CFF" w:rsidP="006C0086">
            <w:pPr>
              <w:spacing w:line="276" w:lineRule="auto"/>
              <w:rPr>
                <w:rFonts w:cs="Arial"/>
                <w:szCs w:val="24"/>
              </w:rPr>
            </w:pPr>
            <w:r w:rsidRPr="00D948C1">
              <w:rPr>
                <w:rFonts w:cs="Arial"/>
                <w:b/>
                <w:bCs/>
                <w:color w:val="000000"/>
                <w:szCs w:val="24"/>
              </w:rPr>
              <w:t>Total Comprehensive Income and Expenditure</w:t>
            </w:r>
          </w:p>
        </w:tc>
        <w:tc>
          <w:tcPr>
            <w:tcW w:w="1645" w:type="dxa"/>
            <w:vAlign w:val="center"/>
          </w:tcPr>
          <w:p w14:paraId="33C53C5D" w14:textId="0AE2B7E9" w:rsidR="006E6CFF" w:rsidRPr="00D948C1" w:rsidRDefault="006E6CFF" w:rsidP="006C0086">
            <w:pPr>
              <w:spacing w:line="276" w:lineRule="auto"/>
              <w:jc w:val="right"/>
              <w:rPr>
                <w:rFonts w:cs="Arial"/>
                <w:b/>
                <w:bCs/>
                <w:szCs w:val="24"/>
                <w:lang w:eastAsia="en-GB"/>
              </w:rPr>
            </w:pPr>
            <w:r w:rsidRPr="00D948C1">
              <w:rPr>
                <w:rFonts w:cs="Arial"/>
                <w:b/>
                <w:bCs/>
                <w:szCs w:val="24"/>
                <w:lang w:eastAsia="en-GB"/>
              </w:rPr>
              <w:t>(</w:t>
            </w:r>
            <w:r w:rsidR="00B567FC" w:rsidRPr="00D948C1">
              <w:rPr>
                <w:rFonts w:cs="Arial"/>
                <w:b/>
                <w:bCs/>
                <w:szCs w:val="24"/>
                <w:lang w:eastAsia="en-GB"/>
              </w:rPr>
              <w:t>461</w:t>
            </w:r>
            <w:r w:rsidRPr="00D948C1">
              <w:rPr>
                <w:rFonts w:cs="Arial"/>
                <w:b/>
                <w:bCs/>
                <w:szCs w:val="24"/>
                <w:lang w:eastAsia="en-GB"/>
              </w:rPr>
              <w:t>)</w:t>
            </w:r>
          </w:p>
        </w:tc>
      </w:tr>
    </w:tbl>
    <w:p w14:paraId="7403769F" w14:textId="77777777" w:rsidR="006E6CFF" w:rsidRPr="00D948C1" w:rsidRDefault="006E6CFF" w:rsidP="006C0086">
      <w:pPr>
        <w:spacing w:line="276" w:lineRule="auto"/>
        <w:jc w:val="both"/>
        <w:rPr>
          <w:rFonts w:cs="Arial"/>
          <w:color w:val="000000" w:themeColor="text1"/>
          <w:szCs w:val="24"/>
        </w:rPr>
      </w:pPr>
    </w:p>
    <w:p w14:paraId="2D3254ED" w14:textId="13DC2274"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 xml:space="preserve">The Authority’s general fund balance, that includes our share of </w:t>
      </w:r>
      <w:r w:rsidR="00606309" w:rsidRPr="00D948C1">
        <w:rPr>
          <w:rFonts w:cs="Arial"/>
          <w:color w:val="000000" w:themeColor="text1"/>
          <w:szCs w:val="24"/>
        </w:rPr>
        <w:t>Northwest</w:t>
      </w:r>
      <w:r w:rsidRPr="00D948C1">
        <w:rPr>
          <w:rFonts w:cs="Arial"/>
          <w:color w:val="000000" w:themeColor="text1"/>
          <w:szCs w:val="24"/>
        </w:rPr>
        <w:t xml:space="preserve"> </w:t>
      </w:r>
      <w:r w:rsidR="00606309" w:rsidRPr="00D948C1">
        <w:rPr>
          <w:rFonts w:cs="Arial"/>
          <w:color w:val="000000" w:themeColor="text1"/>
          <w:szCs w:val="24"/>
        </w:rPr>
        <w:t>Fire Control</w:t>
      </w:r>
      <w:r w:rsidRPr="00D948C1">
        <w:rPr>
          <w:rFonts w:cs="Arial"/>
          <w:color w:val="000000" w:themeColor="text1"/>
          <w:szCs w:val="24"/>
        </w:rPr>
        <w:t xml:space="preserve">, was £4.89m at the start of the year. Following a review of reserves during the year and the transfer of the overspend of £0.22m the reserve balance at the end of the year is £5.66m. The Authority’s year-end balance excluding our share of </w:t>
      </w:r>
      <w:r w:rsidR="00606309" w:rsidRPr="00D948C1">
        <w:rPr>
          <w:rFonts w:cs="Arial"/>
          <w:color w:val="000000" w:themeColor="text1"/>
          <w:szCs w:val="24"/>
        </w:rPr>
        <w:t>Northwest</w:t>
      </w:r>
      <w:r w:rsidRPr="00D948C1">
        <w:rPr>
          <w:rFonts w:cs="Arial"/>
          <w:color w:val="000000" w:themeColor="text1"/>
          <w:szCs w:val="24"/>
        </w:rPr>
        <w:t xml:space="preserve"> </w:t>
      </w:r>
      <w:r w:rsidR="00606309" w:rsidRPr="00D948C1">
        <w:rPr>
          <w:rFonts w:cs="Arial"/>
          <w:color w:val="000000" w:themeColor="text1"/>
          <w:szCs w:val="24"/>
        </w:rPr>
        <w:t>Fire Control</w:t>
      </w:r>
      <w:r w:rsidRPr="00D948C1">
        <w:rPr>
          <w:rFonts w:cs="Arial"/>
          <w:color w:val="000000" w:themeColor="text1"/>
          <w:szCs w:val="24"/>
        </w:rPr>
        <w:t xml:space="preserve"> is £4.99m (this is above the minimum level of reserves approved by the Authority at its budget meeting in 2024). </w:t>
      </w:r>
    </w:p>
    <w:p w14:paraId="7EF0DC93" w14:textId="77777777" w:rsidR="00634FF1" w:rsidRPr="00D948C1" w:rsidRDefault="00634FF1" w:rsidP="006C0086">
      <w:pPr>
        <w:spacing w:line="276" w:lineRule="auto"/>
        <w:rPr>
          <w:rFonts w:cs="Arial"/>
          <w:color w:val="000000" w:themeColor="text1"/>
          <w:szCs w:val="24"/>
        </w:rPr>
      </w:pPr>
    </w:p>
    <w:p w14:paraId="794AFF1A" w14:textId="17A8D358"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The Authority also holds an additional £8.44m of earmarked revenue reserves and £20.45m of capital reserves and receipts. The Capital reserves and receipts are fully utilised within the medium-term financial strategy. It is also worth noting that over half of the earmarked reserve relates to the Authority’s two P</w:t>
      </w:r>
      <w:r w:rsidR="00B5320B">
        <w:rPr>
          <w:rFonts w:cs="Arial"/>
          <w:color w:val="000000" w:themeColor="text1"/>
          <w:szCs w:val="24"/>
        </w:rPr>
        <w:t xml:space="preserve">rivate Finance Initiative </w:t>
      </w:r>
      <w:r w:rsidRPr="00D948C1">
        <w:rPr>
          <w:rFonts w:cs="Arial"/>
          <w:color w:val="000000" w:themeColor="text1"/>
          <w:szCs w:val="24"/>
        </w:rPr>
        <w:t>schemes, whereby monies are set aside in the early years of the schemes to meet future costs, thus smoothing out the impact of inflationary pressures.</w:t>
      </w:r>
    </w:p>
    <w:p w14:paraId="4D298F3E" w14:textId="77777777" w:rsidR="00634FF1" w:rsidRPr="00D948C1" w:rsidRDefault="00634FF1" w:rsidP="006C0086">
      <w:pPr>
        <w:spacing w:line="276" w:lineRule="auto"/>
        <w:rPr>
          <w:rFonts w:cs="Arial"/>
          <w:color w:val="000000" w:themeColor="text1"/>
          <w:szCs w:val="24"/>
        </w:rPr>
      </w:pPr>
    </w:p>
    <w:p w14:paraId="4E690EAC" w14:textId="77777777" w:rsidR="00634FF1" w:rsidRPr="007E2E4D" w:rsidRDefault="00634FF1" w:rsidP="006C0086">
      <w:pPr>
        <w:spacing w:line="276" w:lineRule="auto"/>
        <w:rPr>
          <w:rFonts w:cs="Arial"/>
          <w:color w:val="000000" w:themeColor="text1"/>
          <w:sz w:val="22"/>
          <w:szCs w:val="22"/>
        </w:rPr>
      </w:pPr>
      <w:r w:rsidRPr="00D948C1">
        <w:rPr>
          <w:rFonts w:cs="Arial"/>
          <w:color w:val="000000" w:themeColor="text1"/>
          <w:szCs w:val="24"/>
        </w:rPr>
        <w:t xml:space="preserve">The Authority has continued to invest in its asset base, with capital expenditure incurred in the year totalling £6m, with the main contributors to this being set out </w:t>
      </w:r>
      <w:proofErr w:type="gramStart"/>
      <w:r w:rsidRPr="00D948C1">
        <w:rPr>
          <w:rFonts w:cs="Arial"/>
          <w:color w:val="000000" w:themeColor="text1"/>
          <w:szCs w:val="24"/>
        </w:rPr>
        <w:t>below:-</w:t>
      </w:r>
      <w:proofErr w:type="gramEnd"/>
    </w:p>
    <w:p w14:paraId="2F64AB76" w14:textId="77777777" w:rsidR="00634FF1" w:rsidRPr="00816695" w:rsidRDefault="00634FF1" w:rsidP="006C0086">
      <w:pPr>
        <w:spacing w:line="276" w:lineRule="auto"/>
        <w:jc w:val="both"/>
        <w:rPr>
          <w:rFonts w:cs="Arial"/>
          <w:color w:val="000000" w:themeColor="text1"/>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822"/>
      </w:tblGrid>
      <w:tr w:rsidR="00634FF1" w:rsidRPr="00816695" w14:paraId="3DC535D2" w14:textId="77777777" w:rsidTr="00AF3F25">
        <w:trPr>
          <w:tblHeader/>
        </w:trPr>
        <w:tc>
          <w:tcPr>
            <w:tcW w:w="9101" w:type="dxa"/>
            <w:shd w:val="clear" w:color="auto" w:fill="BD2716"/>
            <w:vAlign w:val="center"/>
          </w:tcPr>
          <w:p w14:paraId="44129294" w14:textId="77777777" w:rsidR="00634FF1" w:rsidRPr="000F5E3B" w:rsidRDefault="00634FF1" w:rsidP="006C0086">
            <w:pPr>
              <w:spacing w:line="276" w:lineRule="auto"/>
              <w:rPr>
                <w:rFonts w:cs="Arial"/>
                <w:color w:val="FFFFFF" w:themeColor="background1"/>
                <w:szCs w:val="24"/>
              </w:rPr>
            </w:pPr>
            <w:r w:rsidRPr="000F5E3B">
              <w:rPr>
                <w:rFonts w:cs="Arial"/>
                <w:color w:val="FFFFFF" w:themeColor="background1"/>
                <w:szCs w:val="24"/>
              </w:rPr>
              <w:t>Capital Expenditure</w:t>
            </w:r>
          </w:p>
        </w:tc>
        <w:tc>
          <w:tcPr>
            <w:tcW w:w="822" w:type="dxa"/>
            <w:shd w:val="clear" w:color="auto" w:fill="BD2716"/>
            <w:vAlign w:val="center"/>
          </w:tcPr>
          <w:p w14:paraId="178E00E6" w14:textId="77777777" w:rsidR="00634FF1" w:rsidRPr="000F5E3B" w:rsidRDefault="00634FF1" w:rsidP="006C0086">
            <w:pPr>
              <w:spacing w:line="276" w:lineRule="auto"/>
              <w:jc w:val="right"/>
              <w:rPr>
                <w:rFonts w:cs="Arial"/>
                <w:color w:val="FFFFFF" w:themeColor="background1"/>
                <w:szCs w:val="24"/>
              </w:rPr>
            </w:pPr>
            <w:r w:rsidRPr="000F5E3B">
              <w:rPr>
                <w:rFonts w:cs="Arial"/>
                <w:color w:val="FFFFFF" w:themeColor="background1"/>
                <w:szCs w:val="24"/>
              </w:rPr>
              <w:t>£m</w:t>
            </w:r>
          </w:p>
        </w:tc>
      </w:tr>
      <w:tr w:rsidR="00634FF1" w:rsidRPr="00816695" w14:paraId="59744DF0" w14:textId="77777777" w:rsidTr="00AF3F25">
        <w:tc>
          <w:tcPr>
            <w:tcW w:w="9101" w:type="dxa"/>
            <w:shd w:val="clear" w:color="auto" w:fill="auto"/>
          </w:tcPr>
          <w:p w14:paraId="51AE90F4" w14:textId="77777777" w:rsidR="00634FF1" w:rsidRPr="00666687" w:rsidRDefault="00634FF1" w:rsidP="006C0086">
            <w:pPr>
              <w:spacing w:line="276" w:lineRule="auto"/>
              <w:rPr>
                <w:rFonts w:cs="Arial"/>
                <w:color w:val="000000" w:themeColor="text1"/>
                <w:szCs w:val="24"/>
              </w:rPr>
            </w:pPr>
            <w:r w:rsidRPr="00666687">
              <w:rPr>
                <w:rFonts w:cs="Arial"/>
                <w:color w:val="000000" w:themeColor="text1"/>
                <w:szCs w:val="24"/>
              </w:rPr>
              <w:t>Vehicles</w:t>
            </w:r>
          </w:p>
          <w:p w14:paraId="30FBCE69" w14:textId="77777777" w:rsidR="00634FF1" w:rsidRPr="00666687" w:rsidRDefault="00634FF1" w:rsidP="006C0086">
            <w:pPr>
              <w:numPr>
                <w:ilvl w:val="0"/>
                <w:numId w:val="34"/>
              </w:numPr>
              <w:spacing w:line="276" w:lineRule="auto"/>
              <w:contextualSpacing/>
              <w:rPr>
                <w:rFonts w:eastAsia="Calibri" w:cs="Arial"/>
                <w:color w:val="000000" w:themeColor="text1"/>
                <w:szCs w:val="24"/>
              </w:rPr>
            </w:pPr>
            <w:r w:rsidRPr="00666687">
              <w:rPr>
                <w:rFonts w:eastAsia="Calibri" w:cs="Arial"/>
                <w:color w:val="000000" w:themeColor="text1"/>
                <w:szCs w:val="24"/>
              </w:rPr>
              <w:t>Fire Appliances, Command Units, Aerial Appliance and various Support Vehicles including vans and cars.</w:t>
            </w:r>
          </w:p>
        </w:tc>
        <w:tc>
          <w:tcPr>
            <w:tcW w:w="822" w:type="dxa"/>
            <w:shd w:val="clear" w:color="auto" w:fill="auto"/>
            <w:vAlign w:val="center"/>
          </w:tcPr>
          <w:p w14:paraId="472A6FF4" w14:textId="77777777" w:rsidR="00634FF1" w:rsidRPr="00666687" w:rsidRDefault="00634FF1" w:rsidP="006C0086">
            <w:pPr>
              <w:spacing w:line="276" w:lineRule="auto"/>
              <w:jc w:val="right"/>
              <w:rPr>
                <w:rFonts w:cs="Arial"/>
                <w:color w:val="000000" w:themeColor="text1"/>
                <w:szCs w:val="24"/>
              </w:rPr>
            </w:pPr>
          </w:p>
          <w:p w14:paraId="4215CD5D" w14:textId="77777777" w:rsidR="00634FF1" w:rsidRPr="00666687" w:rsidRDefault="00634FF1" w:rsidP="006C0086">
            <w:pPr>
              <w:spacing w:line="276" w:lineRule="auto"/>
              <w:jc w:val="right"/>
              <w:rPr>
                <w:rFonts w:cs="Arial"/>
                <w:color w:val="000000" w:themeColor="text1"/>
                <w:szCs w:val="24"/>
              </w:rPr>
            </w:pPr>
            <w:r w:rsidRPr="00666687">
              <w:rPr>
                <w:rFonts w:cs="Arial"/>
                <w:color w:val="000000" w:themeColor="text1"/>
                <w:szCs w:val="24"/>
              </w:rPr>
              <w:t>4.5</w:t>
            </w:r>
          </w:p>
        </w:tc>
      </w:tr>
      <w:tr w:rsidR="00634FF1" w:rsidRPr="00816695" w14:paraId="2BFC9A01" w14:textId="77777777" w:rsidTr="00AF3F25">
        <w:tc>
          <w:tcPr>
            <w:tcW w:w="9101" w:type="dxa"/>
            <w:shd w:val="clear" w:color="auto" w:fill="auto"/>
          </w:tcPr>
          <w:p w14:paraId="5DDED244" w14:textId="77777777" w:rsidR="00634FF1" w:rsidRPr="00666687" w:rsidRDefault="00634FF1" w:rsidP="006C0086">
            <w:pPr>
              <w:spacing w:line="276" w:lineRule="auto"/>
              <w:rPr>
                <w:rFonts w:cs="Arial"/>
                <w:color w:val="000000" w:themeColor="text1"/>
                <w:szCs w:val="24"/>
              </w:rPr>
            </w:pPr>
            <w:r w:rsidRPr="00666687">
              <w:rPr>
                <w:rFonts w:cs="Arial"/>
                <w:color w:val="000000" w:themeColor="text1"/>
                <w:szCs w:val="24"/>
              </w:rPr>
              <w:t>Operational Equipment</w:t>
            </w:r>
          </w:p>
          <w:p w14:paraId="483571FD" w14:textId="5D482A84" w:rsidR="00634FF1" w:rsidRPr="00666687" w:rsidRDefault="00634FF1" w:rsidP="006C0086">
            <w:pPr>
              <w:numPr>
                <w:ilvl w:val="0"/>
                <w:numId w:val="34"/>
              </w:numPr>
              <w:spacing w:line="276" w:lineRule="auto"/>
              <w:contextualSpacing/>
              <w:rPr>
                <w:szCs w:val="24"/>
              </w:rPr>
            </w:pPr>
            <w:r w:rsidRPr="00666687">
              <w:rPr>
                <w:rFonts w:eastAsia="Calibri" w:cs="Arial"/>
                <w:color w:val="000000" w:themeColor="text1"/>
                <w:szCs w:val="24"/>
              </w:rPr>
              <w:t>R</w:t>
            </w:r>
            <w:r w:rsidR="00B5320B">
              <w:rPr>
                <w:rFonts w:eastAsia="Calibri" w:cs="Arial"/>
                <w:color w:val="000000" w:themeColor="text1"/>
                <w:szCs w:val="24"/>
              </w:rPr>
              <w:t xml:space="preserve">oad Traffic </w:t>
            </w:r>
            <w:r w:rsidRPr="00666687">
              <w:rPr>
                <w:rFonts w:eastAsia="Calibri" w:cs="Arial"/>
                <w:color w:val="000000" w:themeColor="text1"/>
                <w:szCs w:val="24"/>
              </w:rPr>
              <w:t>C</w:t>
            </w:r>
            <w:r w:rsidR="002C0499">
              <w:rPr>
                <w:rFonts w:eastAsia="Calibri" w:cs="Arial"/>
                <w:color w:val="000000" w:themeColor="text1"/>
                <w:szCs w:val="24"/>
              </w:rPr>
              <w:t>ollision</w:t>
            </w:r>
            <w:r w:rsidRPr="00666687">
              <w:rPr>
                <w:rFonts w:eastAsia="Calibri" w:cs="Arial"/>
                <w:color w:val="000000" w:themeColor="text1"/>
                <w:szCs w:val="24"/>
              </w:rPr>
              <w:t xml:space="preserve"> Rescue Equipment, Drone, Thermal Imagining Cameras, Appliance CCTV</w:t>
            </w:r>
          </w:p>
        </w:tc>
        <w:tc>
          <w:tcPr>
            <w:tcW w:w="822" w:type="dxa"/>
            <w:shd w:val="clear" w:color="auto" w:fill="auto"/>
            <w:vAlign w:val="center"/>
          </w:tcPr>
          <w:p w14:paraId="4562D758" w14:textId="77777777" w:rsidR="00634FF1" w:rsidRPr="00666687" w:rsidRDefault="00634FF1" w:rsidP="006C0086">
            <w:pPr>
              <w:spacing w:line="276" w:lineRule="auto"/>
              <w:jc w:val="right"/>
              <w:rPr>
                <w:rFonts w:cs="Arial"/>
                <w:color w:val="000000" w:themeColor="text1"/>
                <w:szCs w:val="24"/>
              </w:rPr>
            </w:pPr>
          </w:p>
          <w:p w14:paraId="7BEC1C0A" w14:textId="77777777" w:rsidR="00634FF1" w:rsidRPr="00666687" w:rsidRDefault="00634FF1" w:rsidP="006C0086">
            <w:pPr>
              <w:spacing w:line="276" w:lineRule="auto"/>
              <w:jc w:val="right"/>
              <w:rPr>
                <w:rFonts w:cs="Arial"/>
                <w:color w:val="000000" w:themeColor="text1"/>
                <w:szCs w:val="24"/>
              </w:rPr>
            </w:pPr>
            <w:r w:rsidRPr="00666687">
              <w:rPr>
                <w:rFonts w:cs="Arial"/>
                <w:color w:val="000000" w:themeColor="text1"/>
                <w:szCs w:val="24"/>
              </w:rPr>
              <w:t>0.7</w:t>
            </w:r>
          </w:p>
        </w:tc>
      </w:tr>
      <w:tr w:rsidR="00634FF1" w:rsidRPr="00816695" w14:paraId="7D7AD5C1" w14:textId="77777777" w:rsidTr="00AF3F25">
        <w:tc>
          <w:tcPr>
            <w:tcW w:w="9101" w:type="dxa"/>
            <w:shd w:val="clear" w:color="auto" w:fill="auto"/>
          </w:tcPr>
          <w:p w14:paraId="14ACE145" w14:textId="09F50CEF" w:rsidR="00634FF1" w:rsidRPr="00666687" w:rsidRDefault="00634FF1" w:rsidP="006C0086">
            <w:pPr>
              <w:spacing w:line="276" w:lineRule="auto"/>
              <w:rPr>
                <w:rFonts w:cs="Arial"/>
                <w:color w:val="000000" w:themeColor="text1"/>
                <w:szCs w:val="24"/>
              </w:rPr>
            </w:pPr>
            <w:r w:rsidRPr="00666687">
              <w:rPr>
                <w:rFonts w:cs="Arial"/>
                <w:color w:val="000000" w:themeColor="text1"/>
                <w:szCs w:val="24"/>
              </w:rPr>
              <w:t>I</w:t>
            </w:r>
            <w:r w:rsidR="002C0499">
              <w:rPr>
                <w:rFonts w:cs="Arial"/>
                <w:color w:val="000000" w:themeColor="text1"/>
                <w:szCs w:val="24"/>
              </w:rPr>
              <w:t xml:space="preserve">nformation </w:t>
            </w:r>
            <w:r w:rsidRPr="00666687">
              <w:rPr>
                <w:rFonts w:cs="Arial"/>
                <w:color w:val="000000" w:themeColor="text1"/>
                <w:szCs w:val="24"/>
              </w:rPr>
              <w:t>C</w:t>
            </w:r>
            <w:r w:rsidR="002C0499">
              <w:rPr>
                <w:rFonts w:cs="Arial"/>
                <w:color w:val="000000" w:themeColor="text1"/>
                <w:szCs w:val="24"/>
              </w:rPr>
              <w:t xml:space="preserve">ommunications </w:t>
            </w:r>
            <w:r w:rsidRPr="00666687">
              <w:rPr>
                <w:rFonts w:cs="Arial"/>
                <w:color w:val="000000" w:themeColor="text1"/>
                <w:szCs w:val="24"/>
              </w:rPr>
              <w:t>T</w:t>
            </w:r>
            <w:r w:rsidR="002C0499">
              <w:rPr>
                <w:rFonts w:cs="Arial"/>
                <w:color w:val="000000" w:themeColor="text1"/>
                <w:szCs w:val="24"/>
              </w:rPr>
              <w:t>echnology</w:t>
            </w:r>
            <w:r w:rsidRPr="00666687">
              <w:rPr>
                <w:rFonts w:cs="Arial"/>
                <w:color w:val="000000" w:themeColor="text1"/>
                <w:szCs w:val="24"/>
              </w:rPr>
              <w:t xml:space="preserve"> Equipment</w:t>
            </w:r>
          </w:p>
          <w:p w14:paraId="474AE3CA" w14:textId="77777777" w:rsidR="00634FF1" w:rsidRPr="00666687" w:rsidRDefault="00634FF1" w:rsidP="006C0086">
            <w:pPr>
              <w:numPr>
                <w:ilvl w:val="0"/>
                <w:numId w:val="34"/>
              </w:numPr>
              <w:spacing w:line="276" w:lineRule="auto"/>
              <w:contextualSpacing/>
              <w:rPr>
                <w:rFonts w:cs="Arial"/>
                <w:color w:val="000000" w:themeColor="text1"/>
                <w:szCs w:val="24"/>
              </w:rPr>
            </w:pPr>
            <w:r w:rsidRPr="00666687">
              <w:rPr>
                <w:rFonts w:eastAsia="Calibri" w:cs="Arial"/>
                <w:color w:val="000000" w:themeColor="text1"/>
                <w:szCs w:val="24"/>
              </w:rPr>
              <w:t>Command Support software, Firewall, Website, Station uninterruptable power supply</w:t>
            </w:r>
          </w:p>
        </w:tc>
        <w:tc>
          <w:tcPr>
            <w:tcW w:w="822" w:type="dxa"/>
            <w:shd w:val="clear" w:color="auto" w:fill="auto"/>
            <w:vAlign w:val="center"/>
          </w:tcPr>
          <w:p w14:paraId="1F11A06A" w14:textId="77777777" w:rsidR="00634FF1" w:rsidRPr="00666687" w:rsidRDefault="00634FF1" w:rsidP="006C0086">
            <w:pPr>
              <w:spacing w:line="276" w:lineRule="auto"/>
              <w:jc w:val="right"/>
              <w:rPr>
                <w:rFonts w:cs="Arial"/>
                <w:color w:val="000000" w:themeColor="text1"/>
                <w:szCs w:val="24"/>
              </w:rPr>
            </w:pPr>
          </w:p>
          <w:p w14:paraId="0243C8CB" w14:textId="77777777" w:rsidR="00634FF1" w:rsidRPr="00666687" w:rsidRDefault="00634FF1" w:rsidP="006C0086">
            <w:pPr>
              <w:spacing w:line="276" w:lineRule="auto"/>
              <w:jc w:val="right"/>
              <w:rPr>
                <w:rFonts w:cs="Arial"/>
                <w:color w:val="000000" w:themeColor="text1"/>
                <w:szCs w:val="24"/>
              </w:rPr>
            </w:pPr>
            <w:r w:rsidRPr="00666687">
              <w:rPr>
                <w:rFonts w:cs="Arial"/>
                <w:color w:val="000000" w:themeColor="text1"/>
                <w:szCs w:val="24"/>
              </w:rPr>
              <w:t>0.5</w:t>
            </w:r>
          </w:p>
        </w:tc>
      </w:tr>
      <w:tr w:rsidR="00634FF1" w:rsidRPr="00816695" w14:paraId="57A7DCF7" w14:textId="77777777" w:rsidTr="00AF3F25">
        <w:tc>
          <w:tcPr>
            <w:tcW w:w="9101" w:type="dxa"/>
            <w:shd w:val="clear" w:color="auto" w:fill="auto"/>
          </w:tcPr>
          <w:p w14:paraId="6C674E4A" w14:textId="77777777" w:rsidR="00634FF1" w:rsidRPr="00666687" w:rsidRDefault="00634FF1" w:rsidP="006C0086">
            <w:pPr>
              <w:spacing w:line="276" w:lineRule="auto"/>
              <w:rPr>
                <w:rFonts w:cs="Arial"/>
                <w:color w:val="000000" w:themeColor="text1"/>
                <w:szCs w:val="24"/>
              </w:rPr>
            </w:pPr>
            <w:r w:rsidRPr="00666687">
              <w:rPr>
                <w:rFonts w:cs="Arial"/>
                <w:color w:val="000000" w:themeColor="text1"/>
                <w:szCs w:val="24"/>
              </w:rPr>
              <w:t>Buildings</w:t>
            </w:r>
          </w:p>
          <w:p w14:paraId="5233637E" w14:textId="77777777" w:rsidR="00634FF1" w:rsidRPr="00666687" w:rsidRDefault="00634FF1" w:rsidP="006C0086">
            <w:pPr>
              <w:numPr>
                <w:ilvl w:val="0"/>
                <w:numId w:val="35"/>
              </w:numPr>
              <w:spacing w:line="276" w:lineRule="auto"/>
              <w:contextualSpacing/>
              <w:rPr>
                <w:rFonts w:eastAsia="Calibri" w:cs="Arial"/>
                <w:color w:val="000000" w:themeColor="text1"/>
                <w:szCs w:val="24"/>
              </w:rPr>
            </w:pPr>
            <w:r w:rsidRPr="00666687">
              <w:rPr>
                <w:rFonts w:eastAsia="Calibri" w:cs="Arial"/>
                <w:color w:val="000000" w:themeColor="text1"/>
                <w:szCs w:val="24"/>
              </w:rPr>
              <w:t>Dormitory facilities, Drill tower replacements &amp; work at the fleet workshop</w:t>
            </w:r>
          </w:p>
        </w:tc>
        <w:tc>
          <w:tcPr>
            <w:tcW w:w="822" w:type="dxa"/>
            <w:shd w:val="clear" w:color="auto" w:fill="auto"/>
            <w:vAlign w:val="center"/>
          </w:tcPr>
          <w:p w14:paraId="187CC74C" w14:textId="77777777" w:rsidR="00634FF1" w:rsidRPr="00666687" w:rsidRDefault="00634FF1" w:rsidP="006C0086">
            <w:pPr>
              <w:tabs>
                <w:tab w:val="decimal" w:pos="1168"/>
              </w:tabs>
              <w:spacing w:line="276" w:lineRule="auto"/>
              <w:jc w:val="right"/>
              <w:rPr>
                <w:rFonts w:cs="Arial"/>
                <w:color w:val="000000" w:themeColor="text1"/>
                <w:szCs w:val="24"/>
              </w:rPr>
            </w:pPr>
          </w:p>
          <w:p w14:paraId="05F65F04" w14:textId="77777777" w:rsidR="00634FF1" w:rsidRPr="00666687" w:rsidRDefault="00634FF1" w:rsidP="006C0086">
            <w:pPr>
              <w:spacing w:line="276" w:lineRule="auto"/>
              <w:jc w:val="right"/>
              <w:rPr>
                <w:rFonts w:cs="Arial"/>
                <w:color w:val="000000" w:themeColor="text1"/>
                <w:szCs w:val="24"/>
              </w:rPr>
            </w:pPr>
            <w:r w:rsidRPr="00666687">
              <w:rPr>
                <w:rFonts w:cs="Arial"/>
                <w:color w:val="000000" w:themeColor="text1"/>
                <w:szCs w:val="24"/>
              </w:rPr>
              <w:t>0.3</w:t>
            </w:r>
          </w:p>
        </w:tc>
      </w:tr>
      <w:tr w:rsidR="00634FF1" w:rsidRPr="00816695" w14:paraId="6DEEBE87" w14:textId="77777777" w:rsidTr="00AF3F25">
        <w:tc>
          <w:tcPr>
            <w:tcW w:w="9101" w:type="dxa"/>
            <w:shd w:val="clear" w:color="auto" w:fill="auto"/>
          </w:tcPr>
          <w:p w14:paraId="5DD4D8A1" w14:textId="77777777" w:rsidR="00634FF1" w:rsidRPr="007E2E4D" w:rsidRDefault="00634FF1" w:rsidP="006C0086">
            <w:pPr>
              <w:spacing w:line="276" w:lineRule="auto"/>
              <w:rPr>
                <w:rFonts w:cs="Arial"/>
                <w:b/>
                <w:bCs/>
                <w:color w:val="000000" w:themeColor="text1"/>
                <w:szCs w:val="24"/>
              </w:rPr>
            </w:pPr>
            <w:r w:rsidRPr="007E2E4D">
              <w:rPr>
                <w:rFonts w:cs="Arial"/>
                <w:b/>
                <w:bCs/>
                <w:color w:val="000000" w:themeColor="text1"/>
                <w:szCs w:val="24"/>
              </w:rPr>
              <w:t>Total</w:t>
            </w:r>
          </w:p>
        </w:tc>
        <w:tc>
          <w:tcPr>
            <w:tcW w:w="822" w:type="dxa"/>
            <w:shd w:val="clear" w:color="auto" w:fill="auto"/>
            <w:vAlign w:val="center"/>
          </w:tcPr>
          <w:p w14:paraId="49877DB7" w14:textId="77777777" w:rsidR="00634FF1" w:rsidRPr="007E2E4D" w:rsidRDefault="00634FF1" w:rsidP="006C0086">
            <w:pPr>
              <w:spacing w:line="276" w:lineRule="auto"/>
              <w:jc w:val="right"/>
              <w:rPr>
                <w:rFonts w:cs="Arial"/>
                <w:b/>
                <w:bCs/>
                <w:color w:val="000000" w:themeColor="text1"/>
                <w:szCs w:val="24"/>
              </w:rPr>
            </w:pPr>
            <w:r w:rsidRPr="007E2E4D">
              <w:rPr>
                <w:rFonts w:cs="Arial"/>
                <w:b/>
                <w:bCs/>
                <w:color w:val="000000" w:themeColor="text1"/>
                <w:szCs w:val="24"/>
              </w:rPr>
              <w:t>6</w:t>
            </w:r>
            <w:r>
              <w:rPr>
                <w:rFonts w:cs="Arial"/>
                <w:b/>
                <w:bCs/>
                <w:color w:val="000000" w:themeColor="text1"/>
                <w:szCs w:val="24"/>
              </w:rPr>
              <w:t>.0</w:t>
            </w:r>
          </w:p>
        </w:tc>
      </w:tr>
    </w:tbl>
    <w:p w14:paraId="7B103434" w14:textId="77777777" w:rsidR="00634FF1" w:rsidRPr="00816695" w:rsidRDefault="00634FF1" w:rsidP="006C0086">
      <w:pPr>
        <w:spacing w:line="276" w:lineRule="auto"/>
        <w:jc w:val="both"/>
        <w:rPr>
          <w:rFonts w:cs="Arial"/>
          <w:color w:val="000000" w:themeColor="text1"/>
          <w:sz w:val="22"/>
          <w:szCs w:val="22"/>
        </w:rPr>
      </w:pPr>
    </w:p>
    <w:p w14:paraId="37AFB623" w14:textId="29E7C635"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The Balance Sheet shows that the Authority’s Total Net Liabilities remained broadly unchanged at (£503.0m) compared to (£502.5m) in the previous year. The net liability reflects the Authority’s compliance with International Accounting Standards and in particular the requirement to show the full pensions liability in the accounts. Whilst the liability on the Local Government Pension Scheme is funded the Fire-fighters Pension Scheme is unfunded, there are no assets from which future liabilities will be paid, and hence the Authority’s overall Fire-fighters pension liability of (£651.8m) is extremely large. If this liability was excluded the Authority’s Total Net Assets would be £148.8m. The fire-fighters Pension Scheme liability remained largely unchanged with a small increase of £0.290m. The pension liability includes estimated costs in relation to the McCloud judgement.</w:t>
      </w:r>
    </w:p>
    <w:p w14:paraId="6AEB314E" w14:textId="77777777" w:rsidR="00634FF1" w:rsidRPr="00D948C1" w:rsidRDefault="00634FF1" w:rsidP="006C0086">
      <w:pPr>
        <w:spacing w:line="276" w:lineRule="auto"/>
        <w:rPr>
          <w:rFonts w:cs="Arial"/>
          <w:color w:val="000000" w:themeColor="text1"/>
          <w:sz w:val="22"/>
          <w:szCs w:val="22"/>
        </w:rPr>
      </w:pPr>
    </w:p>
    <w:p w14:paraId="5BCF804F" w14:textId="77777777"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 xml:space="preserve">Long-term assets have increased slightly in value to £127.8m from £126.6m, reflecting the investment in our asset base and the impact of revaluations. </w:t>
      </w:r>
    </w:p>
    <w:p w14:paraId="427A4405" w14:textId="77777777" w:rsidR="00634FF1" w:rsidRPr="00D948C1" w:rsidRDefault="00634FF1" w:rsidP="006C0086">
      <w:pPr>
        <w:spacing w:line="276" w:lineRule="auto"/>
        <w:rPr>
          <w:rFonts w:cs="Arial"/>
          <w:b/>
          <w:color w:val="000000" w:themeColor="text1"/>
          <w:sz w:val="22"/>
          <w:szCs w:val="22"/>
        </w:rPr>
      </w:pPr>
    </w:p>
    <w:p w14:paraId="67904E2E" w14:textId="77777777" w:rsidR="00634FF1" w:rsidRPr="00D948C1" w:rsidRDefault="00634FF1" w:rsidP="006C0086">
      <w:pPr>
        <w:spacing w:line="276" w:lineRule="auto"/>
        <w:rPr>
          <w:b/>
          <w:bCs/>
        </w:rPr>
      </w:pPr>
      <w:r w:rsidRPr="00D948C1">
        <w:rPr>
          <w:b/>
          <w:bCs/>
        </w:rPr>
        <w:t>Future Financial Plans</w:t>
      </w:r>
    </w:p>
    <w:p w14:paraId="261416CD" w14:textId="77777777" w:rsidR="00634FF1" w:rsidRPr="00D948C1" w:rsidRDefault="00634FF1" w:rsidP="006C0086">
      <w:pPr>
        <w:spacing w:line="276" w:lineRule="auto"/>
        <w:rPr>
          <w:rFonts w:cs="Arial"/>
          <w:color w:val="000000" w:themeColor="text1"/>
          <w:sz w:val="22"/>
          <w:szCs w:val="22"/>
        </w:rPr>
      </w:pPr>
    </w:p>
    <w:p w14:paraId="6BBB7303" w14:textId="77777777" w:rsidR="00634FF1" w:rsidRPr="00D948C1" w:rsidRDefault="00634FF1" w:rsidP="006C0086">
      <w:pPr>
        <w:spacing w:line="276" w:lineRule="auto"/>
        <w:rPr>
          <w:rFonts w:cs="Arial"/>
          <w:szCs w:val="24"/>
        </w:rPr>
      </w:pPr>
      <w:r w:rsidRPr="00D948C1">
        <w:rPr>
          <w:rFonts w:cs="Arial"/>
          <w:szCs w:val="24"/>
        </w:rPr>
        <w:t xml:space="preserve">Due to economic uncertainty and nearing the end of the Government’s terms in office the Spending Review was again reduced to a single year review, covering 2024/25, with a multi-year settlement anticipated for next year. Again, the outcome of the Fair Funding review, which looked to re-assess the methodology under which funding was allocated to individual </w:t>
      </w:r>
      <w:r w:rsidRPr="00D948C1">
        <w:rPr>
          <w:rFonts w:cs="Arial"/>
          <w:szCs w:val="24"/>
        </w:rPr>
        <w:lastRenderedPageBreak/>
        <w:t xml:space="preserve">authorities, and changes to the Business Rates Retention Scheme, have been put on hold. The 2024/25 Local Government Finance Settlement showed an increase in the Governments Settlement Funding Assessment of 7.5%. </w:t>
      </w:r>
    </w:p>
    <w:p w14:paraId="1138314E" w14:textId="77777777" w:rsidR="00634FF1" w:rsidRPr="00D948C1" w:rsidRDefault="00634FF1" w:rsidP="006C0086">
      <w:pPr>
        <w:spacing w:line="276" w:lineRule="auto"/>
        <w:rPr>
          <w:rFonts w:cs="Arial"/>
          <w:color w:val="000000" w:themeColor="text1"/>
          <w:szCs w:val="24"/>
        </w:rPr>
      </w:pPr>
    </w:p>
    <w:p w14:paraId="33C83083" w14:textId="023850FD"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The Government allowed Fire Authorities to increase council tax levels by just 2.99%, compared to £5 the previous year (which is over 6% for L</w:t>
      </w:r>
      <w:r w:rsidR="002C0499">
        <w:rPr>
          <w:rFonts w:cs="Arial"/>
          <w:color w:val="000000" w:themeColor="text1"/>
          <w:szCs w:val="24"/>
        </w:rPr>
        <w:t xml:space="preserve">ancashire </w:t>
      </w:r>
      <w:r w:rsidRPr="00D948C1">
        <w:rPr>
          <w:rFonts w:cs="Arial"/>
          <w:color w:val="000000" w:themeColor="text1"/>
          <w:szCs w:val="24"/>
        </w:rPr>
        <w:t>F</w:t>
      </w:r>
      <w:r w:rsidR="002C0499">
        <w:rPr>
          <w:rFonts w:cs="Arial"/>
          <w:color w:val="000000" w:themeColor="text1"/>
          <w:szCs w:val="24"/>
        </w:rPr>
        <w:t xml:space="preserve">ire </w:t>
      </w:r>
      <w:r w:rsidRPr="00D948C1">
        <w:rPr>
          <w:rFonts w:cs="Arial"/>
          <w:color w:val="000000" w:themeColor="text1"/>
          <w:szCs w:val="24"/>
        </w:rPr>
        <w:t>R</w:t>
      </w:r>
      <w:r w:rsidR="002C0499">
        <w:rPr>
          <w:rFonts w:cs="Arial"/>
          <w:color w:val="000000" w:themeColor="text1"/>
          <w:szCs w:val="24"/>
        </w:rPr>
        <w:t xml:space="preserve">escue </w:t>
      </w:r>
      <w:r w:rsidRPr="00D948C1">
        <w:rPr>
          <w:rFonts w:cs="Arial"/>
          <w:color w:val="000000" w:themeColor="text1"/>
          <w:szCs w:val="24"/>
        </w:rPr>
        <w:t>S</w:t>
      </w:r>
      <w:r w:rsidR="002C0499">
        <w:rPr>
          <w:rFonts w:cs="Arial"/>
          <w:color w:val="000000" w:themeColor="text1"/>
          <w:szCs w:val="24"/>
        </w:rPr>
        <w:t>ervice</w:t>
      </w:r>
      <w:r w:rsidRPr="00D948C1">
        <w:rPr>
          <w:rFonts w:cs="Arial"/>
          <w:color w:val="000000" w:themeColor="text1"/>
          <w:szCs w:val="24"/>
        </w:rPr>
        <w:t>), resulting in a council tax of £84.73 per band D property.</w:t>
      </w:r>
    </w:p>
    <w:p w14:paraId="21F9EDC1" w14:textId="77777777" w:rsidR="00634FF1" w:rsidRPr="00D948C1" w:rsidRDefault="00634FF1" w:rsidP="006C0086">
      <w:pPr>
        <w:spacing w:line="276" w:lineRule="auto"/>
        <w:rPr>
          <w:rFonts w:cs="Arial"/>
          <w:color w:val="000000" w:themeColor="text1"/>
          <w:szCs w:val="24"/>
        </w:rPr>
      </w:pPr>
    </w:p>
    <w:p w14:paraId="0C22C8A1" w14:textId="77777777"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The Authority agreed a net revenue budget of £75.2m, allowing for inflationary pressures. Based on this the budget, as presented, is considered affordable, prudent, and sustainable, whilst ensuring that the Authority can deliver against its corporate priorities.</w:t>
      </w:r>
    </w:p>
    <w:p w14:paraId="2D776EDA" w14:textId="77777777" w:rsidR="00634FF1" w:rsidRPr="00D948C1" w:rsidRDefault="00634FF1" w:rsidP="006C0086">
      <w:pPr>
        <w:spacing w:line="276" w:lineRule="auto"/>
        <w:rPr>
          <w:rFonts w:cs="Arial"/>
          <w:szCs w:val="24"/>
        </w:rPr>
      </w:pPr>
    </w:p>
    <w:p w14:paraId="59E47B08" w14:textId="387E97A2" w:rsidR="00634FF1" w:rsidRPr="00D948C1" w:rsidRDefault="00634FF1" w:rsidP="006C0086">
      <w:pPr>
        <w:autoSpaceDE w:val="0"/>
        <w:autoSpaceDN w:val="0"/>
        <w:adjustRightInd w:val="0"/>
        <w:spacing w:line="276" w:lineRule="auto"/>
        <w:rPr>
          <w:rFonts w:cs="Arial"/>
          <w:color w:val="000000" w:themeColor="text1"/>
          <w:szCs w:val="24"/>
        </w:rPr>
      </w:pPr>
      <w:r w:rsidRPr="00D948C1">
        <w:rPr>
          <w:rFonts w:cs="Arial"/>
          <w:color w:val="000000" w:themeColor="text1"/>
          <w:szCs w:val="24"/>
        </w:rPr>
        <w:t>Given economic uncertainty, the potential impact of the Fair Funding Review and potential changes to local retention of Business rates, it is extremely difficult to anticipate what funding will look like beyond the existing settlement, hence for the purpose of medium</w:t>
      </w:r>
      <w:r w:rsidR="00550085" w:rsidRPr="00D948C1">
        <w:rPr>
          <w:rFonts w:cs="Arial"/>
          <w:color w:val="000000" w:themeColor="text1"/>
          <w:szCs w:val="24"/>
        </w:rPr>
        <w:t>-</w:t>
      </w:r>
      <w:r w:rsidRPr="00D948C1">
        <w:rPr>
          <w:rFonts w:cs="Arial"/>
          <w:color w:val="000000" w:themeColor="text1"/>
          <w:szCs w:val="24"/>
        </w:rPr>
        <w:t xml:space="preserve">term financial strategy we had assumed that the funding will increases broadly in line with inflation. Based on this we have been able to set a balanced budget in future years, after allowing for council tax increases in line with forecast inflation. </w:t>
      </w:r>
    </w:p>
    <w:p w14:paraId="2D50D9F1" w14:textId="77777777" w:rsidR="00634FF1" w:rsidRPr="00D948C1" w:rsidRDefault="00634FF1" w:rsidP="006C0086">
      <w:pPr>
        <w:spacing w:line="276" w:lineRule="auto"/>
        <w:rPr>
          <w:rFonts w:cs="Arial"/>
          <w:szCs w:val="24"/>
        </w:rPr>
      </w:pPr>
    </w:p>
    <w:p w14:paraId="11C5CBF2" w14:textId="39CC2669"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 xml:space="preserve">The capital budget continues to invest in our asset base, in particular new buildings/stations, vehicle replacement, new operational </w:t>
      </w:r>
      <w:r w:rsidR="00550085" w:rsidRPr="00D948C1">
        <w:rPr>
          <w:rFonts w:cs="Arial"/>
          <w:color w:val="000000" w:themeColor="text1"/>
          <w:szCs w:val="24"/>
        </w:rPr>
        <w:t>equipment,</w:t>
      </w:r>
      <w:r w:rsidRPr="00D948C1">
        <w:rPr>
          <w:rFonts w:cs="Arial"/>
          <w:color w:val="000000" w:themeColor="text1"/>
          <w:szCs w:val="24"/>
        </w:rPr>
        <w:t xml:space="preserve"> and new IT requirements. This gives rise to a capital program of £73m over the next five years.</w:t>
      </w:r>
    </w:p>
    <w:p w14:paraId="6C2DAAC6" w14:textId="77777777" w:rsidR="00634FF1" w:rsidRPr="00D948C1" w:rsidRDefault="00634FF1" w:rsidP="006C0086">
      <w:pPr>
        <w:spacing w:line="276" w:lineRule="auto"/>
        <w:rPr>
          <w:rFonts w:cs="Arial"/>
          <w:color w:val="000000" w:themeColor="text1"/>
          <w:szCs w:val="24"/>
        </w:rPr>
      </w:pPr>
    </w:p>
    <w:p w14:paraId="2EFD600C" w14:textId="77777777"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We will continue to invest to ensure that our staff have the best equipment available, our vehicle programme sees us investing in enhanced aerial capability, whilst our operational equipment investment includes the replacement of our Breathing Apparatus sets and telemetry, and our cutting/extrication equipment.</w:t>
      </w:r>
    </w:p>
    <w:p w14:paraId="495A7869" w14:textId="77777777" w:rsidR="00634FF1" w:rsidRPr="00D948C1" w:rsidRDefault="00634FF1" w:rsidP="006C0086">
      <w:pPr>
        <w:spacing w:line="276" w:lineRule="auto"/>
        <w:rPr>
          <w:rFonts w:cs="Arial"/>
          <w:color w:val="000000" w:themeColor="text1"/>
          <w:szCs w:val="24"/>
        </w:rPr>
      </w:pPr>
    </w:p>
    <w:p w14:paraId="2ECA3BFF" w14:textId="77777777"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t>When the national Emergency Services Mobile Communications Programme (ESMCP) progresses to a stage where we can purchase replacement radio and mobilising equipment, we will upgrade our current provision. This project has incurred delays and is outside of our control. It is assumed that any costs to the Authority will be funded by specific capital grant.</w:t>
      </w:r>
    </w:p>
    <w:p w14:paraId="1F6C7609" w14:textId="77777777" w:rsidR="00634FF1" w:rsidRPr="00D948C1" w:rsidRDefault="00634FF1" w:rsidP="006C0086">
      <w:pPr>
        <w:spacing w:line="276" w:lineRule="auto"/>
        <w:rPr>
          <w:rFonts w:cs="Arial"/>
          <w:color w:val="000000" w:themeColor="text1"/>
          <w:szCs w:val="24"/>
        </w:rPr>
      </w:pPr>
    </w:p>
    <w:p w14:paraId="1EF90D4A" w14:textId="0CF8242E" w:rsidR="00634FF1" w:rsidRPr="00D948C1" w:rsidRDefault="00634FF1" w:rsidP="006C0086">
      <w:pPr>
        <w:spacing w:line="276" w:lineRule="auto"/>
        <w:rPr>
          <w:rFonts w:cs="Arial"/>
          <w:szCs w:val="24"/>
        </w:rPr>
      </w:pPr>
      <w:r w:rsidRPr="00D948C1">
        <w:rPr>
          <w:rFonts w:cs="Arial"/>
          <w:szCs w:val="24"/>
        </w:rPr>
        <w:t>Most of the capital programme relates to planned enhancements to our building stock, including the potential replacement of Service H</w:t>
      </w:r>
      <w:r w:rsidR="002C0499">
        <w:rPr>
          <w:rFonts w:cs="Arial"/>
          <w:szCs w:val="24"/>
        </w:rPr>
        <w:t xml:space="preserve">ead </w:t>
      </w:r>
      <w:r w:rsidRPr="00D948C1">
        <w:rPr>
          <w:rFonts w:cs="Arial"/>
          <w:szCs w:val="24"/>
        </w:rPr>
        <w:t>Q</w:t>
      </w:r>
      <w:r w:rsidR="002C0499">
        <w:rPr>
          <w:rFonts w:cs="Arial"/>
          <w:szCs w:val="24"/>
        </w:rPr>
        <w:t>uarters</w:t>
      </w:r>
      <w:r w:rsidRPr="00D948C1">
        <w:rPr>
          <w:rFonts w:cs="Arial"/>
          <w:szCs w:val="24"/>
        </w:rPr>
        <w:t xml:space="preserve"> and Preston Fire Station, together with enhancements to our training props at our Service Training Centre.</w:t>
      </w:r>
    </w:p>
    <w:p w14:paraId="537F9770" w14:textId="77777777" w:rsidR="00634FF1" w:rsidRPr="00D948C1" w:rsidRDefault="00634FF1" w:rsidP="006C0086">
      <w:pPr>
        <w:spacing w:line="276" w:lineRule="auto"/>
        <w:rPr>
          <w:rFonts w:cs="Arial"/>
          <w:szCs w:val="24"/>
        </w:rPr>
      </w:pPr>
    </w:p>
    <w:p w14:paraId="60E18F6F" w14:textId="77777777" w:rsidR="00634FF1" w:rsidRPr="00D948C1" w:rsidRDefault="00634FF1" w:rsidP="006C0086">
      <w:pPr>
        <w:spacing w:line="276" w:lineRule="auto"/>
        <w:rPr>
          <w:rFonts w:cs="Arial"/>
          <w:color w:val="000000" w:themeColor="text1"/>
          <w:szCs w:val="24"/>
        </w:rPr>
      </w:pPr>
      <w:r w:rsidRPr="00D948C1">
        <w:rPr>
          <w:rFonts w:cs="Arial"/>
          <w:szCs w:val="24"/>
        </w:rPr>
        <w:t>The capital programme shows the Authority utilising all its capital reserves and receipts by the end of 2025/26, meaning that the remainder of the capital programme will need to be met from £31m of new borrowing. New borrowing will impact the revenue budget as capital financing (interest payable and Minimum Revenue Provision - MRP) charges and therefore efficiency savings of £2.5m will need to be delivered in the medium term, and this is reflected in our Medium-Term Financial Strategy.</w:t>
      </w:r>
    </w:p>
    <w:p w14:paraId="484876CE" w14:textId="77777777" w:rsidR="00634FF1" w:rsidRPr="00D948C1" w:rsidRDefault="00634FF1" w:rsidP="006C0086">
      <w:pPr>
        <w:spacing w:line="276" w:lineRule="auto"/>
        <w:rPr>
          <w:rFonts w:cs="Arial"/>
          <w:color w:val="000000" w:themeColor="text1"/>
          <w:szCs w:val="24"/>
        </w:rPr>
      </w:pPr>
    </w:p>
    <w:p w14:paraId="1F02A2BE" w14:textId="77777777" w:rsidR="00634FF1" w:rsidRPr="00D948C1" w:rsidRDefault="00634FF1" w:rsidP="006C0086">
      <w:pPr>
        <w:spacing w:line="276" w:lineRule="auto"/>
        <w:rPr>
          <w:rFonts w:cs="Arial"/>
          <w:color w:val="000000" w:themeColor="text1"/>
          <w:szCs w:val="24"/>
        </w:rPr>
      </w:pPr>
      <w:r w:rsidRPr="00D948C1">
        <w:rPr>
          <w:rFonts w:cs="Arial"/>
          <w:color w:val="000000" w:themeColor="text1"/>
          <w:szCs w:val="24"/>
        </w:rPr>
        <w:lastRenderedPageBreak/>
        <w:t xml:space="preserve">The following significant financial risks have all been assessed and the Treasurer feels that these are adequately covered within the budget estimates or within the level of reserves currently </w:t>
      </w:r>
      <w:proofErr w:type="gramStart"/>
      <w:r w:rsidRPr="00D948C1">
        <w:rPr>
          <w:rFonts w:cs="Arial"/>
          <w:color w:val="000000" w:themeColor="text1"/>
          <w:szCs w:val="24"/>
        </w:rPr>
        <w:t>held:-</w:t>
      </w:r>
      <w:proofErr w:type="gramEnd"/>
    </w:p>
    <w:p w14:paraId="432A07B3" w14:textId="77777777" w:rsidR="00634FF1" w:rsidRPr="00D948C1" w:rsidRDefault="00634FF1" w:rsidP="006C0086">
      <w:pPr>
        <w:spacing w:line="276" w:lineRule="auto"/>
        <w:rPr>
          <w:rFonts w:cs="Arial"/>
          <w:color w:val="000000" w:themeColor="text1"/>
          <w:szCs w:val="24"/>
        </w:rPr>
      </w:pPr>
    </w:p>
    <w:p w14:paraId="3E762C1A"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Reductions in levels of funding over and above those forecasted.</w:t>
      </w:r>
    </w:p>
    <w:p w14:paraId="5686C5A0"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Changes to the Business Rates Retention Scheme.</w:t>
      </w:r>
    </w:p>
    <w:p w14:paraId="0B585F59"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Adverse changes because of the implementation of the Fair Funding Review.</w:t>
      </w:r>
    </w:p>
    <w:p w14:paraId="584E931A"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Reduction in Council Tax funding.</w:t>
      </w:r>
    </w:p>
    <w:p w14:paraId="596E2802"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Higher than anticipated inflation.</w:t>
      </w:r>
    </w:p>
    <w:p w14:paraId="7201AD37"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Larger increases in pension costs.</w:t>
      </w:r>
    </w:p>
    <w:p w14:paraId="455F04AD"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Significant changes to retirement profiles.</w:t>
      </w:r>
    </w:p>
    <w:p w14:paraId="694337B0"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Increase in demand led pressures.</w:t>
      </w:r>
    </w:p>
    <w:p w14:paraId="52BC48C8" w14:textId="77777777" w:rsidR="00634FF1" w:rsidRPr="00D948C1" w:rsidRDefault="00634FF1" w:rsidP="006C0086">
      <w:pPr>
        <w:numPr>
          <w:ilvl w:val="1"/>
          <w:numId w:val="40"/>
        </w:numPr>
        <w:spacing w:line="276" w:lineRule="auto"/>
        <w:contextualSpacing/>
        <w:rPr>
          <w:rFonts w:cs="Arial"/>
          <w:szCs w:val="24"/>
          <w:lang w:eastAsia="en-GB"/>
        </w:rPr>
      </w:pPr>
      <w:r w:rsidRPr="00D948C1">
        <w:rPr>
          <w:rFonts w:cs="Arial"/>
          <w:szCs w:val="24"/>
          <w:lang w:eastAsia="en-GB"/>
        </w:rPr>
        <w:t>Higher insurance claims.</w:t>
      </w:r>
    </w:p>
    <w:p w14:paraId="1C410570" w14:textId="77777777" w:rsidR="00634FF1" w:rsidRPr="00D948C1" w:rsidRDefault="00634FF1" w:rsidP="006C0086">
      <w:pPr>
        <w:spacing w:line="276" w:lineRule="auto"/>
        <w:rPr>
          <w:rFonts w:cs="Arial"/>
          <w:color w:val="000000" w:themeColor="text1"/>
          <w:szCs w:val="24"/>
        </w:rPr>
      </w:pPr>
    </w:p>
    <w:p w14:paraId="057A58EE" w14:textId="77777777" w:rsidR="00634FF1" w:rsidRPr="00D948C1" w:rsidRDefault="00634FF1" w:rsidP="006C0086">
      <w:pPr>
        <w:spacing w:line="276" w:lineRule="auto"/>
        <w:rPr>
          <w:rFonts w:cs="Arial"/>
          <w:b/>
          <w:bCs/>
          <w:szCs w:val="24"/>
        </w:rPr>
      </w:pPr>
      <w:r w:rsidRPr="00D948C1">
        <w:rPr>
          <w:rFonts w:cs="Arial"/>
          <w:b/>
          <w:bCs/>
          <w:szCs w:val="24"/>
        </w:rPr>
        <w:t>Accounting Changes</w:t>
      </w:r>
    </w:p>
    <w:p w14:paraId="41B261A0" w14:textId="77777777" w:rsidR="00634FF1" w:rsidRPr="00D948C1" w:rsidRDefault="00634FF1" w:rsidP="006C0086">
      <w:pPr>
        <w:spacing w:line="276" w:lineRule="auto"/>
        <w:rPr>
          <w:rFonts w:cs="Arial"/>
          <w:szCs w:val="24"/>
        </w:rPr>
      </w:pPr>
    </w:p>
    <w:p w14:paraId="735815AF" w14:textId="77777777" w:rsidR="00634FF1" w:rsidRPr="00D948C1" w:rsidRDefault="00634FF1" w:rsidP="006C0086">
      <w:pPr>
        <w:spacing w:line="276" w:lineRule="auto"/>
        <w:rPr>
          <w:rFonts w:cs="Arial"/>
          <w:b/>
          <w:szCs w:val="24"/>
        </w:rPr>
      </w:pPr>
      <w:r w:rsidRPr="00D948C1">
        <w:rPr>
          <w:rFonts w:cs="Arial"/>
          <w:szCs w:val="24"/>
        </w:rPr>
        <w:t>The accounts have been prepared in accordance with the requirements of the Code of Practice on Local Authority Accounting in the United Kingdom 2023/24 (the Code).</w:t>
      </w:r>
      <w:bookmarkStart w:id="3" w:name="Governance"/>
      <w:bookmarkEnd w:id="3"/>
    </w:p>
    <w:p w14:paraId="1544BD42" w14:textId="77777777" w:rsidR="00634FF1" w:rsidRPr="00D948C1" w:rsidRDefault="00634FF1" w:rsidP="006C0086">
      <w:pPr>
        <w:spacing w:line="276" w:lineRule="auto"/>
        <w:rPr>
          <w:rFonts w:cs="Arial"/>
          <w:b/>
          <w:szCs w:val="24"/>
        </w:rPr>
      </w:pPr>
      <w:bookmarkStart w:id="4" w:name="Audit"/>
      <w:bookmarkEnd w:id="4"/>
    </w:p>
    <w:p w14:paraId="091D48FF" w14:textId="06135A6F" w:rsidR="00634FF1" w:rsidRPr="00D948C1" w:rsidRDefault="00550085" w:rsidP="006C0086">
      <w:pPr>
        <w:pStyle w:val="Heading1"/>
        <w:spacing w:line="276" w:lineRule="auto"/>
      </w:pPr>
      <w:bookmarkStart w:id="5" w:name="_Toc171068775"/>
      <w:r w:rsidRPr="00D948C1">
        <w:t xml:space="preserve">Statement on </w:t>
      </w:r>
      <w:r w:rsidRPr="00D948C1">
        <w:rPr>
          <w:bCs/>
        </w:rPr>
        <w:t>Annual Governance Arrangements</w:t>
      </w:r>
      <w:r w:rsidRPr="00D948C1">
        <w:t xml:space="preserve"> by the Chairman of the Combined Fire Authority, the Treasurer to the Combined Fire Authority and the Chief Fire Officer</w:t>
      </w:r>
      <w:bookmarkEnd w:id="5"/>
    </w:p>
    <w:p w14:paraId="43862512" w14:textId="77777777" w:rsidR="00634FF1" w:rsidRPr="00D948C1" w:rsidRDefault="00634FF1" w:rsidP="006C0086">
      <w:pPr>
        <w:spacing w:line="276" w:lineRule="auto"/>
      </w:pPr>
    </w:p>
    <w:p w14:paraId="0C48F37E" w14:textId="77777777" w:rsidR="00634FF1" w:rsidRPr="00D948C1" w:rsidRDefault="00634FF1" w:rsidP="006C0086">
      <w:pPr>
        <w:spacing w:line="276" w:lineRule="auto"/>
        <w:rPr>
          <w:b/>
          <w:bCs/>
        </w:rPr>
      </w:pPr>
      <w:r w:rsidRPr="00D948C1">
        <w:rPr>
          <w:b/>
          <w:bCs/>
        </w:rPr>
        <w:t>Scope of Responsibility</w:t>
      </w:r>
    </w:p>
    <w:p w14:paraId="65B1D4FB" w14:textId="77777777" w:rsidR="00634FF1" w:rsidRPr="00D948C1" w:rsidRDefault="00634FF1" w:rsidP="006C0086">
      <w:pPr>
        <w:spacing w:line="276" w:lineRule="auto"/>
        <w:rPr>
          <w:b/>
          <w:bCs/>
        </w:rPr>
      </w:pPr>
    </w:p>
    <w:p w14:paraId="72448177" w14:textId="480F47C3"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Lancashire Combined Fire Authority (the Authority) is responsible for ensuring that its business is conducted in accordance with the law and proper standards, and that public money is safeguarded and properly accounted for, and used economically, </w:t>
      </w:r>
      <w:r w:rsidR="00550085" w:rsidRPr="00D948C1">
        <w:rPr>
          <w:rFonts w:cs="Arial"/>
          <w:szCs w:val="24"/>
        </w:rPr>
        <w:t>efficiently,</w:t>
      </w:r>
      <w:r w:rsidRPr="00D948C1">
        <w:rPr>
          <w:rFonts w:cs="Arial"/>
          <w:szCs w:val="24"/>
        </w:rPr>
        <w:t xml:space="preserve"> and effectively. The Authority also has a duty under the Local Government Act 1999 to </w:t>
      </w:r>
      <w:proofErr w:type="gramStart"/>
      <w:r w:rsidRPr="00D948C1">
        <w:rPr>
          <w:rFonts w:cs="Arial"/>
          <w:szCs w:val="24"/>
        </w:rPr>
        <w:t>make arrangements</w:t>
      </w:r>
      <w:proofErr w:type="gramEnd"/>
      <w:r w:rsidRPr="00D948C1">
        <w:rPr>
          <w:rFonts w:cs="Arial"/>
          <w:szCs w:val="24"/>
        </w:rPr>
        <w:t xml:space="preserve"> to secure continuous improvement in the way in which its functions are exercised, having regard to a combination of economy, efficiency and effectiveness.</w:t>
      </w:r>
    </w:p>
    <w:p w14:paraId="49279BBB" w14:textId="77777777" w:rsidR="00634FF1" w:rsidRPr="00D948C1" w:rsidRDefault="00634FF1" w:rsidP="006C0086">
      <w:pPr>
        <w:autoSpaceDE w:val="0"/>
        <w:autoSpaceDN w:val="0"/>
        <w:adjustRightInd w:val="0"/>
        <w:spacing w:line="276" w:lineRule="auto"/>
        <w:rPr>
          <w:rFonts w:cs="Arial"/>
          <w:szCs w:val="24"/>
        </w:rPr>
      </w:pPr>
    </w:p>
    <w:p w14:paraId="0F8E252F" w14:textId="77777777" w:rsidR="00634FF1" w:rsidRPr="00D948C1" w:rsidRDefault="00634FF1" w:rsidP="006C0086">
      <w:pPr>
        <w:autoSpaceDE w:val="0"/>
        <w:autoSpaceDN w:val="0"/>
        <w:adjustRightInd w:val="0"/>
        <w:spacing w:line="276" w:lineRule="auto"/>
        <w:rPr>
          <w:rFonts w:cs="Arial"/>
          <w:szCs w:val="24"/>
        </w:rPr>
      </w:pPr>
      <w:r w:rsidRPr="00D948C1">
        <w:rPr>
          <w:rFonts w:cs="Arial"/>
          <w:szCs w:val="24"/>
        </w:rPr>
        <w:t>In discharging this overall responsibility, the Authority is responsible for putting in place proper arrangements for the governance of its affairs facilitating the effective exercise of its functions, and which includes arrangements for the management of risk.</w:t>
      </w:r>
    </w:p>
    <w:p w14:paraId="5B354427" w14:textId="77777777" w:rsidR="00634FF1" w:rsidRPr="00D948C1" w:rsidRDefault="00634FF1" w:rsidP="006C0086">
      <w:pPr>
        <w:autoSpaceDE w:val="0"/>
        <w:autoSpaceDN w:val="0"/>
        <w:adjustRightInd w:val="0"/>
        <w:spacing w:line="276" w:lineRule="auto"/>
        <w:rPr>
          <w:rFonts w:cs="Arial"/>
          <w:szCs w:val="24"/>
        </w:rPr>
      </w:pPr>
    </w:p>
    <w:p w14:paraId="335B346C" w14:textId="56D9669F" w:rsidR="004E1028" w:rsidRDefault="00634FF1" w:rsidP="006C0086">
      <w:pPr>
        <w:spacing w:line="276" w:lineRule="auto"/>
        <w:rPr>
          <w:rFonts w:cs="Arial"/>
          <w:szCs w:val="24"/>
        </w:rPr>
      </w:pPr>
      <w:r w:rsidRPr="00D948C1">
        <w:rPr>
          <w:rFonts w:cs="Arial"/>
          <w:szCs w:val="24"/>
        </w:rPr>
        <w:t xml:space="preserve">The Authority approved and adopted an updated Local Code of Corporate Governance in </w:t>
      </w:r>
      <w:proofErr w:type="gramStart"/>
      <w:r w:rsidRPr="00D948C1">
        <w:rPr>
          <w:rFonts w:cs="Arial"/>
          <w:szCs w:val="24"/>
        </w:rPr>
        <w:t>2018</w:t>
      </w:r>
      <w:proofErr w:type="gramEnd"/>
      <w:r w:rsidRPr="00D948C1">
        <w:rPr>
          <w:rFonts w:cs="Arial"/>
          <w:szCs w:val="24"/>
        </w:rPr>
        <w:t xml:space="preserve"> and this was reviewed by the Audit Committee in July 2024. It aligns with the principles of the </w:t>
      </w:r>
      <w:r w:rsidR="000C2662" w:rsidRPr="000C2662">
        <w:rPr>
          <w:rFonts w:cs="Arial"/>
          <w:szCs w:val="24"/>
        </w:rPr>
        <w:t xml:space="preserve">Chartered Institute of Public Finance and Accountancy </w:t>
      </w:r>
      <w:r w:rsidR="000C2662">
        <w:rPr>
          <w:rFonts w:cs="Arial"/>
          <w:szCs w:val="24"/>
        </w:rPr>
        <w:t xml:space="preserve">/ </w:t>
      </w:r>
      <w:r w:rsidR="000C2662" w:rsidRPr="000C2662">
        <w:rPr>
          <w:rFonts w:cs="Arial"/>
          <w:szCs w:val="24"/>
        </w:rPr>
        <w:t>Society of Local Authority Chief Executives</w:t>
      </w:r>
      <w:r w:rsidRPr="00D948C1">
        <w:rPr>
          <w:rFonts w:cs="Arial"/>
          <w:szCs w:val="24"/>
        </w:rPr>
        <w:t xml:space="preserve"> Framework Delivering Good Governance in Local Government Framework 2016.</w:t>
      </w:r>
    </w:p>
    <w:p w14:paraId="25848255" w14:textId="55C2F5C4" w:rsidR="00634FF1" w:rsidRPr="00D948C1" w:rsidRDefault="00634FF1" w:rsidP="006C0086">
      <w:pPr>
        <w:spacing w:line="276" w:lineRule="auto"/>
        <w:rPr>
          <w:rFonts w:cs="Arial"/>
          <w:szCs w:val="24"/>
        </w:rPr>
      </w:pPr>
      <w:r w:rsidRPr="00D948C1">
        <w:rPr>
          <w:rFonts w:cs="Arial"/>
          <w:szCs w:val="24"/>
        </w:rPr>
        <w:t xml:space="preserve"> Included within the Code are the following core </w:t>
      </w:r>
      <w:proofErr w:type="gramStart"/>
      <w:r w:rsidRPr="00D948C1">
        <w:rPr>
          <w:rFonts w:cs="Arial"/>
          <w:szCs w:val="24"/>
        </w:rPr>
        <w:t>principles:-</w:t>
      </w:r>
      <w:proofErr w:type="gramEnd"/>
    </w:p>
    <w:p w14:paraId="6788BB83" w14:textId="77777777" w:rsidR="00634FF1" w:rsidRPr="00D948C1" w:rsidRDefault="00634FF1" w:rsidP="006C0086">
      <w:pPr>
        <w:spacing w:line="276" w:lineRule="auto"/>
        <w:rPr>
          <w:rFonts w:cs="Arial"/>
          <w:szCs w:val="24"/>
        </w:rPr>
      </w:pPr>
    </w:p>
    <w:p w14:paraId="038E791E"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t xml:space="preserve">Behaving with integrity, demonstrating strong commitment to ethical values, and respecting the rule of law </w:t>
      </w:r>
    </w:p>
    <w:p w14:paraId="0BC9364A" w14:textId="77777777" w:rsidR="00634FF1" w:rsidRPr="00D948C1" w:rsidRDefault="00634FF1" w:rsidP="006C0086">
      <w:pPr>
        <w:numPr>
          <w:ilvl w:val="0"/>
          <w:numId w:val="31"/>
        </w:numPr>
        <w:tabs>
          <w:tab w:val="clear" w:pos="720"/>
          <w:tab w:val="num" w:pos="426"/>
        </w:tabs>
        <w:spacing w:line="276" w:lineRule="auto"/>
        <w:ind w:left="426" w:hanging="426"/>
        <w:rPr>
          <w:rFonts w:cs="Arial"/>
          <w:color w:val="000000"/>
          <w:szCs w:val="24"/>
        </w:rPr>
      </w:pPr>
      <w:r w:rsidRPr="00D948C1">
        <w:rPr>
          <w:rFonts w:cs="Arial"/>
          <w:bCs/>
          <w:color w:val="000000"/>
          <w:szCs w:val="24"/>
        </w:rPr>
        <w:t xml:space="preserve">Ensuring openness and comprehensive stakeholder engagement </w:t>
      </w:r>
    </w:p>
    <w:p w14:paraId="413465D0"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lastRenderedPageBreak/>
        <w:t xml:space="preserve">Defining outcomes in terms of sustainable economic, social, and environmental benefits </w:t>
      </w:r>
    </w:p>
    <w:p w14:paraId="1232A77E"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t xml:space="preserve">Determining the interventions necessary to optimise the achievement of the intended outcomes </w:t>
      </w:r>
    </w:p>
    <w:p w14:paraId="3C5058D4"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t xml:space="preserve">Developing the entity’s capacity, including the capability of its leadership and the individuals within it </w:t>
      </w:r>
    </w:p>
    <w:p w14:paraId="716C7E80"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t xml:space="preserve">Managing risks and performance through robust internal control and strong public financial management </w:t>
      </w:r>
    </w:p>
    <w:p w14:paraId="6A3DEB42" w14:textId="77777777" w:rsidR="00634FF1" w:rsidRPr="00D948C1" w:rsidRDefault="00634FF1" w:rsidP="006C0086">
      <w:pPr>
        <w:numPr>
          <w:ilvl w:val="0"/>
          <w:numId w:val="31"/>
        </w:numPr>
        <w:tabs>
          <w:tab w:val="clear" w:pos="720"/>
          <w:tab w:val="num" w:pos="426"/>
        </w:tabs>
        <w:spacing w:line="276" w:lineRule="auto"/>
        <w:ind w:left="426" w:hanging="426"/>
        <w:rPr>
          <w:rFonts w:cs="Arial"/>
          <w:szCs w:val="24"/>
        </w:rPr>
      </w:pPr>
      <w:r w:rsidRPr="00D948C1">
        <w:rPr>
          <w:rFonts w:cs="Arial"/>
          <w:bCs/>
          <w:color w:val="000000"/>
          <w:szCs w:val="24"/>
        </w:rPr>
        <w:t xml:space="preserve">Implementing good practices in transparency, reporting, and audit to deliver effective accountability </w:t>
      </w:r>
    </w:p>
    <w:p w14:paraId="64773F6E" w14:textId="77777777" w:rsidR="00634FF1" w:rsidRPr="00D948C1" w:rsidRDefault="00634FF1" w:rsidP="006C0086">
      <w:pPr>
        <w:spacing w:line="276" w:lineRule="auto"/>
        <w:rPr>
          <w:rFonts w:cs="Arial"/>
          <w:b/>
          <w:szCs w:val="24"/>
        </w:rPr>
      </w:pPr>
    </w:p>
    <w:p w14:paraId="4DC953D9" w14:textId="76A96551" w:rsidR="00634FF1" w:rsidRPr="00D948C1" w:rsidRDefault="00634FF1" w:rsidP="006C0086">
      <w:pPr>
        <w:spacing w:line="276" w:lineRule="auto"/>
        <w:rPr>
          <w:rFonts w:cs="Arial"/>
          <w:szCs w:val="24"/>
        </w:rPr>
      </w:pPr>
      <w:r w:rsidRPr="00D948C1">
        <w:rPr>
          <w:rFonts w:cs="Arial"/>
          <w:szCs w:val="24"/>
        </w:rPr>
        <w:t xml:space="preserve">(A copy of the code, setting out the core and supporting principles, what the Authority commits itself to do and how it will do this can be found on our website at </w:t>
      </w:r>
      <w:hyperlink r:id="rId20" w:history="1">
        <w:r w:rsidR="00543829" w:rsidRPr="00D948C1">
          <w:rPr>
            <w:rStyle w:val="Hyperlink"/>
          </w:rPr>
          <w:t>Publications | Lancashire Fire and Rescue Service (lancsfirerescue.org.uk)</w:t>
        </w:r>
      </w:hyperlink>
      <w:r w:rsidRPr="00D948C1">
        <w:rPr>
          <w:rFonts w:cs="Arial"/>
          <w:szCs w:val="24"/>
        </w:rPr>
        <w:t>.</w:t>
      </w:r>
    </w:p>
    <w:p w14:paraId="3FA29375" w14:textId="77777777" w:rsidR="00634FF1" w:rsidRPr="00D948C1" w:rsidRDefault="00634FF1" w:rsidP="006C0086">
      <w:pPr>
        <w:spacing w:line="276" w:lineRule="auto"/>
        <w:rPr>
          <w:rFonts w:cs="Arial"/>
          <w:szCs w:val="24"/>
          <w:lang w:eastAsia="en-GB"/>
        </w:rPr>
      </w:pPr>
    </w:p>
    <w:p w14:paraId="5AFFD15C" w14:textId="77777777"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This statement explains how the Authority has complied with the code </w:t>
      </w:r>
      <w:proofErr w:type="gramStart"/>
      <w:r w:rsidRPr="00D948C1">
        <w:rPr>
          <w:rFonts w:cs="Arial"/>
          <w:szCs w:val="24"/>
        </w:rPr>
        <w:t>and also</w:t>
      </w:r>
      <w:proofErr w:type="gramEnd"/>
      <w:r w:rsidRPr="00D948C1">
        <w:rPr>
          <w:rFonts w:cs="Arial"/>
          <w:szCs w:val="24"/>
        </w:rPr>
        <w:t xml:space="preserve"> meets the requirements of regulation 6(2) of the Accounts and Audit Regulations 2015 in relation to the publication of a statement on internal control.</w:t>
      </w:r>
    </w:p>
    <w:p w14:paraId="230F98CE" w14:textId="77777777" w:rsidR="00634FF1" w:rsidRPr="00D948C1" w:rsidRDefault="00634FF1" w:rsidP="006C0086">
      <w:pPr>
        <w:spacing w:line="276" w:lineRule="auto"/>
        <w:rPr>
          <w:rFonts w:cs="Arial"/>
          <w:szCs w:val="24"/>
        </w:rPr>
      </w:pPr>
    </w:p>
    <w:p w14:paraId="2865DD45" w14:textId="77777777" w:rsidR="00634FF1" w:rsidRPr="00D948C1" w:rsidRDefault="00634FF1" w:rsidP="006C0086">
      <w:pPr>
        <w:spacing w:line="276" w:lineRule="auto"/>
        <w:rPr>
          <w:rFonts w:cs="Arial"/>
          <w:b/>
          <w:bCs/>
          <w:szCs w:val="24"/>
        </w:rPr>
      </w:pPr>
      <w:r w:rsidRPr="00D948C1">
        <w:rPr>
          <w:rFonts w:cs="Arial"/>
          <w:b/>
          <w:bCs/>
          <w:szCs w:val="24"/>
        </w:rPr>
        <w:t>The Purpose of the Governance Framework</w:t>
      </w:r>
    </w:p>
    <w:p w14:paraId="66E67003" w14:textId="77777777" w:rsidR="00634FF1" w:rsidRPr="00D948C1" w:rsidRDefault="00634FF1" w:rsidP="006C0086">
      <w:pPr>
        <w:spacing w:line="276" w:lineRule="auto"/>
        <w:rPr>
          <w:rFonts w:cs="Arial"/>
          <w:szCs w:val="24"/>
        </w:rPr>
      </w:pPr>
    </w:p>
    <w:p w14:paraId="31641C06" w14:textId="0D40EE3E"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The governance framework comprises the systems and processes, and culture and values, by which the Authority is directed and controlled and its activities through which it accounts to, engages </w:t>
      </w:r>
      <w:r w:rsidR="00550085" w:rsidRPr="00D948C1">
        <w:rPr>
          <w:rFonts w:cs="Arial"/>
          <w:szCs w:val="24"/>
        </w:rPr>
        <w:t>with,</w:t>
      </w:r>
      <w:r w:rsidRPr="00D948C1">
        <w:rPr>
          <w:rFonts w:cs="Arial"/>
          <w:szCs w:val="24"/>
        </w:rPr>
        <w:t xml:space="preserve"> and leads the community. It enables the Authority to monitor the achievement of its strategic objectives and to consider whether those objectives have led to the delivery of appropriate, cost-effective services.</w:t>
      </w:r>
    </w:p>
    <w:p w14:paraId="6893F276" w14:textId="77777777" w:rsidR="00634FF1" w:rsidRPr="00D948C1" w:rsidRDefault="00634FF1" w:rsidP="006C0086">
      <w:pPr>
        <w:autoSpaceDE w:val="0"/>
        <w:autoSpaceDN w:val="0"/>
        <w:adjustRightInd w:val="0"/>
        <w:spacing w:line="276" w:lineRule="auto"/>
        <w:rPr>
          <w:rFonts w:cs="Arial"/>
          <w:szCs w:val="24"/>
        </w:rPr>
      </w:pPr>
    </w:p>
    <w:p w14:paraId="0EC9825F" w14:textId="1F077A54" w:rsidR="00634FF1" w:rsidRPr="00D948C1" w:rsidRDefault="00634FF1" w:rsidP="006C0086">
      <w:pPr>
        <w:autoSpaceDE w:val="0"/>
        <w:autoSpaceDN w:val="0"/>
        <w:adjustRightInd w:val="0"/>
        <w:spacing w:line="276" w:lineRule="auto"/>
        <w:rPr>
          <w:rFonts w:cs="Arial"/>
          <w:szCs w:val="24"/>
        </w:rPr>
      </w:pPr>
      <w:r w:rsidRPr="00D948C1">
        <w:rPr>
          <w:rFonts w:cs="Arial"/>
          <w:szCs w:val="24"/>
        </w:rPr>
        <w:t>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Authority’s policies, aims and objectives, to evaluate the likelihood of those risks being realised and the impact should they be realised, and to manage them efficiently, effectively</w:t>
      </w:r>
      <w:r w:rsidR="00CF7C24" w:rsidRPr="00D948C1">
        <w:rPr>
          <w:rFonts w:cs="Arial"/>
          <w:szCs w:val="24"/>
        </w:rPr>
        <w:t>,</w:t>
      </w:r>
      <w:r w:rsidRPr="00D948C1">
        <w:rPr>
          <w:rFonts w:cs="Arial"/>
          <w:szCs w:val="24"/>
        </w:rPr>
        <w:t xml:space="preserve"> and economically.</w:t>
      </w:r>
    </w:p>
    <w:p w14:paraId="639B2065" w14:textId="77777777" w:rsidR="00634FF1" w:rsidRPr="00D948C1" w:rsidRDefault="00634FF1" w:rsidP="006C0086">
      <w:pPr>
        <w:autoSpaceDE w:val="0"/>
        <w:autoSpaceDN w:val="0"/>
        <w:adjustRightInd w:val="0"/>
        <w:spacing w:line="276" w:lineRule="auto"/>
        <w:rPr>
          <w:rFonts w:cs="Arial"/>
          <w:szCs w:val="24"/>
        </w:rPr>
      </w:pPr>
    </w:p>
    <w:p w14:paraId="5136B123" w14:textId="77777777" w:rsidR="00634FF1" w:rsidRPr="00D948C1" w:rsidRDefault="00634FF1" w:rsidP="006C0086">
      <w:pPr>
        <w:autoSpaceDE w:val="0"/>
        <w:autoSpaceDN w:val="0"/>
        <w:adjustRightInd w:val="0"/>
        <w:spacing w:line="276" w:lineRule="auto"/>
        <w:rPr>
          <w:rFonts w:cs="Arial"/>
          <w:szCs w:val="24"/>
        </w:rPr>
      </w:pPr>
      <w:r w:rsidRPr="00D948C1">
        <w:rPr>
          <w:rFonts w:cs="Arial"/>
          <w:szCs w:val="24"/>
        </w:rPr>
        <w:t>The governance framework has been in place at the Authority for the year ended 31 March 2024 and up to the date of approval of the 2023/24 Statement of Accounts.</w:t>
      </w:r>
    </w:p>
    <w:p w14:paraId="3A365B84" w14:textId="77777777" w:rsidR="00634FF1" w:rsidRPr="00D948C1" w:rsidRDefault="00634FF1" w:rsidP="006C0086">
      <w:pPr>
        <w:spacing w:line="276" w:lineRule="auto"/>
        <w:rPr>
          <w:rFonts w:cs="Arial"/>
          <w:szCs w:val="24"/>
        </w:rPr>
      </w:pPr>
    </w:p>
    <w:p w14:paraId="52619B96" w14:textId="77777777" w:rsidR="00634FF1" w:rsidRPr="00D948C1" w:rsidRDefault="00634FF1" w:rsidP="006C0086">
      <w:pPr>
        <w:spacing w:line="276" w:lineRule="auto"/>
        <w:rPr>
          <w:rFonts w:cs="Arial"/>
          <w:b/>
          <w:bCs/>
          <w:szCs w:val="24"/>
        </w:rPr>
      </w:pPr>
      <w:r w:rsidRPr="00D948C1">
        <w:rPr>
          <w:rFonts w:cs="Arial"/>
          <w:b/>
          <w:bCs/>
          <w:szCs w:val="24"/>
        </w:rPr>
        <w:t>The Governance Framework</w:t>
      </w:r>
    </w:p>
    <w:p w14:paraId="059AB205" w14:textId="77777777" w:rsidR="00634FF1" w:rsidRPr="00D948C1" w:rsidRDefault="00634FF1" w:rsidP="006C0086">
      <w:pPr>
        <w:spacing w:line="276" w:lineRule="auto"/>
        <w:rPr>
          <w:rFonts w:cs="Arial"/>
          <w:szCs w:val="24"/>
        </w:rPr>
      </w:pPr>
    </w:p>
    <w:p w14:paraId="1AAC2C35" w14:textId="77777777"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The Authority’s Local Code of Corporate Governance set out its framework for corporate governance. The key elements of the systems and processes that comprise the Authority’s governance arrangements in accordance with the seven principles of the Local Code of Corporate Governance </w:t>
      </w:r>
      <w:proofErr w:type="gramStart"/>
      <w:r w:rsidRPr="00D948C1">
        <w:rPr>
          <w:rFonts w:cs="Arial"/>
          <w:szCs w:val="24"/>
        </w:rPr>
        <w:t>include:-</w:t>
      </w:r>
      <w:proofErr w:type="gramEnd"/>
    </w:p>
    <w:p w14:paraId="5A289E2E" w14:textId="77777777" w:rsidR="00634FF1" w:rsidRPr="00D948C1" w:rsidRDefault="00634FF1" w:rsidP="006C0086">
      <w:pPr>
        <w:autoSpaceDE w:val="0"/>
        <w:autoSpaceDN w:val="0"/>
        <w:adjustRightInd w:val="0"/>
        <w:spacing w:line="276" w:lineRule="auto"/>
        <w:rPr>
          <w:rFonts w:cs="Arial"/>
          <w:szCs w:val="24"/>
        </w:rPr>
      </w:pPr>
    </w:p>
    <w:p w14:paraId="63493C00" w14:textId="090C1488" w:rsidR="00634FF1" w:rsidRPr="00D948C1" w:rsidRDefault="00634FF1" w:rsidP="006C0086">
      <w:pPr>
        <w:numPr>
          <w:ilvl w:val="0"/>
          <w:numId w:val="33"/>
        </w:numPr>
        <w:spacing w:line="276" w:lineRule="auto"/>
        <w:rPr>
          <w:rFonts w:cs="Arial"/>
          <w:szCs w:val="24"/>
        </w:rPr>
      </w:pPr>
      <w:r w:rsidRPr="00D948C1">
        <w:rPr>
          <w:rFonts w:cs="Arial"/>
          <w:szCs w:val="24"/>
        </w:rPr>
        <w:lastRenderedPageBreak/>
        <w:t>The Community Risk Management Plan</w:t>
      </w:r>
      <w:r w:rsidR="000C2662">
        <w:rPr>
          <w:rFonts w:cs="Arial"/>
          <w:szCs w:val="24"/>
        </w:rPr>
        <w:t xml:space="preserve"> </w:t>
      </w:r>
      <w:r w:rsidRPr="00D948C1">
        <w:rPr>
          <w:rFonts w:cs="Arial"/>
          <w:szCs w:val="24"/>
        </w:rPr>
        <w:t xml:space="preserve">sets out the direction of the Service and how we will make Lancashire safer. It is informed by the greatest risks to the people and communities of Lancashire which are identified in our strategic assessment of risk (opens in a new tab). The plan describes our aim, priorities, equality objectives and values, alongside how we will prevent, </w:t>
      </w:r>
      <w:r w:rsidR="00CF7C24" w:rsidRPr="00D948C1">
        <w:rPr>
          <w:rFonts w:cs="Arial"/>
          <w:szCs w:val="24"/>
        </w:rPr>
        <w:t>protect,</w:t>
      </w:r>
      <w:r w:rsidRPr="00D948C1">
        <w:rPr>
          <w:rFonts w:cs="Arial"/>
          <w:szCs w:val="24"/>
        </w:rPr>
        <w:t xml:space="preserve"> and respond to the risks in Lancashire. The current plan covering 2022-2027 can be found on our website at </w:t>
      </w:r>
      <w:hyperlink r:id="rId21" w:history="1">
        <w:r w:rsidRPr="00D948C1">
          <w:rPr>
            <w:rStyle w:val="Hyperlink"/>
            <w:rFonts w:cs="Arial"/>
            <w:szCs w:val="24"/>
          </w:rPr>
          <w:t>Community Risk Management Plan 2022-2027 | Lancashire Fire and Rescue Service (lancsfirerescue.org.uk)</w:t>
        </w:r>
      </w:hyperlink>
      <w:r w:rsidRPr="00D948C1">
        <w:rPr>
          <w:rFonts w:cs="Arial"/>
          <w:szCs w:val="24"/>
        </w:rPr>
        <w:t>.</w:t>
      </w:r>
    </w:p>
    <w:p w14:paraId="0B8FBE6B" w14:textId="77777777" w:rsidR="00634FF1" w:rsidRPr="00D948C1" w:rsidRDefault="00634FF1" w:rsidP="006C0086">
      <w:pPr>
        <w:spacing w:line="276" w:lineRule="auto"/>
        <w:ind w:left="360"/>
        <w:rPr>
          <w:rFonts w:cs="Arial"/>
          <w:szCs w:val="24"/>
        </w:rPr>
      </w:pPr>
    </w:p>
    <w:p w14:paraId="2488D05C" w14:textId="77777777" w:rsidR="00634FF1" w:rsidRPr="00D948C1" w:rsidRDefault="00634FF1" w:rsidP="006C0086">
      <w:pPr>
        <w:numPr>
          <w:ilvl w:val="0"/>
          <w:numId w:val="33"/>
        </w:numPr>
        <w:spacing w:line="276" w:lineRule="auto"/>
        <w:rPr>
          <w:rFonts w:cs="Arial"/>
          <w:szCs w:val="24"/>
        </w:rPr>
      </w:pPr>
      <w:r w:rsidRPr="00D948C1">
        <w:rPr>
          <w:rFonts w:cs="Arial"/>
          <w:szCs w:val="24"/>
        </w:rPr>
        <w:t>Lancashire Fire and Rescue Service has six core strategies: our People, Prevention, Protection, Response, Financial and Digital Strategies. Our prevention, protection and response activities address the fire and rescue related risks that are identified in those strategies and outline the measures in place and actions we take to make Lancashire safer. Each strategy is periodically reviewed and evaluated to ensure we are delivering against our outlined objectives and are doing so in the most efficient and effective way. Wherever necessary, changes will be made within each strategy to ensure we operate in line with our aim, priorities and values.</w:t>
      </w:r>
    </w:p>
    <w:p w14:paraId="2FAE29D2" w14:textId="77777777" w:rsidR="00634FF1" w:rsidRPr="00D948C1" w:rsidRDefault="00634FF1" w:rsidP="006C0086">
      <w:pPr>
        <w:spacing w:line="276" w:lineRule="auto"/>
        <w:ind w:left="360"/>
        <w:rPr>
          <w:rFonts w:cs="Arial"/>
          <w:szCs w:val="24"/>
        </w:rPr>
      </w:pPr>
    </w:p>
    <w:p w14:paraId="4787334E" w14:textId="6F62A811" w:rsidR="00634FF1" w:rsidRPr="00D948C1" w:rsidRDefault="000C2662" w:rsidP="006C0086">
      <w:pPr>
        <w:numPr>
          <w:ilvl w:val="0"/>
          <w:numId w:val="33"/>
        </w:numPr>
        <w:spacing w:line="276" w:lineRule="auto"/>
        <w:rPr>
          <w:rFonts w:cs="Arial"/>
          <w:szCs w:val="24"/>
        </w:rPr>
      </w:pPr>
      <w:r w:rsidRPr="00D948C1">
        <w:rPr>
          <w:rFonts w:cs="Arial"/>
          <w:szCs w:val="24"/>
        </w:rPr>
        <w:t xml:space="preserve">Community Risk Management </w:t>
      </w:r>
      <w:proofErr w:type="spellStart"/>
      <w:r w:rsidRPr="00D948C1">
        <w:rPr>
          <w:rFonts w:cs="Arial"/>
          <w:szCs w:val="24"/>
        </w:rPr>
        <w:t>Plansets</w:t>
      </w:r>
      <w:proofErr w:type="spellEnd"/>
      <w:r w:rsidRPr="00D948C1">
        <w:rPr>
          <w:rFonts w:cs="Arial"/>
          <w:szCs w:val="24"/>
        </w:rPr>
        <w:t xml:space="preserve"> </w:t>
      </w:r>
      <w:r w:rsidR="00634FF1" w:rsidRPr="00D948C1">
        <w:rPr>
          <w:rFonts w:cs="Arial"/>
          <w:szCs w:val="24"/>
        </w:rPr>
        <w:t xml:space="preserve">seeks to underpin our Community Risk Management Plan by ensuring that risk management drives decision-making within Lancashire. This document can be found on our website at </w:t>
      </w:r>
      <w:hyperlink r:id="rId22" w:history="1">
        <w:r w:rsidR="00634FF1" w:rsidRPr="00D948C1">
          <w:rPr>
            <w:rStyle w:val="Hyperlink"/>
            <w:rFonts w:cs="Arial"/>
            <w:szCs w:val="24"/>
          </w:rPr>
          <w:t>Strategic Assessment of Risk 2023-2024 | Lancashire Fire and Rescue Service (lancsfirerescue.org.uk)</w:t>
        </w:r>
      </w:hyperlink>
      <w:r w:rsidR="00634FF1" w:rsidRPr="00D948C1">
        <w:rPr>
          <w:rFonts w:cs="Arial"/>
          <w:szCs w:val="24"/>
        </w:rPr>
        <w:t>;</w:t>
      </w:r>
    </w:p>
    <w:p w14:paraId="28C82542" w14:textId="77777777" w:rsidR="00634FF1" w:rsidRPr="00D948C1" w:rsidRDefault="00634FF1" w:rsidP="006C0086">
      <w:pPr>
        <w:pStyle w:val="ListParagraph"/>
        <w:spacing w:line="276" w:lineRule="auto"/>
        <w:rPr>
          <w:rFonts w:cs="Arial"/>
          <w:szCs w:val="24"/>
        </w:rPr>
      </w:pPr>
    </w:p>
    <w:p w14:paraId="214A1A5D" w14:textId="1F17A011" w:rsidR="00634FF1" w:rsidRPr="00D948C1" w:rsidRDefault="00634FF1" w:rsidP="006C0086">
      <w:pPr>
        <w:numPr>
          <w:ilvl w:val="0"/>
          <w:numId w:val="33"/>
        </w:numPr>
        <w:spacing w:line="276" w:lineRule="auto"/>
        <w:rPr>
          <w:rFonts w:cs="Arial"/>
          <w:color w:val="0000FF"/>
          <w:szCs w:val="24"/>
          <w:u w:val="single"/>
        </w:rPr>
      </w:pPr>
      <w:r w:rsidRPr="00D948C1">
        <w:rPr>
          <w:rFonts w:cs="Arial"/>
          <w:szCs w:val="24"/>
        </w:rPr>
        <w:t xml:space="preserve">The Annual Service Plan details the activities we will undertake to deliver the strategy set out in our </w:t>
      </w:r>
      <w:r w:rsidR="000C2662" w:rsidRPr="00D948C1">
        <w:rPr>
          <w:rFonts w:cs="Arial"/>
          <w:szCs w:val="24"/>
        </w:rPr>
        <w:t>Community Risk Management Plan</w:t>
      </w:r>
      <w:r w:rsidRPr="00D948C1">
        <w:rPr>
          <w:rFonts w:cs="Arial"/>
          <w:szCs w:val="24"/>
        </w:rPr>
        <w:t xml:space="preserve">. The current plan was approved this year and can be found on our website at </w:t>
      </w:r>
      <w:hyperlink r:id="rId23" w:history="1">
        <w:r w:rsidRPr="00D948C1">
          <w:rPr>
            <w:rStyle w:val="Hyperlink"/>
            <w:rFonts w:cs="Arial"/>
            <w:szCs w:val="24"/>
          </w:rPr>
          <w:t>Annual Service Plan 2024-2025 | Lancashire Fire and Rescue Service (lancsfirerescue.org.uk)</w:t>
        </w:r>
      </w:hyperlink>
      <w:r w:rsidRPr="00D948C1">
        <w:rPr>
          <w:rFonts w:cs="Arial"/>
          <w:szCs w:val="24"/>
        </w:rPr>
        <w:t>;</w:t>
      </w:r>
    </w:p>
    <w:p w14:paraId="32E21CE8" w14:textId="77777777" w:rsidR="00634FF1" w:rsidRPr="00D948C1" w:rsidRDefault="00634FF1" w:rsidP="006C0086">
      <w:pPr>
        <w:pStyle w:val="ListParagraph"/>
        <w:spacing w:line="276" w:lineRule="auto"/>
        <w:rPr>
          <w:rFonts w:cs="Arial"/>
          <w:szCs w:val="24"/>
        </w:rPr>
      </w:pPr>
    </w:p>
    <w:p w14:paraId="277BAFD3"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A Communication Strategy and the Consultation </w:t>
      </w:r>
      <w:proofErr w:type="gramStart"/>
      <w:r w:rsidRPr="00D948C1">
        <w:rPr>
          <w:rFonts w:cs="Arial"/>
          <w:szCs w:val="24"/>
        </w:rPr>
        <w:t>Strategy;</w:t>
      </w:r>
      <w:proofErr w:type="gramEnd"/>
      <w:r w:rsidRPr="00D948C1">
        <w:rPr>
          <w:rFonts w:cs="Arial"/>
          <w:szCs w:val="24"/>
        </w:rPr>
        <w:t xml:space="preserve"> </w:t>
      </w:r>
    </w:p>
    <w:p w14:paraId="4F14E654" w14:textId="77777777" w:rsidR="00634FF1" w:rsidRPr="00D948C1" w:rsidRDefault="00634FF1" w:rsidP="006C0086">
      <w:pPr>
        <w:spacing w:line="276" w:lineRule="auto"/>
        <w:rPr>
          <w:rFonts w:cs="Arial"/>
          <w:szCs w:val="24"/>
        </w:rPr>
      </w:pPr>
    </w:p>
    <w:p w14:paraId="6FD4F297" w14:textId="7CECBCCE"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A comprehensive performance management framework, with the Performance Committee and Service Management Team receiving regular reports on performance against targets and any corrective action taken to address any variances. On an annual basis the Authority publishes an Annual Service </w:t>
      </w:r>
      <w:proofErr w:type="gramStart"/>
      <w:r w:rsidRPr="00D948C1">
        <w:rPr>
          <w:rFonts w:cs="Arial"/>
          <w:szCs w:val="24"/>
        </w:rPr>
        <w:t>Report;</w:t>
      </w:r>
      <w:proofErr w:type="gramEnd"/>
    </w:p>
    <w:p w14:paraId="576B6F09" w14:textId="77777777" w:rsidR="00634FF1" w:rsidRPr="00D948C1" w:rsidRDefault="00634FF1" w:rsidP="006C0086">
      <w:pPr>
        <w:spacing w:line="276" w:lineRule="auto"/>
        <w:rPr>
          <w:rFonts w:cs="Arial"/>
          <w:szCs w:val="24"/>
        </w:rPr>
      </w:pPr>
    </w:p>
    <w:p w14:paraId="4F8F8090"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A Corporate Programme Board provides oversight across 5 </w:t>
      </w:r>
      <w:proofErr w:type="gramStart"/>
      <w:r w:rsidRPr="00D948C1">
        <w:rPr>
          <w:rFonts w:cs="Arial"/>
          <w:szCs w:val="24"/>
        </w:rPr>
        <w:t>areas:-</w:t>
      </w:r>
      <w:proofErr w:type="gramEnd"/>
    </w:p>
    <w:p w14:paraId="4F43FB6A" w14:textId="77777777" w:rsidR="00634FF1" w:rsidRPr="00D948C1" w:rsidRDefault="00634FF1" w:rsidP="006C0086">
      <w:pPr>
        <w:numPr>
          <w:ilvl w:val="1"/>
          <w:numId w:val="33"/>
        </w:numPr>
        <w:spacing w:line="276" w:lineRule="auto"/>
        <w:rPr>
          <w:rFonts w:cs="Arial"/>
          <w:szCs w:val="24"/>
        </w:rPr>
      </w:pPr>
      <w:r w:rsidRPr="00D948C1">
        <w:rPr>
          <w:rFonts w:cs="Arial"/>
          <w:szCs w:val="24"/>
        </w:rPr>
        <w:t>Business Process Improvement Programme</w:t>
      </w:r>
    </w:p>
    <w:p w14:paraId="7E10E8F2" w14:textId="77777777" w:rsidR="00634FF1" w:rsidRPr="00D948C1" w:rsidRDefault="00634FF1" w:rsidP="006C0086">
      <w:pPr>
        <w:numPr>
          <w:ilvl w:val="1"/>
          <w:numId w:val="33"/>
        </w:numPr>
        <w:spacing w:line="276" w:lineRule="auto"/>
        <w:rPr>
          <w:rFonts w:cs="Arial"/>
          <w:szCs w:val="24"/>
        </w:rPr>
      </w:pPr>
      <w:r w:rsidRPr="00D948C1">
        <w:rPr>
          <w:rFonts w:cs="Arial"/>
          <w:szCs w:val="24"/>
        </w:rPr>
        <w:t>Service Delivery Change Programme</w:t>
      </w:r>
    </w:p>
    <w:p w14:paraId="69C58B24" w14:textId="77777777" w:rsidR="00634FF1" w:rsidRPr="00D948C1" w:rsidRDefault="00634FF1" w:rsidP="006C0086">
      <w:pPr>
        <w:numPr>
          <w:ilvl w:val="1"/>
          <w:numId w:val="33"/>
        </w:numPr>
        <w:spacing w:line="276" w:lineRule="auto"/>
        <w:rPr>
          <w:rFonts w:cs="Arial"/>
          <w:szCs w:val="24"/>
        </w:rPr>
      </w:pPr>
      <w:r w:rsidRPr="00D948C1">
        <w:rPr>
          <w:rFonts w:cs="Arial"/>
          <w:szCs w:val="24"/>
        </w:rPr>
        <w:t>Capital Projects Programme.</w:t>
      </w:r>
    </w:p>
    <w:p w14:paraId="5A77CE66" w14:textId="77777777" w:rsidR="00634FF1" w:rsidRPr="00D948C1" w:rsidRDefault="00634FF1" w:rsidP="006C0086">
      <w:pPr>
        <w:numPr>
          <w:ilvl w:val="1"/>
          <w:numId w:val="33"/>
        </w:numPr>
        <w:spacing w:line="276" w:lineRule="auto"/>
        <w:rPr>
          <w:rFonts w:cs="Arial"/>
          <w:szCs w:val="24"/>
        </w:rPr>
      </w:pPr>
      <w:r w:rsidRPr="00D948C1">
        <w:rPr>
          <w:rFonts w:cs="Arial"/>
          <w:szCs w:val="24"/>
        </w:rPr>
        <w:t>People Strategy</w:t>
      </w:r>
    </w:p>
    <w:p w14:paraId="41361597" w14:textId="77777777" w:rsidR="00634FF1" w:rsidRPr="00D948C1" w:rsidRDefault="00634FF1" w:rsidP="006C0086">
      <w:pPr>
        <w:numPr>
          <w:ilvl w:val="1"/>
          <w:numId w:val="33"/>
        </w:numPr>
        <w:spacing w:line="276" w:lineRule="auto"/>
        <w:rPr>
          <w:rFonts w:cs="Arial"/>
          <w:szCs w:val="24"/>
        </w:rPr>
      </w:pPr>
      <w:r w:rsidRPr="00D948C1">
        <w:rPr>
          <w:rFonts w:cs="Arial"/>
          <w:szCs w:val="24"/>
        </w:rPr>
        <w:t>Risk Management</w:t>
      </w:r>
    </w:p>
    <w:p w14:paraId="52E72955" w14:textId="77777777" w:rsidR="00634FF1" w:rsidRPr="00D948C1" w:rsidRDefault="00634FF1" w:rsidP="006C0086">
      <w:pPr>
        <w:spacing w:line="276" w:lineRule="auto"/>
        <w:ind w:left="720"/>
        <w:rPr>
          <w:rFonts w:cs="Arial"/>
          <w:szCs w:val="24"/>
        </w:rPr>
      </w:pPr>
    </w:p>
    <w:p w14:paraId="092975CD" w14:textId="77777777" w:rsidR="00634FF1" w:rsidRPr="00D948C1" w:rsidRDefault="00634FF1" w:rsidP="006C0086">
      <w:pPr>
        <w:spacing w:line="276" w:lineRule="auto"/>
        <w:ind w:left="284"/>
        <w:rPr>
          <w:rFonts w:cs="Arial"/>
          <w:szCs w:val="24"/>
        </w:rPr>
      </w:pPr>
      <w:r w:rsidRPr="00D948C1">
        <w:rPr>
          <w:rFonts w:cs="Arial"/>
          <w:szCs w:val="24"/>
        </w:rPr>
        <w:t xml:space="preserve">All major projects and reviews follow similar format and report to the Corporate Programme </w:t>
      </w:r>
      <w:proofErr w:type="gramStart"/>
      <w:r w:rsidRPr="00D948C1">
        <w:rPr>
          <w:rFonts w:cs="Arial"/>
          <w:szCs w:val="24"/>
        </w:rPr>
        <w:t>Board;</w:t>
      </w:r>
      <w:proofErr w:type="gramEnd"/>
    </w:p>
    <w:p w14:paraId="1698FDBC" w14:textId="77777777" w:rsidR="00634FF1" w:rsidRPr="00D948C1" w:rsidRDefault="00634FF1" w:rsidP="006C0086">
      <w:pPr>
        <w:spacing w:line="276" w:lineRule="auto"/>
        <w:rPr>
          <w:rFonts w:cs="Arial"/>
          <w:szCs w:val="24"/>
        </w:rPr>
      </w:pPr>
    </w:p>
    <w:p w14:paraId="064ADAFC"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lastRenderedPageBreak/>
        <w:t xml:space="preserve">The Authority operates a Committee Structure aligned to strategic objectives, within agreed Terms of Reference, as </w:t>
      </w:r>
      <w:proofErr w:type="gramStart"/>
      <w:r w:rsidRPr="00D948C1">
        <w:rPr>
          <w:rFonts w:cs="Arial"/>
          <w:szCs w:val="24"/>
        </w:rPr>
        <w:t>follows:-</w:t>
      </w:r>
      <w:proofErr w:type="gramEnd"/>
    </w:p>
    <w:p w14:paraId="00BFA62E" w14:textId="77777777" w:rsidR="00634FF1" w:rsidRPr="00D948C1" w:rsidRDefault="00634FF1" w:rsidP="006C0086">
      <w:pPr>
        <w:spacing w:line="276" w:lineRule="auto"/>
        <w:ind w:left="284"/>
        <w:rPr>
          <w:rFonts w:cs="Arial"/>
          <w:szCs w:val="24"/>
        </w:rPr>
      </w:pPr>
    </w:p>
    <w:p w14:paraId="5356E1C4" w14:textId="161541A9"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 xml:space="preserve">The Audit Committee - To advise on the adequacy and effectiveness of the Authority's Internal and External Audit Service and risk management arrangements, which operates in line with the core functions identified in </w:t>
      </w:r>
      <w:r w:rsidR="00606309" w:rsidRPr="00CE5321">
        <w:rPr>
          <w:rFonts w:cs="Arial"/>
          <w:szCs w:val="24"/>
        </w:rPr>
        <w:t>Chartered Institute of Public Finance</w:t>
      </w:r>
      <w:r w:rsidR="00606309">
        <w:rPr>
          <w:rFonts w:cs="Arial"/>
          <w:szCs w:val="24"/>
        </w:rPr>
        <w:t>s</w:t>
      </w:r>
      <w:r w:rsidR="00606309" w:rsidRPr="00D948C1">
        <w:rPr>
          <w:rFonts w:cs="Arial"/>
          <w:szCs w:val="24"/>
        </w:rPr>
        <w:t xml:space="preserve"> </w:t>
      </w:r>
      <w:r w:rsidR="00606309">
        <w:rPr>
          <w:rFonts w:cs="Arial"/>
          <w:szCs w:val="24"/>
        </w:rPr>
        <w:t>(</w:t>
      </w:r>
      <w:r w:rsidRPr="00D948C1">
        <w:rPr>
          <w:rFonts w:cs="Arial"/>
          <w:szCs w:val="24"/>
        </w:rPr>
        <w:t>CIPFA</w:t>
      </w:r>
      <w:r w:rsidR="00606309">
        <w:rPr>
          <w:rFonts w:cs="Arial"/>
          <w:szCs w:val="24"/>
        </w:rPr>
        <w:t>)</w:t>
      </w:r>
      <w:r w:rsidRPr="00D948C1">
        <w:rPr>
          <w:rFonts w:cs="Arial"/>
          <w:szCs w:val="24"/>
        </w:rPr>
        <w:t xml:space="preserve"> Audit Committees – Practical Guidance for Local </w:t>
      </w:r>
      <w:proofErr w:type="gramStart"/>
      <w:r w:rsidRPr="00D948C1">
        <w:rPr>
          <w:rFonts w:cs="Arial"/>
          <w:szCs w:val="24"/>
        </w:rPr>
        <w:t>Authorities;</w:t>
      </w:r>
      <w:proofErr w:type="gramEnd"/>
    </w:p>
    <w:p w14:paraId="471FF8BE"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The Resources Committee - To consider reports and make decisions relating to financial, human resources and property related issues</w:t>
      </w:r>
    </w:p>
    <w:p w14:paraId="30965C7A"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The Planning Committee - To consider reports and make decisions relating to all aspect of planning arrangements, including consultation and communication arrangements</w:t>
      </w:r>
    </w:p>
    <w:p w14:paraId="13668ACA"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The Performance Committee - To consider reports and make recommendations on all aspects of performance management,</w:t>
      </w:r>
    </w:p>
    <w:p w14:paraId="5FE73262"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The Appeals Committee -To hear relevant appeals, grievances and complaints</w:t>
      </w:r>
    </w:p>
    <w:p w14:paraId="4384D2FC"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Clear management structure within the Service. The Executive Board, comprising the Chief Fire Officer (head of paid service), and 4 Executive Directors, is responsible for determining policy, monitoring performance and developing service plans in line with the Authority’s overall strategic objectives and is assisted in this process by the Service Management </w:t>
      </w:r>
      <w:proofErr w:type="gramStart"/>
      <w:r w:rsidRPr="00D948C1">
        <w:rPr>
          <w:rFonts w:cs="Arial"/>
          <w:szCs w:val="24"/>
        </w:rPr>
        <w:t>Team;</w:t>
      </w:r>
      <w:proofErr w:type="gramEnd"/>
    </w:p>
    <w:p w14:paraId="599EF146" w14:textId="77777777" w:rsidR="00634FF1" w:rsidRPr="00D948C1" w:rsidRDefault="00634FF1" w:rsidP="006C0086">
      <w:pPr>
        <w:spacing w:line="276" w:lineRule="auto"/>
        <w:rPr>
          <w:rFonts w:cs="Arial"/>
          <w:szCs w:val="24"/>
        </w:rPr>
      </w:pPr>
    </w:p>
    <w:p w14:paraId="419B0191"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The Combination Scheme Order, Standing Orders, Terms of Reference of individual Committees, Scheme of Delegation and Financial Regulations establish overall arrangements for policy setting and decision making and the delegation of powers to members and </w:t>
      </w:r>
      <w:proofErr w:type="gramStart"/>
      <w:r w:rsidRPr="00D948C1">
        <w:rPr>
          <w:rFonts w:cs="Arial"/>
          <w:szCs w:val="24"/>
        </w:rPr>
        <w:t>officers;</w:t>
      </w:r>
      <w:proofErr w:type="gramEnd"/>
    </w:p>
    <w:p w14:paraId="7297EA2B" w14:textId="77777777" w:rsidR="00634FF1" w:rsidRPr="00D948C1" w:rsidRDefault="00634FF1" w:rsidP="006C0086">
      <w:pPr>
        <w:spacing w:line="276" w:lineRule="auto"/>
        <w:rPr>
          <w:rFonts w:cs="Arial"/>
          <w:szCs w:val="24"/>
        </w:rPr>
      </w:pPr>
    </w:p>
    <w:p w14:paraId="48FF734C"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Comprehensive suite of strategies and policies in place and regularly </w:t>
      </w:r>
      <w:proofErr w:type="gramStart"/>
      <w:r w:rsidRPr="00D948C1">
        <w:rPr>
          <w:rFonts w:cs="Arial"/>
          <w:szCs w:val="24"/>
        </w:rPr>
        <w:t>reviewed;</w:t>
      </w:r>
      <w:proofErr w:type="gramEnd"/>
    </w:p>
    <w:p w14:paraId="0AF7183C" w14:textId="77777777" w:rsidR="00634FF1" w:rsidRPr="00D948C1" w:rsidRDefault="00634FF1" w:rsidP="006C0086">
      <w:pPr>
        <w:spacing w:line="276" w:lineRule="auto"/>
        <w:rPr>
          <w:rFonts w:cs="Arial"/>
          <w:szCs w:val="24"/>
        </w:rPr>
      </w:pPr>
    </w:p>
    <w:p w14:paraId="44695F4F"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Codes of Conduct for members and officers, and member/officer protocol, which set out clear expectations for standards of </w:t>
      </w:r>
      <w:proofErr w:type="gramStart"/>
      <w:r w:rsidRPr="00D948C1">
        <w:rPr>
          <w:rFonts w:cs="Arial"/>
          <w:szCs w:val="24"/>
        </w:rPr>
        <w:t>behaviour;</w:t>
      </w:r>
      <w:proofErr w:type="gramEnd"/>
    </w:p>
    <w:p w14:paraId="197A254E" w14:textId="77777777" w:rsidR="00634FF1" w:rsidRPr="00D948C1" w:rsidRDefault="00634FF1" w:rsidP="006C0086">
      <w:pPr>
        <w:spacing w:line="276" w:lineRule="auto"/>
        <w:rPr>
          <w:rFonts w:cs="Arial"/>
          <w:szCs w:val="24"/>
        </w:rPr>
      </w:pPr>
    </w:p>
    <w:p w14:paraId="7DF5DF60"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Both the Monitoring Officer and Treasurer are involved in the Authority’s decision-making process, and ensure compliance with established policies, procedures, laws and regulations; All Authority reports are considered for human resource, financial, business risk, environmental and equality and diversity implications in order to identify key </w:t>
      </w:r>
      <w:proofErr w:type="gramStart"/>
      <w:r w:rsidRPr="00D948C1">
        <w:rPr>
          <w:rFonts w:cs="Arial"/>
          <w:szCs w:val="24"/>
        </w:rPr>
        <w:t>issues;</w:t>
      </w:r>
      <w:proofErr w:type="gramEnd"/>
    </w:p>
    <w:p w14:paraId="5C874EFF" w14:textId="77777777" w:rsidR="00634FF1" w:rsidRPr="00D948C1" w:rsidRDefault="00634FF1" w:rsidP="006C0086">
      <w:pPr>
        <w:spacing w:line="276" w:lineRule="auto"/>
        <w:rPr>
          <w:rFonts w:cs="Arial"/>
          <w:szCs w:val="24"/>
        </w:rPr>
      </w:pPr>
    </w:p>
    <w:p w14:paraId="4DEE86D8"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The Treasurer’s role and financial management arrangements align with requirements set out in CIPFAs Statement on the Role of the Chief Financial Officer in Local Government and CIPFAs Financial Management </w:t>
      </w:r>
      <w:proofErr w:type="gramStart"/>
      <w:r w:rsidRPr="00D948C1">
        <w:rPr>
          <w:rFonts w:cs="Arial"/>
          <w:szCs w:val="24"/>
        </w:rPr>
        <w:t>Code;</w:t>
      </w:r>
      <w:proofErr w:type="gramEnd"/>
    </w:p>
    <w:p w14:paraId="52B7F01F" w14:textId="77777777" w:rsidR="00634FF1" w:rsidRPr="00D948C1" w:rsidRDefault="00634FF1" w:rsidP="006C0086">
      <w:pPr>
        <w:spacing w:line="276" w:lineRule="auto"/>
        <w:rPr>
          <w:rFonts w:cs="Arial"/>
          <w:szCs w:val="24"/>
        </w:rPr>
      </w:pPr>
    </w:p>
    <w:p w14:paraId="7583C56D"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Well publicised arrangements for dealing with complaints and whistleblowing, and for combating fraud and </w:t>
      </w:r>
      <w:proofErr w:type="gramStart"/>
      <w:r w:rsidRPr="00D948C1">
        <w:rPr>
          <w:rFonts w:cs="Arial"/>
          <w:szCs w:val="24"/>
        </w:rPr>
        <w:t>corruption;</w:t>
      </w:r>
      <w:proofErr w:type="gramEnd"/>
      <w:r w:rsidRPr="00D948C1">
        <w:rPr>
          <w:rFonts w:cs="Arial"/>
          <w:szCs w:val="24"/>
        </w:rPr>
        <w:t xml:space="preserve"> </w:t>
      </w:r>
    </w:p>
    <w:p w14:paraId="5B39E394" w14:textId="77777777" w:rsidR="00634FF1" w:rsidRPr="00D948C1" w:rsidRDefault="00634FF1" w:rsidP="006C0086">
      <w:pPr>
        <w:spacing w:line="276" w:lineRule="auto"/>
        <w:rPr>
          <w:rFonts w:cs="Arial"/>
          <w:szCs w:val="24"/>
        </w:rPr>
      </w:pPr>
    </w:p>
    <w:p w14:paraId="56DC7DB4"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lastRenderedPageBreak/>
        <w:t xml:space="preserve">A Risk Management Strategy and framework which ensures that risks to the Service’s objectives are identified and appropriately </w:t>
      </w:r>
      <w:proofErr w:type="gramStart"/>
      <w:r w:rsidRPr="00D948C1">
        <w:rPr>
          <w:rFonts w:cs="Arial"/>
          <w:szCs w:val="24"/>
        </w:rPr>
        <w:t>managed;</w:t>
      </w:r>
      <w:proofErr w:type="gramEnd"/>
    </w:p>
    <w:p w14:paraId="63CF5388" w14:textId="77777777" w:rsidR="00634FF1" w:rsidRPr="00D948C1" w:rsidRDefault="00634FF1" w:rsidP="006C0086">
      <w:pPr>
        <w:spacing w:line="276" w:lineRule="auto"/>
        <w:rPr>
          <w:rFonts w:cs="Arial"/>
          <w:szCs w:val="24"/>
        </w:rPr>
      </w:pPr>
    </w:p>
    <w:p w14:paraId="23C46CE3"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Comprehensive Business Continuity arrangements in place, and tested on a regular </w:t>
      </w:r>
      <w:proofErr w:type="gramStart"/>
      <w:r w:rsidRPr="00D948C1">
        <w:rPr>
          <w:rFonts w:cs="Arial"/>
          <w:szCs w:val="24"/>
        </w:rPr>
        <w:t>basis;</w:t>
      </w:r>
      <w:proofErr w:type="gramEnd"/>
    </w:p>
    <w:p w14:paraId="41920A32" w14:textId="77777777" w:rsidR="00634FF1" w:rsidRPr="00D948C1" w:rsidRDefault="00634FF1" w:rsidP="006C0086">
      <w:pPr>
        <w:spacing w:line="276" w:lineRule="auto"/>
        <w:rPr>
          <w:rFonts w:cs="Arial"/>
          <w:szCs w:val="24"/>
        </w:rPr>
      </w:pPr>
    </w:p>
    <w:p w14:paraId="1A9DEFD1"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A framework to review potential partnership arrangements utilising set criteria prior to entering into such </w:t>
      </w:r>
      <w:proofErr w:type="gramStart"/>
      <w:r w:rsidRPr="00D948C1">
        <w:rPr>
          <w:rFonts w:cs="Arial"/>
          <w:szCs w:val="24"/>
        </w:rPr>
        <w:t>arrangements;</w:t>
      </w:r>
      <w:proofErr w:type="gramEnd"/>
    </w:p>
    <w:p w14:paraId="3805DBA0" w14:textId="77777777" w:rsidR="00634FF1" w:rsidRPr="00D948C1" w:rsidRDefault="00634FF1" w:rsidP="006C0086">
      <w:pPr>
        <w:spacing w:line="276" w:lineRule="auto"/>
        <w:rPr>
          <w:rFonts w:cs="Arial"/>
          <w:szCs w:val="24"/>
        </w:rPr>
      </w:pPr>
    </w:p>
    <w:p w14:paraId="53C75387"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Compliance with data transparency requirements, including publication of all key documents, committee agenda and minutes, pay policy and publication scheme on the </w:t>
      </w:r>
      <w:proofErr w:type="gramStart"/>
      <w:r w:rsidRPr="00D948C1">
        <w:rPr>
          <w:rFonts w:cs="Arial"/>
          <w:szCs w:val="24"/>
        </w:rPr>
        <w:t>internet;</w:t>
      </w:r>
      <w:proofErr w:type="gramEnd"/>
    </w:p>
    <w:p w14:paraId="20DC4A0C" w14:textId="77777777" w:rsidR="00634FF1" w:rsidRPr="00D948C1" w:rsidRDefault="00634FF1" w:rsidP="006C0086">
      <w:pPr>
        <w:spacing w:line="276" w:lineRule="auto"/>
        <w:rPr>
          <w:rFonts w:cs="Arial"/>
          <w:szCs w:val="24"/>
        </w:rPr>
      </w:pPr>
    </w:p>
    <w:p w14:paraId="3E116655"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Regular assessment of training &amp; development needs of both members and officers, including appropriate appraisal system. Sufficient budget to meet relevant training requirements; and</w:t>
      </w:r>
    </w:p>
    <w:p w14:paraId="3C8F98A8" w14:textId="77777777" w:rsidR="00634FF1" w:rsidRPr="00D948C1" w:rsidRDefault="00634FF1" w:rsidP="006C0086">
      <w:pPr>
        <w:spacing w:line="276" w:lineRule="auto"/>
        <w:rPr>
          <w:rFonts w:cs="Arial"/>
          <w:szCs w:val="24"/>
        </w:rPr>
      </w:pPr>
    </w:p>
    <w:p w14:paraId="6BE02D56" w14:textId="49F5DC1C"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Comprehensive service review process in place, comprising external views in the form of </w:t>
      </w:r>
      <w:r w:rsidR="00606309" w:rsidRPr="00F62A71">
        <w:rPr>
          <w:rFonts w:cs="Arial"/>
          <w:szCs w:val="24"/>
        </w:rPr>
        <w:t xml:space="preserve">His Majesty's Inspectorate of Constabulary and Fire &amp; Rescue Services </w:t>
      </w:r>
      <w:r w:rsidR="00606309">
        <w:rPr>
          <w:rFonts w:cs="Arial"/>
          <w:szCs w:val="24"/>
        </w:rPr>
        <w:t>(</w:t>
      </w:r>
      <w:r w:rsidRPr="00D948C1">
        <w:rPr>
          <w:rFonts w:cs="Arial"/>
          <w:szCs w:val="24"/>
        </w:rPr>
        <w:t>HMICFRS</w:t>
      </w:r>
      <w:r w:rsidR="00606309">
        <w:rPr>
          <w:rFonts w:cs="Arial"/>
          <w:szCs w:val="24"/>
        </w:rPr>
        <w:t>)</w:t>
      </w:r>
      <w:r w:rsidRPr="00D948C1">
        <w:rPr>
          <w:rFonts w:cs="Arial"/>
          <w:szCs w:val="24"/>
        </w:rPr>
        <w:t xml:space="preserve"> Inspection review, External Audit reviews, Internal Audit reviews and internal reviews undertaken by our own staff. Ultimately these culminate in the production, and publication, of an Annual Assurance Statement.</w:t>
      </w:r>
    </w:p>
    <w:p w14:paraId="123820F3" w14:textId="77777777" w:rsidR="00634FF1" w:rsidRPr="00D948C1" w:rsidRDefault="00634FF1" w:rsidP="006C0086">
      <w:pPr>
        <w:spacing w:line="276" w:lineRule="auto"/>
        <w:rPr>
          <w:rFonts w:cs="Arial"/>
          <w:szCs w:val="24"/>
        </w:rPr>
      </w:pPr>
    </w:p>
    <w:p w14:paraId="0E54C28D" w14:textId="77777777" w:rsidR="00634FF1" w:rsidRPr="00D948C1" w:rsidRDefault="00634FF1" w:rsidP="006C0086">
      <w:pPr>
        <w:spacing w:line="276" w:lineRule="auto"/>
        <w:rPr>
          <w:rFonts w:cs="Arial"/>
          <w:b/>
          <w:bCs/>
          <w:szCs w:val="24"/>
        </w:rPr>
      </w:pPr>
      <w:r w:rsidRPr="00D948C1">
        <w:rPr>
          <w:rFonts w:cs="Arial"/>
          <w:b/>
          <w:bCs/>
          <w:szCs w:val="24"/>
        </w:rPr>
        <w:t>Review of effectiveness</w:t>
      </w:r>
    </w:p>
    <w:p w14:paraId="64B85E82" w14:textId="77777777" w:rsidR="00634FF1" w:rsidRPr="00D948C1" w:rsidRDefault="00634FF1" w:rsidP="006C0086">
      <w:pPr>
        <w:spacing w:line="276" w:lineRule="auto"/>
        <w:rPr>
          <w:rFonts w:cs="Arial"/>
          <w:szCs w:val="24"/>
        </w:rPr>
      </w:pPr>
    </w:p>
    <w:p w14:paraId="100E7F6A" w14:textId="2114384E"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The Authority has responsibility for conducting, at least annually, a review of the effectiveness of its governance framework including the system of internal control. The review of effectiveness is informed by the work of the executive managers within the Authority who have responsibility for the development and maintenance of the governance environment, the Internal Auditors annual report, </w:t>
      </w:r>
      <w:proofErr w:type="gramStart"/>
      <w:r w:rsidRPr="00D948C1">
        <w:rPr>
          <w:rFonts w:cs="Arial"/>
          <w:szCs w:val="24"/>
        </w:rPr>
        <w:t>and also</w:t>
      </w:r>
      <w:proofErr w:type="gramEnd"/>
      <w:r w:rsidRPr="00D948C1">
        <w:rPr>
          <w:rFonts w:cs="Arial"/>
          <w:szCs w:val="24"/>
        </w:rPr>
        <w:t xml:space="preserve"> by comments made by the external auditors and other review agencies and inspectorates. </w:t>
      </w:r>
    </w:p>
    <w:p w14:paraId="173AC559" w14:textId="77777777" w:rsidR="00634FF1" w:rsidRPr="00D948C1" w:rsidRDefault="00634FF1" w:rsidP="006C0086">
      <w:pPr>
        <w:autoSpaceDE w:val="0"/>
        <w:autoSpaceDN w:val="0"/>
        <w:adjustRightInd w:val="0"/>
        <w:spacing w:line="276" w:lineRule="auto"/>
        <w:rPr>
          <w:rFonts w:cs="Arial"/>
          <w:szCs w:val="24"/>
        </w:rPr>
      </w:pPr>
    </w:p>
    <w:p w14:paraId="44B1B7E1" w14:textId="77777777" w:rsidR="00634FF1" w:rsidRPr="00D948C1" w:rsidRDefault="00634FF1" w:rsidP="006C0086">
      <w:pPr>
        <w:autoSpaceDE w:val="0"/>
        <w:autoSpaceDN w:val="0"/>
        <w:adjustRightInd w:val="0"/>
        <w:spacing w:line="276" w:lineRule="auto"/>
        <w:rPr>
          <w:rFonts w:cs="Arial"/>
          <w:szCs w:val="24"/>
        </w:rPr>
      </w:pPr>
      <w:r w:rsidRPr="00D948C1">
        <w:rPr>
          <w:rFonts w:cs="Arial"/>
          <w:szCs w:val="24"/>
        </w:rPr>
        <w:t xml:space="preserve">A statement of assurance was approved by the Authority in April 2024, it sets out the effectiveness of the governance arrangements for which it is responsible, including the system of internal control. The statement of assurance covers all the principles set out in the Authority’s Code of Corporate Governance. The statement of assurance reveals no areas of weakness in the Authority’s corporate governance arrangements; the arrangements are in all cases at least adequate and in </w:t>
      </w:r>
      <w:proofErr w:type="gramStart"/>
      <w:r w:rsidRPr="00D948C1">
        <w:rPr>
          <w:rFonts w:cs="Arial"/>
          <w:szCs w:val="24"/>
        </w:rPr>
        <w:t>the majority of</w:t>
      </w:r>
      <w:proofErr w:type="gramEnd"/>
      <w:r w:rsidRPr="00D948C1">
        <w:rPr>
          <w:rFonts w:cs="Arial"/>
          <w:szCs w:val="24"/>
        </w:rPr>
        <w:t xml:space="preserve"> areas good.</w:t>
      </w:r>
    </w:p>
    <w:p w14:paraId="70E816B1" w14:textId="77777777" w:rsidR="00634FF1" w:rsidRPr="00D948C1" w:rsidRDefault="00634FF1" w:rsidP="006C0086">
      <w:pPr>
        <w:autoSpaceDE w:val="0"/>
        <w:autoSpaceDN w:val="0"/>
        <w:adjustRightInd w:val="0"/>
        <w:spacing w:line="276" w:lineRule="auto"/>
        <w:rPr>
          <w:rFonts w:cs="Arial"/>
          <w:szCs w:val="24"/>
        </w:rPr>
      </w:pPr>
    </w:p>
    <w:p w14:paraId="12BB69FB" w14:textId="77777777" w:rsidR="00634FF1" w:rsidRPr="00D948C1" w:rsidRDefault="00634FF1" w:rsidP="006C0086">
      <w:pPr>
        <w:spacing w:line="276" w:lineRule="auto"/>
        <w:rPr>
          <w:rFonts w:cs="Arial"/>
          <w:szCs w:val="24"/>
        </w:rPr>
      </w:pPr>
      <w:r w:rsidRPr="00D948C1">
        <w:rPr>
          <w:rFonts w:cs="Arial"/>
          <w:szCs w:val="24"/>
        </w:rPr>
        <w:t xml:space="preserve">In maintaining and reviewing the effectiveness of the Authority’s governance arrangements the following have been </w:t>
      </w:r>
      <w:proofErr w:type="gramStart"/>
      <w:r w:rsidRPr="00D948C1">
        <w:rPr>
          <w:rFonts w:cs="Arial"/>
          <w:szCs w:val="24"/>
        </w:rPr>
        <w:t>considered:-</w:t>
      </w:r>
      <w:proofErr w:type="gramEnd"/>
      <w:r w:rsidRPr="00D948C1">
        <w:rPr>
          <w:rFonts w:cs="Arial"/>
          <w:szCs w:val="24"/>
        </w:rPr>
        <w:t xml:space="preserve"> </w:t>
      </w:r>
    </w:p>
    <w:p w14:paraId="3ADD8864" w14:textId="77777777" w:rsidR="00634FF1" w:rsidRPr="00D948C1" w:rsidRDefault="00634FF1" w:rsidP="006C0086">
      <w:pPr>
        <w:spacing w:line="276" w:lineRule="auto"/>
        <w:rPr>
          <w:rFonts w:cs="Arial"/>
          <w:szCs w:val="24"/>
        </w:rPr>
      </w:pPr>
    </w:p>
    <w:p w14:paraId="5FC645BC" w14:textId="77777777" w:rsidR="00634FF1" w:rsidRPr="00D948C1" w:rsidRDefault="00634FF1" w:rsidP="006C0086">
      <w:pPr>
        <w:numPr>
          <w:ilvl w:val="0"/>
          <w:numId w:val="33"/>
        </w:numPr>
        <w:spacing w:line="276" w:lineRule="auto"/>
        <w:rPr>
          <w:rFonts w:cs="Arial"/>
          <w:szCs w:val="24"/>
        </w:rPr>
      </w:pPr>
      <w:r w:rsidRPr="00D948C1">
        <w:rPr>
          <w:rFonts w:cs="Arial"/>
          <w:szCs w:val="24"/>
        </w:rPr>
        <w:t>A review of minutes of the Executive Board, Audit Committee and Authority to ensure that periodic monitoring and reviews are being reported appropriately and governance issues are addressed.</w:t>
      </w:r>
    </w:p>
    <w:p w14:paraId="546E1C3B" w14:textId="77777777" w:rsidR="00634FF1" w:rsidRPr="00D948C1" w:rsidRDefault="00634FF1" w:rsidP="006C0086">
      <w:pPr>
        <w:spacing w:line="276" w:lineRule="auto"/>
        <w:ind w:left="360"/>
        <w:rPr>
          <w:rFonts w:cs="Arial"/>
          <w:szCs w:val="24"/>
        </w:rPr>
      </w:pPr>
    </w:p>
    <w:p w14:paraId="1F3DE298"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lastRenderedPageBreak/>
        <w:t>We updated our Strategic Assessment of Risk that underpins our Community Risk Management Plan (CRMP) by ensuring that risk management drives decision-making within Lancashire. We undertook an emergency cover review (ECR) in 2022 to ensure that its emergency response remains effective and efficient, and that the Service is well equipped to respond to future challenges.</w:t>
      </w:r>
    </w:p>
    <w:p w14:paraId="242AAEEC" w14:textId="77777777" w:rsidR="00634FF1" w:rsidRPr="00D948C1" w:rsidRDefault="00634FF1" w:rsidP="006C0086">
      <w:pPr>
        <w:spacing w:line="276" w:lineRule="auto"/>
        <w:ind w:left="284"/>
        <w:rPr>
          <w:rFonts w:cs="Arial"/>
          <w:szCs w:val="24"/>
        </w:rPr>
      </w:pPr>
    </w:p>
    <w:p w14:paraId="14855513"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Her Majesty’s Inspectorate of Constabulary and Fire &amp; Rescue Services</w:t>
      </w:r>
      <w:r w:rsidRPr="00D948C1" w:rsidDel="00A27581">
        <w:rPr>
          <w:rFonts w:cs="Arial"/>
          <w:szCs w:val="24"/>
        </w:rPr>
        <w:t xml:space="preserve"> </w:t>
      </w:r>
      <w:r w:rsidRPr="00D948C1">
        <w:rPr>
          <w:rFonts w:cs="Arial"/>
          <w:szCs w:val="24"/>
        </w:rPr>
        <w:t>(HMICFRS) reported the outcome of their second full inspection in July 2022; the focus was on the service they provide to the public, and the way they use the resources available. The HMICFRS reported that the Service is performing exceptionally well and has been recognised as ‘outstanding’ for promoting values and culture. As well as being rated ‘outstanding’ for culture and values, the service was rated as ‘good’ in the other 10 categories and there were no areas that ‘require improvement.’ The results mirror those of the service’s first full inspection in 2018, with the new report highlighting that the service has improved in almost all areas since then. The next inspection is due in 2025.</w:t>
      </w:r>
    </w:p>
    <w:p w14:paraId="5A1D7C5D" w14:textId="77777777" w:rsidR="00634FF1" w:rsidRPr="00D948C1" w:rsidRDefault="00634FF1" w:rsidP="006C0086">
      <w:pPr>
        <w:spacing w:line="276" w:lineRule="auto"/>
        <w:ind w:left="284"/>
        <w:rPr>
          <w:rFonts w:cs="Arial"/>
          <w:szCs w:val="24"/>
        </w:rPr>
      </w:pPr>
    </w:p>
    <w:p w14:paraId="3838DA0C" w14:textId="79D5774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A new Annual Service Plan has been published, providing clarity, both internally and externally, on our priorities set out in the CRMP and describes what our ambitions are for each priority, as well as setting out the projects and actions that will be delivered, </w:t>
      </w:r>
      <w:r w:rsidR="00CF7C24" w:rsidRPr="00D948C1">
        <w:rPr>
          <w:rFonts w:cs="Arial"/>
          <w:szCs w:val="24"/>
        </w:rPr>
        <w:t>developed,</w:t>
      </w:r>
      <w:r w:rsidRPr="00D948C1">
        <w:rPr>
          <w:rFonts w:cs="Arial"/>
          <w:szCs w:val="24"/>
        </w:rPr>
        <w:t xml:space="preserve"> or reviewed during the coming year against each of our priorities. This is supported by Local Delivery Plans.</w:t>
      </w:r>
    </w:p>
    <w:p w14:paraId="7811C52A" w14:textId="77777777" w:rsidR="00634FF1" w:rsidRPr="00D948C1" w:rsidRDefault="00634FF1" w:rsidP="006C0086">
      <w:pPr>
        <w:pStyle w:val="ListParagraph"/>
        <w:spacing w:line="276" w:lineRule="auto"/>
        <w:rPr>
          <w:rFonts w:cs="Arial"/>
          <w:szCs w:val="24"/>
        </w:rPr>
      </w:pPr>
    </w:p>
    <w:p w14:paraId="5CC5CF0C" w14:textId="3911EDED"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Statement of Intent: Enhanced Collaboration agreed between</w:t>
      </w:r>
      <w:r w:rsidR="001B32C9" w:rsidRPr="001B32C9">
        <w:rPr>
          <w:szCs w:val="24"/>
          <w:lang w:eastAsia="en-GB"/>
        </w:rPr>
        <w:t xml:space="preserve"> </w:t>
      </w:r>
      <w:r w:rsidR="001B32C9">
        <w:rPr>
          <w:szCs w:val="24"/>
          <w:lang w:eastAsia="en-GB"/>
        </w:rPr>
        <w:t>Lancashire Fire and Rescue Service</w:t>
      </w:r>
      <w:r w:rsidRPr="00D948C1">
        <w:rPr>
          <w:rFonts w:cs="Arial"/>
          <w:szCs w:val="24"/>
        </w:rPr>
        <w:t>, Lancashire Constabulary and Northwest Ambulance Services. Collaboration group established with regular reports to Members.</w:t>
      </w:r>
    </w:p>
    <w:p w14:paraId="2BA4E3B1" w14:textId="77777777" w:rsidR="00634FF1" w:rsidRPr="00D948C1" w:rsidRDefault="00634FF1" w:rsidP="006C0086">
      <w:pPr>
        <w:spacing w:line="276" w:lineRule="auto"/>
        <w:rPr>
          <w:rFonts w:cs="Arial"/>
          <w:szCs w:val="24"/>
        </w:rPr>
      </w:pPr>
    </w:p>
    <w:p w14:paraId="6FBFB917" w14:textId="0C4DBAF0" w:rsidR="00634FF1" w:rsidRPr="00D948C1" w:rsidRDefault="00634FF1" w:rsidP="006C0086">
      <w:pPr>
        <w:numPr>
          <w:ilvl w:val="0"/>
          <w:numId w:val="33"/>
        </w:numPr>
        <w:tabs>
          <w:tab w:val="clear" w:pos="360"/>
          <w:tab w:val="num" w:pos="284"/>
        </w:tabs>
        <w:spacing w:line="276" w:lineRule="auto"/>
        <w:ind w:left="284" w:hanging="284"/>
        <w:rPr>
          <w:rFonts w:cs="Arial"/>
          <w:szCs w:val="24"/>
        </w:rPr>
      </w:pPr>
      <w:bookmarkStart w:id="6" w:name="_Hlk137559488"/>
      <w:r w:rsidRPr="00D948C1">
        <w:rPr>
          <w:rFonts w:cs="Arial"/>
          <w:szCs w:val="24"/>
        </w:rPr>
        <w:t xml:space="preserve">An Organisational Assurance Team. The newly formed Organisational Assurance team under Planning, Performance and Assurance, will now have a broader reference than just a focus on operational assurance. The team has the responsibility for HMICFRS liaison, operational preparedness and will undertake internal audits/ assurance across the whole organisation based on trends, </w:t>
      </w:r>
      <w:r w:rsidR="00550085" w:rsidRPr="00D948C1">
        <w:rPr>
          <w:rFonts w:cs="Arial"/>
          <w:szCs w:val="24"/>
        </w:rPr>
        <w:t>themes,</w:t>
      </w:r>
      <w:r w:rsidRPr="00D948C1">
        <w:rPr>
          <w:rFonts w:cs="Arial"/>
          <w:szCs w:val="24"/>
        </w:rPr>
        <w:t xml:space="preserve"> and emerging needs. The team will identify and share good practice as well as areas for improvement, items will be tracked through to completion. The Organisational Assurance team will work closely with the Operational Assurance team (under Training and Operational Review) who have the responsibility for operational learning and response. The Operational Assurance team will continue to create the operational assurance performance summary which is published quarterly. A programme of preparedness visits will be managed by the Organisational Assurance team which has expanded on the operational audits undertaken previously. </w:t>
      </w:r>
    </w:p>
    <w:bookmarkEnd w:id="6"/>
    <w:p w14:paraId="292CA59D" w14:textId="77777777" w:rsidR="00634FF1" w:rsidRPr="00D948C1" w:rsidRDefault="00634FF1" w:rsidP="006C0086">
      <w:pPr>
        <w:spacing w:line="276" w:lineRule="auto"/>
        <w:rPr>
          <w:rFonts w:cs="Arial"/>
          <w:szCs w:val="24"/>
        </w:rPr>
      </w:pPr>
    </w:p>
    <w:p w14:paraId="30DA2E0F" w14:textId="77777777" w:rsidR="00634FF1" w:rsidRPr="00D948C1" w:rsidRDefault="00634FF1" w:rsidP="006C0086">
      <w:pPr>
        <w:numPr>
          <w:ilvl w:val="0"/>
          <w:numId w:val="33"/>
        </w:numPr>
        <w:tabs>
          <w:tab w:val="clear" w:pos="360"/>
          <w:tab w:val="num" w:pos="284"/>
        </w:tabs>
        <w:spacing w:line="276" w:lineRule="auto"/>
        <w:rPr>
          <w:rFonts w:cs="Arial"/>
          <w:szCs w:val="24"/>
        </w:rPr>
      </w:pPr>
      <w:r w:rsidRPr="00D948C1">
        <w:rPr>
          <w:rFonts w:cs="Arial"/>
          <w:szCs w:val="24"/>
        </w:rPr>
        <w:t xml:space="preserve">Performance appraisal incorporating values is undertaken throughout the Service. </w:t>
      </w:r>
    </w:p>
    <w:p w14:paraId="3D25CDDD" w14:textId="77777777" w:rsidR="00634FF1" w:rsidRPr="00D948C1" w:rsidRDefault="00634FF1" w:rsidP="006C0086">
      <w:pPr>
        <w:pStyle w:val="ListParagraph"/>
        <w:spacing w:line="276" w:lineRule="auto"/>
        <w:rPr>
          <w:rFonts w:cs="Arial"/>
          <w:szCs w:val="24"/>
        </w:rPr>
      </w:pPr>
    </w:p>
    <w:p w14:paraId="6E577E02"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Internal Audit services were provided by Lancashire County Council, who comply with CIPFA’s Code of Internal Audit Practice. The Head of Internal Audit is required by professional standards to provide an opinion addressing governance, risk management and control and thereby to provide assurance that the risks to the objectives of Lancashire </w:t>
      </w:r>
      <w:r w:rsidRPr="00D948C1">
        <w:rPr>
          <w:rFonts w:cs="Arial"/>
          <w:szCs w:val="24"/>
        </w:rPr>
        <w:lastRenderedPageBreak/>
        <w:t>Combined Fire Authority are being adequately and effectively controlled. As part of the 2023/24 internal audit plan the auditors undertook various reviews and gave the overall opinion that they can “</w:t>
      </w:r>
      <w:r w:rsidRPr="00D948C1">
        <w:rPr>
          <w:rFonts w:cs="Arial"/>
          <w:b/>
          <w:bCs/>
          <w:i/>
          <w:iCs/>
          <w:szCs w:val="24"/>
        </w:rPr>
        <w:t>provide substantial assurance</w:t>
      </w:r>
      <w:r w:rsidRPr="00D948C1">
        <w:rPr>
          <w:rFonts w:cs="Arial"/>
          <w:szCs w:val="24"/>
        </w:rPr>
        <w:t xml:space="preserve"> regarding the adequacy of design and effectiveness in operation of the organisation's frameworks of governance, risk management and control.”</w:t>
      </w:r>
    </w:p>
    <w:p w14:paraId="2D8A140E" w14:textId="77777777" w:rsidR="00634FF1" w:rsidRPr="00D948C1" w:rsidRDefault="00634FF1" w:rsidP="006C0086">
      <w:pPr>
        <w:pStyle w:val="ListParagraph"/>
        <w:spacing w:line="276" w:lineRule="auto"/>
        <w:rPr>
          <w:rFonts w:cs="Arial"/>
          <w:szCs w:val="24"/>
        </w:rPr>
      </w:pPr>
    </w:p>
    <w:p w14:paraId="25302458" w14:textId="0E67F6CE"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The Authority’s external auditors are Grant Thornton, they are required to consider whether the service has put in place proper arrangements to secure economy, efficiency</w:t>
      </w:r>
      <w:r w:rsidR="00550085" w:rsidRPr="00D948C1">
        <w:rPr>
          <w:rFonts w:cs="Arial"/>
          <w:szCs w:val="24"/>
        </w:rPr>
        <w:t>,</w:t>
      </w:r>
      <w:r w:rsidRPr="00D948C1">
        <w:rPr>
          <w:rFonts w:cs="Arial"/>
          <w:szCs w:val="24"/>
        </w:rPr>
        <w:t xml:space="preserve"> and effectiveness in is use of resources. Their conclusions are set out below:</w:t>
      </w:r>
    </w:p>
    <w:p w14:paraId="42EF13D8" w14:textId="77777777" w:rsidR="00634FF1" w:rsidRPr="00D948C1" w:rsidRDefault="00634FF1" w:rsidP="006C0086">
      <w:pPr>
        <w:pStyle w:val="ListParagraph"/>
        <w:spacing w:line="276" w:lineRule="auto"/>
        <w:rPr>
          <w:rFonts w:cs="Arial"/>
          <w:szCs w:val="24"/>
        </w:rPr>
      </w:pPr>
    </w:p>
    <w:p w14:paraId="68D91112"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Financial Sustainability – “Significant weakness in arrangements identified in relation to the Authority’s level and use of reserves to manage its financial position”. Note that this has now been addressed as part of setting the 2024/25 MTFS; the general reserve remains at c£1m above the minimum level of reserves for the duration of the five-year period of the MTFS.</w:t>
      </w:r>
    </w:p>
    <w:p w14:paraId="6A70C3F1" w14:textId="77777777"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Governance – “No significant weaknesses in arrangements identified”.</w:t>
      </w:r>
    </w:p>
    <w:p w14:paraId="0319DDAE" w14:textId="4E7CEF22" w:rsidR="00634FF1" w:rsidRPr="00D948C1" w:rsidRDefault="00634FF1" w:rsidP="006C0086">
      <w:pPr>
        <w:numPr>
          <w:ilvl w:val="1"/>
          <w:numId w:val="33"/>
        </w:numPr>
        <w:tabs>
          <w:tab w:val="num" w:pos="284"/>
        </w:tabs>
        <w:spacing w:line="276" w:lineRule="auto"/>
        <w:ind w:left="1077" w:hanging="357"/>
        <w:rPr>
          <w:rFonts w:cs="Arial"/>
          <w:szCs w:val="24"/>
        </w:rPr>
      </w:pPr>
      <w:r w:rsidRPr="00D948C1">
        <w:rPr>
          <w:rFonts w:cs="Arial"/>
          <w:szCs w:val="24"/>
        </w:rPr>
        <w:t>Improving economy, efficiency</w:t>
      </w:r>
      <w:r w:rsidR="00CF7C24" w:rsidRPr="00D948C1">
        <w:rPr>
          <w:rFonts w:cs="Arial"/>
          <w:szCs w:val="24"/>
        </w:rPr>
        <w:t>,</w:t>
      </w:r>
      <w:r w:rsidRPr="00D948C1">
        <w:rPr>
          <w:rFonts w:cs="Arial"/>
          <w:szCs w:val="24"/>
        </w:rPr>
        <w:t xml:space="preserve"> and effectiveness - “No significant weaknesses in arrangements identified”.</w:t>
      </w:r>
    </w:p>
    <w:p w14:paraId="125A099F" w14:textId="77777777" w:rsidR="00634FF1" w:rsidRPr="00D948C1" w:rsidRDefault="00634FF1" w:rsidP="006C0086">
      <w:pPr>
        <w:numPr>
          <w:ilvl w:val="0"/>
          <w:numId w:val="33"/>
        </w:numPr>
        <w:tabs>
          <w:tab w:val="clear" w:pos="360"/>
          <w:tab w:val="num" w:pos="284"/>
        </w:tabs>
        <w:spacing w:line="276" w:lineRule="auto"/>
        <w:ind w:left="284" w:hanging="284"/>
        <w:rPr>
          <w:rFonts w:cs="Arial"/>
          <w:szCs w:val="24"/>
        </w:rPr>
      </w:pPr>
      <w:r w:rsidRPr="00D948C1">
        <w:rPr>
          <w:rFonts w:cs="Arial"/>
          <w:szCs w:val="24"/>
        </w:rPr>
        <w:t xml:space="preserve">On 3 April 2024 Grant Thornton gave an unqualified opinion on the Authority’s finance statements ended 31 March 2023. </w:t>
      </w:r>
    </w:p>
    <w:p w14:paraId="232FCF17" w14:textId="77777777" w:rsidR="00634FF1" w:rsidRPr="00D948C1" w:rsidRDefault="00634FF1" w:rsidP="006C0086">
      <w:pPr>
        <w:spacing w:line="276" w:lineRule="auto"/>
        <w:rPr>
          <w:rFonts w:cs="Arial"/>
          <w:szCs w:val="24"/>
        </w:rPr>
      </w:pPr>
    </w:p>
    <w:p w14:paraId="7C2863EB" w14:textId="77777777" w:rsidR="00634FF1" w:rsidRPr="00D948C1" w:rsidRDefault="00634FF1" w:rsidP="006C0086">
      <w:pPr>
        <w:spacing w:line="276" w:lineRule="auto"/>
        <w:rPr>
          <w:rFonts w:cs="Arial"/>
          <w:szCs w:val="24"/>
        </w:rPr>
      </w:pPr>
      <w:r w:rsidRPr="00D948C1">
        <w:rPr>
          <w:rFonts w:cs="Arial"/>
          <w:szCs w:val="24"/>
        </w:rPr>
        <w:t xml:space="preserve">Last year’s Annual Governance Statement identified </w:t>
      </w:r>
      <w:proofErr w:type="gramStart"/>
      <w:r w:rsidRPr="00D948C1">
        <w:rPr>
          <w:rFonts w:cs="Arial"/>
          <w:szCs w:val="24"/>
        </w:rPr>
        <w:t>a number of</w:t>
      </w:r>
      <w:proofErr w:type="gramEnd"/>
      <w:r w:rsidRPr="00D948C1">
        <w:rPr>
          <w:rFonts w:cs="Arial"/>
          <w:szCs w:val="24"/>
        </w:rPr>
        <w:t xml:space="preserve"> areas for improvement, and progress against these are set out below:</w:t>
      </w:r>
    </w:p>
    <w:p w14:paraId="348E21E9" w14:textId="77777777" w:rsidR="00634FF1" w:rsidRPr="00D948C1" w:rsidRDefault="00634FF1" w:rsidP="006C0086">
      <w:pPr>
        <w:spacing w:line="276" w:lineRule="auto"/>
        <w:jc w:val="both"/>
        <w:rPr>
          <w:rFonts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4058"/>
        <w:gridCol w:w="1415"/>
        <w:gridCol w:w="1667"/>
      </w:tblGrid>
      <w:tr w:rsidR="00634FF1" w:rsidRPr="00D948C1" w14:paraId="7A05B04F" w14:textId="77777777" w:rsidTr="00550595">
        <w:tc>
          <w:tcPr>
            <w:tcW w:w="2778" w:type="dxa"/>
            <w:tcBorders>
              <w:top w:val="single" w:sz="4" w:space="0" w:color="auto"/>
              <w:left w:val="single" w:sz="4" w:space="0" w:color="auto"/>
              <w:bottom w:val="single" w:sz="4" w:space="0" w:color="auto"/>
              <w:right w:val="single" w:sz="4" w:space="0" w:color="auto"/>
            </w:tcBorders>
            <w:shd w:val="clear" w:color="auto" w:fill="BD2716"/>
            <w:hideMark/>
          </w:tcPr>
          <w:p w14:paraId="4BB7C514" w14:textId="77777777" w:rsidR="00634FF1" w:rsidRPr="00D948C1" w:rsidRDefault="00634FF1" w:rsidP="006C0086">
            <w:pPr>
              <w:spacing w:line="276" w:lineRule="auto"/>
              <w:rPr>
                <w:color w:val="FFFFFF" w:themeColor="background1"/>
                <w:szCs w:val="24"/>
              </w:rPr>
            </w:pPr>
            <w:bookmarkStart w:id="7" w:name="_Hlk138150169"/>
            <w:r w:rsidRPr="00D948C1">
              <w:rPr>
                <w:color w:val="FFFFFF" w:themeColor="background1"/>
                <w:szCs w:val="24"/>
              </w:rPr>
              <w:t>Area for Improvement</w:t>
            </w:r>
          </w:p>
        </w:tc>
        <w:tc>
          <w:tcPr>
            <w:tcW w:w="4058" w:type="dxa"/>
            <w:tcBorders>
              <w:top w:val="single" w:sz="4" w:space="0" w:color="auto"/>
              <w:left w:val="single" w:sz="4" w:space="0" w:color="auto"/>
              <w:bottom w:val="single" w:sz="4" w:space="0" w:color="auto"/>
              <w:right w:val="single" w:sz="4" w:space="0" w:color="auto"/>
            </w:tcBorders>
            <w:shd w:val="clear" w:color="auto" w:fill="BD2716"/>
            <w:hideMark/>
          </w:tcPr>
          <w:p w14:paraId="64107D82" w14:textId="77777777" w:rsidR="00634FF1" w:rsidRPr="00D948C1" w:rsidRDefault="00634FF1" w:rsidP="006C0086">
            <w:pPr>
              <w:spacing w:line="276" w:lineRule="auto"/>
              <w:rPr>
                <w:color w:val="FFFFFF" w:themeColor="background1"/>
                <w:szCs w:val="24"/>
              </w:rPr>
            </w:pPr>
            <w:r w:rsidRPr="00D948C1">
              <w:rPr>
                <w:color w:val="FFFFFF" w:themeColor="background1"/>
                <w:szCs w:val="24"/>
              </w:rPr>
              <w:t>Action to date</w:t>
            </w:r>
          </w:p>
        </w:tc>
        <w:tc>
          <w:tcPr>
            <w:tcW w:w="1415" w:type="dxa"/>
            <w:tcBorders>
              <w:top w:val="single" w:sz="4" w:space="0" w:color="auto"/>
              <w:left w:val="single" w:sz="4" w:space="0" w:color="auto"/>
              <w:bottom w:val="single" w:sz="4" w:space="0" w:color="auto"/>
              <w:right w:val="single" w:sz="4" w:space="0" w:color="auto"/>
            </w:tcBorders>
            <w:shd w:val="clear" w:color="auto" w:fill="BD2716"/>
            <w:hideMark/>
          </w:tcPr>
          <w:p w14:paraId="67ABDDFC" w14:textId="77777777" w:rsidR="00634FF1" w:rsidRPr="00D948C1" w:rsidRDefault="00634FF1" w:rsidP="006C0086">
            <w:pPr>
              <w:spacing w:line="276" w:lineRule="auto"/>
              <w:rPr>
                <w:color w:val="FFFFFF" w:themeColor="background1"/>
                <w:szCs w:val="24"/>
              </w:rPr>
            </w:pPr>
            <w:r w:rsidRPr="00D948C1">
              <w:rPr>
                <w:color w:val="FFFFFF" w:themeColor="background1"/>
                <w:szCs w:val="24"/>
              </w:rPr>
              <w:t>Complete/</w:t>
            </w:r>
          </w:p>
          <w:p w14:paraId="476FECC1" w14:textId="77777777" w:rsidR="00634FF1" w:rsidRPr="00D948C1" w:rsidRDefault="00634FF1" w:rsidP="006C0086">
            <w:pPr>
              <w:spacing w:line="276" w:lineRule="auto"/>
              <w:rPr>
                <w:color w:val="FFFFFF" w:themeColor="background1"/>
                <w:szCs w:val="24"/>
              </w:rPr>
            </w:pPr>
            <w:r w:rsidRPr="00D948C1">
              <w:rPr>
                <w:color w:val="FFFFFF" w:themeColor="background1"/>
                <w:szCs w:val="24"/>
              </w:rPr>
              <w:t>On-going</w:t>
            </w:r>
          </w:p>
        </w:tc>
        <w:tc>
          <w:tcPr>
            <w:tcW w:w="1667" w:type="dxa"/>
            <w:tcBorders>
              <w:top w:val="single" w:sz="4" w:space="0" w:color="auto"/>
              <w:left w:val="single" w:sz="4" w:space="0" w:color="auto"/>
              <w:bottom w:val="single" w:sz="4" w:space="0" w:color="auto"/>
              <w:right w:val="single" w:sz="4" w:space="0" w:color="auto"/>
            </w:tcBorders>
            <w:shd w:val="clear" w:color="auto" w:fill="BD2716"/>
            <w:hideMark/>
          </w:tcPr>
          <w:p w14:paraId="2BDA8AA5" w14:textId="77777777" w:rsidR="00634FF1" w:rsidRPr="00D948C1" w:rsidRDefault="00634FF1" w:rsidP="006C0086">
            <w:pPr>
              <w:spacing w:line="276" w:lineRule="auto"/>
              <w:rPr>
                <w:color w:val="FFFFFF" w:themeColor="background1"/>
                <w:szCs w:val="24"/>
              </w:rPr>
            </w:pPr>
            <w:r w:rsidRPr="00D948C1">
              <w:rPr>
                <w:color w:val="FFFFFF" w:themeColor="background1"/>
                <w:szCs w:val="24"/>
              </w:rPr>
              <w:t>Owner</w:t>
            </w:r>
          </w:p>
        </w:tc>
      </w:tr>
      <w:tr w:rsidR="00634FF1" w:rsidRPr="00D948C1" w14:paraId="78B534D0" w14:textId="77777777" w:rsidTr="0091485F">
        <w:trPr>
          <w:trHeight w:val="1070"/>
        </w:trPr>
        <w:tc>
          <w:tcPr>
            <w:tcW w:w="2778" w:type="dxa"/>
            <w:tcBorders>
              <w:top w:val="single" w:sz="4" w:space="0" w:color="auto"/>
              <w:left w:val="single" w:sz="4" w:space="0" w:color="auto"/>
              <w:bottom w:val="single" w:sz="4" w:space="0" w:color="auto"/>
              <w:right w:val="single" w:sz="4" w:space="0" w:color="auto"/>
            </w:tcBorders>
          </w:tcPr>
          <w:p w14:paraId="4749B4C5" w14:textId="77777777" w:rsidR="00634FF1" w:rsidRPr="00D948C1" w:rsidRDefault="00634FF1" w:rsidP="006C0086">
            <w:pPr>
              <w:spacing w:line="276" w:lineRule="auto"/>
              <w:rPr>
                <w:rFonts w:cs="Arial"/>
                <w:szCs w:val="24"/>
              </w:rPr>
            </w:pPr>
            <w:r w:rsidRPr="00D948C1">
              <w:rPr>
                <w:rFonts w:cs="Arial"/>
                <w:szCs w:val="24"/>
              </w:rPr>
              <w:t>A project to replace the existing Performance Management System will commence</w:t>
            </w:r>
          </w:p>
        </w:tc>
        <w:tc>
          <w:tcPr>
            <w:tcW w:w="4058" w:type="dxa"/>
            <w:tcBorders>
              <w:top w:val="single" w:sz="4" w:space="0" w:color="auto"/>
              <w:left w:val="single" w:sz="4" w:space="0" w:color="auto"/>
              <w:bottom w:val="single" w:sz="4" w:space="0" w:color="auto"/>
              <w:right w:val="single" w:sz="4" w:space="0" w:color="auto"/>
            </w:tcBorders>
          </w:tcPr>
          <w:p w14:paraId="71660993" w14:textId="465D0A70" w:rsidR="00634FF1" w:rsidRPr="00D948C1" w:rsidRDefault="00634FF1" w:rsidP="006C0086">
            <w:pPr>
              <w:spacing w:line="276" w:lineRule="auto"/>
              <w:rPr>
                <w:rFonts w:cs="Arial"/>
                <w:szCs w:val="24"/>
              </w:rPr>
            </w:pPr>
            <w:r w:rsidRPr="00D948C1">
              <w:rPr>
                <w:rFonts w:cs="Arial"/>
                <w:szCs w:val="24"/>
              </w:rPr>
              <w:t xml:space="preserve">Work has progressed on developing the KPI suite for Service level performance reporting and user acceptance testing is well underway. Two service level KPIs remain in development, and relevant communications and training delivery plans are being drafted ahead of rollout. Regarding the development of internal (front-end) </w:t>
            </w:r>
            <w:proofErr w:type="spellStart"/>
            <w:r w:rsidRPr="00D948C1">
              <w:rPr>
                <w:rFonts w:cs="Arial"/>
                <w:szCs w:val="24"/>
              </w:rPr>
              <w:t>PowerBi</w:t>
            </w:r>
            <w:proofErr w:type="spellEnd"/>
            <w:r w:rsidRPr="00D948C1">
              <w:rPr>
                <w:rFonts w:cs="Arial"/>
                <w:szCs w:val="24"/>
              </w:rPr>
              <w:t xml:space="preserve"> dashboards, the first dashboard for Finance Dept. is due to be released by the end of quarter one. Two further dashboards, one for service delivery and one for on call performance, are also in development.</w:t>
            </w:r>
          </w:p>
        </w:tc>
        <w:tc>
          <w:tcPr>
            <w:tcW w:w="1415" w:type="dxa"/>
            <w:tcBorders>
              <w:top w:val="single" w:sz="4" w:space="0" w:color="auto"/>
              <w:left w:val="single" w:sz="4" w:space="0" w:color="auto"/>
              <w:bottom w:val="single" w:sz="4" w:space="0" w:color="auto"/>
              <w:right w:val="single" w:sz="4" w:space="0" w:color="auto"/>
            </w:tcBorders>
          </w:tcPr>
          <w:p w14:paraId="728A2EEE" w14:textId="77777777" w:rsidR="00634FF1" w:rsidRPr="00D948C1" w:rsidRDefault="00634FF1" w:rsidP="006C0086">
            <w:pPr>
              <w:spacing w:line="276" w:lineRule="auto"/>
              <w:rPr>
                <w:rFonts w:cs="Arial"/>
                <w:color w:val="000000"/>
                <w:szCs w:val="24"/>
              </w:rPr>
            </w:pPr>
            <w:r w:rsidRPr="00D948C1">
              <w:rPr>
                <w:szCs w:val="24"/>
              </w:rPr>
              <w:t>Ongoing</w:t>
            </w:r>
          </w:p>
        </w:tc>
        <w:tc>
          <w:tcPr>
            <w:tcW w:w="1667" w:type="dxa"/>
            <w:tcBorders>
              <w:top w:val="single" w:sz="4" w:space="0" w:color="auto"/>
              <w:left w:val="single" w:sz="4" w:space="0" w:color="auto"/>
              <w:bottom w:val="single" w:sz="4" w:space="0" w:color="auto"/>
              <w:right w:val="single" w:sz="4" w:space="0" w:color="auto"/>
            </w:tcBorders>
            <w:hideMark/>
          </w:tcPr>
          <w:p w14:paraId="3A375B45" w14:textId="77777777" w:rsidR="00634FF1" w:rsidRPr="00D948C1" w:rsidRDefault="00634FF1" w:rsidP="006C0086">
            <w:pPr>
              <w:spacing w:line="276" w:lineRule="auto"/>
              <w:rPr>
                <w:rFonts w:cs="Arial"/>
                <w:color w:val="000000"/>
                <w:szCs w:val="24"/>
              </w:rPr>
            </w:pPr>
            <w:r w:rsidRPr="00D948C1">
              <w:rPr>
                <w:rFonts w:cs="Arial"/>
                <w:color w:val="000000"/>
                <w:szCs w:val="24"/>
              </w:rPr>
              <w:t>Head of Service Improvement</w:t>
            </w:r>
          </w:p>
        </w:tc>
      </w:tr>
      <w:tr w:rsidR="00634FF1" w:rsidRPr="00D948C1" w14:paraId="32403DA7" w14:textId="77777777" w:rsidTr="0091485F">
        <w:trPr>
          <w:trHeight w:val="274"/>
        </w:trPr>
        <w:tc>
          <w:tcPr>
            <w:tcW w:w="2778" w:type="dxa"/>
            <w:tcBorders>
              <w:top w:val="single" w:sz="4" w:space="0" w:color="auto"/>
              <w:left w:val="single" w:sz="4" w:space="0" w:color="auto"/>
              <w:bottom w:val="single" w:sz="4" w:space="0" w:color="auto"/>
              <w:right w:val="single" w:sz="4" w:space="0" w:color="auto"/>
            </w:tcBorders>
          </w:tcPr>
          <w:p w14:paraId="61B4CA5C" w14:textId="567E4D01" w:rsidR="00634FF1" w:rsidRPr="00D948C1" w:rsidRDefault="00634FF1" w:rsidP="006C0086">
            <w:pPr>
              <w:spacing w:line="276" w:lineRule="auto"/>
              <w:rPr>
                <w:rFonts w:cs="Arial"/>
                <w:szCs w:val="24"/>
              </w:rPr>
            </w:pPr>
            <w:r w:rsidRPr="00D948C1">
              <w:rPr>
                <w:rFonts w:cs="Arial"/>
                <w:szCs w:val="24"/>
              </w:rPr>
              <w:t xml:space="preserve">An upgraded Finance system will be </w:t>
            </w:r>
            <w:r w:rsidRPr="00D948C1">
              <w:rPr>
                <w:rFonts w:cs="Arial"/>
                <w:szCs w:val="24"/>
              </w:rPr>
              <w:lastRenderedPageBreak/>
              <w:t>implemented in April 2022, as part of that we will review and implement improvements to the monthly budget monitoring process, making greater use of additional functionality provided.</w:t>
            </w:r>
          </w:p>
        </w:tc>
        <w:tc>
          <w:tcPr>
            <w:tcW w:w="4058" w:type="dxa"/>
            <w:tcBorders>
              <w:top w:val="single" w:sz="4" w:space="0" w:color="auto"/>
              <w:left w:val="single" w:sz="4" w:space="0" w:color="auto"/>
              <w:bottom w:val="single" w:sz="4" w:space="0" w:color="auto"/>
              <w:right w:val="single" w:sz="4" w:space="0" w:color="auto"/>
            </w:tcBorders>
          </w:tcPr>
          <w:p w14:paraId="6FC41CDC" w14:textId="77777777" w:rsidR="00634FF1" w:rsidRPr="00D948C1" w:rsidRDefault="00634FF1" w:rsidP="006C0086">
            <w:pPr>
              <w:spacing w:line="276" w:lineRule="auto"/>
              <w:rPr>
                <w:rFonts w:cs="Arial"/>
                <w:szCs w:val="24"/>
              </w:rPr>
            </w:pPr>
            <w:r w:rsidRPr="00D948C1">
              <w:rPr>
                <w:rFonts w:cs="Arial"/>
                <w:szCs w:val="24"/>
              </w:rPr>
              <w:lastRenderedPageBreak/>
              <w:t xml:space="preserve">Improvements to the monthly budget monitoring process have </w:t>
            </w:r>
            <w:r w:rsidRPr="00D948C1">
              <w:rPr>
                <w:rFonts w:cs="Arial"/>
                <w:szCs w:val="24"/>
              </w:rPr>
              <w:lastRenderedPageBreak/>
              <w:t>been developed and tested and are being rolled out over the summer of 2024.</w:t>
            </w:r>
          </w:p>
        </w:tc>
        <w:tc>
          <w:tcPr>
            <w:tcW w:w="1415" w:type="dxa"/>
            <w:tcBorders>
              <w:top w:val="single" w:sz="4" w:space="0" w:color="auto"/>
              <w:left w:val="single" w:sz="4" w:space="0" w:color="auto"/>
              <w:bottom w:val="single" w:sz="4" w:space="0" w:color="auto"/>
              <w:right w:val="single" w:sz="4" w:space="0" w:color="auto"/>
            </w:tcBorders>
          </w:tcPr>
          <w:p w14:paraId="51942446" w14:textId="77777777" w:rsidR="00634FF1" w:rsidRPr="00D948C1" w:rsidRDefault="00634FF1" w:rsidP="006C0086">
            <w:pPr>
              <w:spacing w:line="276" w:lineRule="auto"/>
              <w:rPr>
                <w:rFonts w:cs="Arial"/>
                <w:color w:val="000000"/>
                <w:szCs w:val="24"/>
              </w:rPr>
            </w:pPr>
            <w:r w:rsidRPr="00D948C1">
              <w:rPr>
                <w:rFonts w:cs="Arial"/>
                <w:color w:val="000000"/>
                <w:szCs w:val="24"/>
              </w:rPr>
              <w:lastRenderedPageBreak/>
              <w:t>Ongoing</w:t>
            </w:r>
          </w:p>
        </w:tc>
        <w:tc>
          <w:tcPr>
            <w:tcW w:w="1667" w:type="dxa"/>
            <w:tcBorders>
              <w:top w:val="single" w:sz="4" w:space="0" w:color="auto"/>
              <w:left w:val="single" w:sz="4" w:space="0" w:color="auto"/>
              <w:bottom w:val="single" w:sz="4" w:space="0" w:color="auto"/>
              <w:right w:val="single" w:sz="4" w:space="0" w:color="auto"/>
            </w:tcBorders>
            <w:hideMark/>
          </w:tcPr>
          <w:p w14:paraId="3B40711D" w14:textId="77777777" w:rsidR="00634FF1" w:rsidRPr="00D948C1" w:rsidRDefault="00634FF1" w:rsidP="006C0086">
            <w:pPr>
              <w:spacing w:line="276" w:lineRule="auto"/>
              <w:rPr>
                <w:rFonts w:cs="Arial"/>
                <w:color w:val="000000"/>
                <w:szCs w:val="24"/>
              </w:rPr>
            </w:pPr>
            <w:r w:rsidRPr="00D948C1">
              <w:rPr>
                <w:rFonts w:cs="Arial"/>
                <w:color w:val="000000"/>
                <w:szCs w:val="24"/>
              </w:rPr>
              <w:t>Head of Finance</w:t>
            </w:r>
          </w:p>
        </w:tc>
      </w:tr>
      <w:tr w:rsidR="00634FF1" w:rsidRPr="00D948C1" w14:paraId="0373FDFB" w14:textId="77777777" w:rsidTr="0091485F">
        <w:trPr>
          <w:trHeight w:val="274"/>
        </w:trPr>
        <w:tc>
          <w:tcPr>
            <w:tcW w:w="2778" w:type="dxa"/>
            <w:tcBorders>
              <w:top w:val="single" w:sz="4" w:space="0" w:color="auto"/>
              <w:left w:val="single" w:sz="4" w:space="0" w:color="auto"/>
              <w:bottom w:val="single" w:sz="4" w:space="0" w:color="auto"/>
              <w:right w:val="single" w:sz="4" w:space="0" w:color="auto"/>
            </w:tcBorders>
          </w:tcPr>
          <w:p w14:paraId="6589FA85" w14:textId="39BDB74C" w:rsidR="00634FF1" w:rsidRPr="00D948C1" w:rsidRDefault="00634FF1" w:rsidP="006C0086">
            <w:pPr>
              <w:spacing w:line="276" w:lineRule="auto"/>
              <w:rPr>
                <w:rFonts w:cs="Arial"/>
                <w:szCs w:val="24"/>
              </w:rPr>
            </w:pPr>
            <w:r w:rsidRPr="00D948C1">
              <w:rPr>
                <w:rFonts w:cs="Arial"/>
                <w:szCs w:val="24"/>
              </w:rPr>
              <w:t xml:space="preserve">Identify a mechanism to report to Members of the </w:t>
            </w:r>
            <w:r w:rsidR="001B32C9">
              <w:rPr>
                <w:rFonts w:cs="Arial"/>
                <w:szCs w:val="24"/>
              </w:rPr>
              <w:t xml:space="preserve">Combined Fire Authority </w:t>
            </w:r>
            <w:r w:rsidRPr="00D948C1">
              <w:rPr>
                <w:rFonts w:cs="Arial"/>
                <w:szCs w:val="24"/>
              </w:rPr>
              <w:t>our response to national recommendations made by the HMICFRS during the year.</w:t>
            </w:r>
          </w:p>
        </w:tc>
        <w:tc>
          <w:tcPr>
            <w:tcW w:w="4058" w:type="dxa"/>
            <w:tcBorders>
              <w:top w:val="single" w:sz="4" w:space="0" w:color="auto"/>
              <w:left w:val="single" w:sz="4" w:space="0" w:color="auto"/>
              <w:bottom w:val="single" w:sz="4" w:space="0" w:color="auto"/>
              <w:right w:val="single" w:sz="4" w:space="0" w:color="auto"/>
            </w:tcBorders>
          </w:tcPr>
          <w:p w14:paraId="795CABC3" w14:textId="0E4532E5" w:rsidR="00634FF1" w:rsidRPr="00D948C1" w:rsidRDefault="00634FF1" w:rsidP="006C0086">
            <w:pPr>
              <w:spacing w:line="276" w:lineRule="auto"/>
              <w:rPr>
                <w:rFonts w:cs="Arial"/>
                <w:szCs w:val="24"/>
              </w:rPr>
            </w:pPr>
            <w:r w:rsidRPr="00D948C1">
              <w:rPr>
                <w:rFonts w:cs="Arial"/>
                <w:szCs w:val="24"/>
              </w:rPr>
              <w:t xml:space="preserve">Regular HMICFRS updates are provided to </w:t>
            </w:r>
            <w:r w:rsidR="001B32C9">
              <w:rPr>
                <w:rFonts w:cs="Arial"/>
                <w:szCs w:val="24"/>
              </w:rPr>
              <w:t xml:space="preserve">Combined Fire Authority </w:t>
            </w:r>
            <w:r w:rsidRPr="00D948C1">
              <w:rPr>
                <w:rFonts w:cs="Arial"/>
                <w:szCs w:val="24"/>
              </w:rPr>
              <w:t xml:space="preserve">members via a specific HMICFRS update paper to every planning committee. Members are also provided with a HMICFRS update on </w:t>
            </w:r>
            <w:r w:rsidR="00CF7C24" w:rsidRPr="00D948C1">
              <w:rPr>
                <w:rFonts w:cs="Arial"/>
                <w:szCs w:val="24"/>
              </w:rPr>
              <w:t>Strategy Day</w:t>
            </w:r>
            <w:r w:rsidRPr="00D948C1">
              <w:rPr>
                <w:rFonts w:cs="Arial"/>
                <w:szCs w:val="24"/>
              </w:rPr>
              <w:t xml:space="preserve"> via a presentation, this includes an overview of the annual ‘State of fire’ report and any recommendations. Regarding the HMICFRS values and culture recommendations, progress is reported alongside </w:t>
            </w:r>
            <w:r w:rsidR="001B32C9">
              <w:rPr>
                <w:szCs w:val="24"/>
                <w:lang w:eastAsia="en-GB"/>
              </w:rPr>
              <w:t>Lancashire Fire and Rescue Service e</w:t>
            </w:r>
            <w:r w:rsidRPr="00D948C1">
              <w:rPr>
                <w:rFonts w:cs="Arial"/>
                <w:szCs w:val="24"/>
              </w:rPr>
              <w:t xml:space="preserve">quality action plan which is provided to </w:t>
            </w:r>
            <w:r w:rsidR="001B32C9">
              <w:rPr>
                <w:rFonts w:cs="Arial"/>
                <w:szCs w:val="24"/>
              </w:rPr>
              <w:t xml:space="preserve">Combined Fire Authority </w:t>
            </w:r>
            <w:r w:rsidRPr="00D948C1">
              <w:rPr>
                <w:rFonts w:cs="Arial"/>
                <w:szCs w:val="24"/>
              </w:rPr>
              <w:t>members.</w:t>
            </w:r>
          </w:p>
        </w:tc>
        <w:tc>
          <w:tcPr>
            <w:tcW w:w="1415" w:type="dxa"/>
            <w:tcBorders>
              <w:top w:val="single" w:sz="4" w:space="0" w:color="auto"/>
              <w:left w:val="single" w:sz="4" w:space="0" w:color="auto"/>
              <w:bottom w:val="single" w:sz="4" w:space="0" w:color="auto"/>
              <w:right w:val="single" w:sz="4" w:space="0" w:color="auto"/>
            </w:tcBorders>
          </w:tcPr>
          <w:p w14:paraId="733643CF" w14:textId="77777777" w:rsidR="00634FF1" w:rsidRPr="00D948C1" w:rsidRDefault="00634FF1" w:rsidP="006C0086">
            <w:pPr>
              <w:spacing w:line="276" w:lineRule="auto"/>
              <w:rPr>
                <w:rFonts w:cs="Arial"/>
                <w:color w:val="000000"/>
                <w:szCs w:val="24"/>
              </w:rPr>
            </w:pPr>
            <w:r w:rsidRPr="00D948C1">
              <w:rPr>
                <w:rFonts w:cs="Arial"/>
                <w:color w:val="000000"/>
                <w:szCs w:val="24"/>
              </w:rPr>
              <w:t>Completed</w:t>
            </w:r>
          </w:p>
        </w:tc>
        <w:tc>
          <w:tcPr>
            <w:tcW w:w="1667" w:type="dxa"/>
            <w:tcBorders>
              <w:top w:val="single" w:sz="4" w:space="0" w:color="auto"/>
              <w:left w:val="single" w:sz="4" w:space="0" w:color="auto"/>
              <w:bottom w:val="single" w:sz="4" w:space="0" w:color="auto"/>
              <w:right w:val="single" w:sz="4" w:space="0" w:color="auto"/>
            </w:tcBorders>
          </w:tcPr>
          <w:p w14:paraId="03D452AA" w14:textId="77777777" w:rsidR="00634FF1" w:rsidRPr="00D948C1" w:rsidRDefault="00634FF1" w:rsidP="006C0086">
            <w:pPr>
              <w:spacing w:line="276" w:lineRule="auto"/>
              <w:rPr>
                <w:rFonts w:cs="Arial"/>
                <w:color w:val="000000"/>
                <w:szCs w:val="24"/>
              </w:rPr>
            </w:pPr>
            <w:r w:rsidRPr="00D948C1">
              <w:rPr>
                <w:rFonts w:cs="Arial"/>
                <w:color w:val="000000"/>
                <w:szCs w:val="24"/>
              </w:rPr>
              <w:t>Head of Service Improvement</w:t>
            </w:r>
          </w:p>
        </w:tc>
      </w:tr>
      <w:bookmarkEnd w:id="7"/>
    </w:tbl>
    <w:p w14:paraId="0FEE3125" w14:textId="77777777" w:rsidR="00634FF1" w:rsidRPr="00D948C1" w:rsidRDefault="00634FF1" w:rsidP="006C0086">
      <w:pPr>
        <w:spacing w:line="276" w:lineRule="auto"/>
        <w:rPr>
          <w:szCs w:val="24"/>
        </w:rPr>
      </w:pPr>
    </w:p>
    <w:p w14:paraId="3FE02205" w14:textId="77777777" w:rsidR="00634FF1" w:rsidRPr="00D948C1" w:rsidRDefault="00634FF1" w:rsidP="006C0086">
      <w:pPr>
        <w:spacing w:line="276" w:lineRule="auto"/>
        <w:rPr>
          <w:b/>
          <w:bCs/>
        </w:rPr>
      </w:pPr>
      <w:r w:rsidRPr="00D948C1">
        <w:rPr>
          <w:b/>
          <w:bCs/>
        </w:rPr>
        <w:t>Significant governance issues</w:t>
      </w:r>
    </w:p>
    <w:p w14:paraId="148601E5" w14:textId="77777777" w:rsidR="00634FF1" w:rsidRPr="00D948C1" w:rsidRDefault="00634FF1" w:rsidP="006C0086">
      <w:pPr>
        <w:spacing w:line="276" w:lineRule="auto"/>
      </w:pPr>
    </w:p>
    <w:p w14:paraId="74036D21" w14:textId="1946579F" w:rsidR="00634FF1" w:rsidRPr="00D948C1" w:rsidRDefault="00634FF1" w:rsidP="006C0086">
      <w:pPr>
        <w:spacing w:line="276" w:lineRule="auto"/>
      </w:pPr>
      <w:proofErr w:type="gramStart"/>
      <w:r w:rsidRPr="00D948C1">
        <w:t>On the basis of</w:t>
      </w:r>
      <w:proofErr w:type="gramEnd"/>
      <w:r w:rsidRPr="00D948C1">
        <w:t xml:space="preserve"> the review of the sources of assurance set out in this statement, we are satisfied that Lancashire Combined Fire Authority and Lancashire Fire and Rescue Service has in place a satisfactory system of internal control which facilitates the effective exercise of its </w:t>
      </w:r>
      <w:r w:rsidR="00CF7C24" w:rsidRPr="00D948C1">
        <w:t>functions,</w:t>
      </w:r>
      <w:r w:rsidRPr="00D948C1">
        <w:t xml:space="preserve"> and which includes arrangements for the management of risk.</w:t>
      </w:r>
    </w:p>
    <w:p w14:paraId="427E7B02" w14:textId="77777777" w:rsidR="00634FF1" w:rsidRPr="00D948C1" w:rsidRDefault="00634FF1" w:rsidP="006C0086">
      <w:pPr>
        <w:spacing w:line="276" w:lineRule="auto"/>
      </w:pPr>
    </w:p>
    <w:p w14:paraId="0941C47C" w14:textId="60CD4DE5" w:rsidR="00634FF1" w:rsidRPr="00D948C1" w:rsidRDefault="00634FF1" w:rsidP="006C0086">
      <w:pPr>
        <w:spacing w:line="276" w:lineRule="auto"/>
      </w:pPr>
      <w:proofErr w:type="gramStart"/>
      <w:r w:rsidRPr="00D948C1">
        <w:t>A number of</w:t>
      </w:r>
      <w:proofErr w:type="gramEnd"/>
      <w:r w:rsidRPr="00D948C1">
        <w:t xml:space="preserve"> improvement recommendations and one significant governance issue was identified as part of the external audit. The significant government issue relating to the Authority’s level and use of reserves to manage its financial position was addressed in February 2024 as part of setting the Budget and Medium</w:t>
      </w:r>
      <w:r w:rsidR="00CF7C24" w:rsidRPr="00D948C1">
        <w:t>-</w:t>
      </w:r>
      <w:r w:rsidRPr="00D948C1">
        <w:t xml:space="preserve">Term Financial Strategy for 2024/25; the general reserve remains at c£1m above the minimum level of reserves for the duration of the five-year period of the </w:t>
      </w:r>
      <w:r w:rsidR="001B32C9" w:rsidRPr="00D948C1">
        <w:t>Medium-Term Financial Strategy</w:t>
      </w:r>
      <w:r w:rsidRPr="00D948C1">
        <w:t>. The detail of this issue, improvement recommendations and management comments are included in the ‘</w:t>
      </w:r>
      <w:hyperlink r:id="rId24" w:history="1">
        <w:r w:rsidRPr="00D948C1">
          <w:rPr>
            <w:rStyle w:val="Hyperlink"/>
            <w:szCs w:val="24"/>
          </w:rPr>
          <w:t>Auditors Annual Report template - Fire and rescue - 2</w:t>
        </w:r>
        <w:r w:rsidR="00CC63B1" w:rsidRPr="00D948C1">
          <w:rPr>
            <w:rStyle w:val="Hyperlink"/>
            <w:szCs w:val="24"/>
          </w:rPr>
          <w:t>2</w:t>
        </w:r>
        <w:r w:rsidRPr="00D948C1">
          <w:rPr>
            <w:rStyle w:val="Hyperlink"/>
            <w:szCs w:val="24"/>
          </w:rPr>
          <w:t>-2</w:t>
        </w:r>
        <w:r w:rsidR="00CC63B1" w:rsidRPr="00D948C1">
          <w:rPr>
            <w:rStyle w:val="Hyperlink"/>
            <w:szCs w:val="24"/>
          </w:rPr>
          <w:t>3</w:t>
        </w:r>
        <w:r w:rsidRPr="00D948C1">
          <w:rPr>
            <w:rStyle w:val="Hyperlink"/>
            <w:szCs w:val="24"/>
          </w:rPr>
          <w:t xml:space="preserve"> (lancsfirerescue.org.uk)</w:t>
        </w:r>
      </w:hyperlink>
      <w:r w:rsidRPr="00D948C1">
        <w:t>. We are satisfied that the steps set out in the management comments will address the improvements identified in our governance arrangements.</w:t>
      </w:r>
    </w:p>
    <w:p w14:paraId="3B1B8AD6" w14:textId="77777777" w:rsidR="00634FF1" w:rsidRPr="00D948C1" w:rsidRDefault="00634FF1" w:rsidP="006C0086">
      <w:pPr>
        <w:spacing w:line="276" w:lineRule="auto"/>
        <w:rPr>
          <w:szCs w:val="24"/>
        </w:rPr>
      </w:pPr>
    </w:p>
    <w:p w14:paraId="2AA9F9A7" w14:textId="77777777" w:rsidR="00634FF1" w:rsidRPr="00D948C1" w:rsidRDefault="00634FF1" w:rsidP="006C0086">
      <w:pPr>
        <w:spacing w:line="276" w:lineRule="auto"/>
        <w:rPr>
          <w:szCs w:val="24"/>
        </w:rPr>
      </w:pPr>
      <w:r w:rsidRPr="00D948C1">
        <w:rPr>
          <w:szCs w:val="24"/>
        </w:rPr>
        <w:lastRenderedPageBreak/>
        <w:t xml:space="preserve">Approved: </w:t>
      </w:r>
    </w:p>
    <w:p w14:paraId="55DB4133" w14:textId="77777777" w:rsidR="00634FF1" w:rsidRPr="00D948C1" w:rsidRDefault="00634FF1" w:rsidP="006C0086">
      <w:pPr>
        <w:spacing w:line="276" w:lineRule="auto"/>
      </w:pPr>
    </w:p>
    <w:tbl>
      <w:tblPr>
        <w:tblW w:w="10031" w:type="dxa"/>
        <w:tblLayout w:type="fixed"/>
        <w:tblLook w:val="0000" w:firstRow="0" w:lastRow="0" w:firstColumn="0" w:lastColumn="0" w:noHBand="0" w:noVBand="0"/>
      </w:tblPr>
      <w:tblGrid>
        <w:gridCol w:w="3369"/>
        <w:gridCol w:w="283"/>
        <w:gridCol w:w="2977"/>
        <w:gridCol w:w="284"/>
        <w:gridCol w:w="3118"/>
      </w:tblGrid>
      <w:tr w:rsidR="00634FF1" w:rsidRPr="00D948C1" w14:paraId="1F67B030" w14:textId="77777777" w:rsidTr="00AF3F25">
        <w:trPr>
          <w:trHeight w:val="1047"/>
        </w:trPr>
        <w:tc>
          <w:tcPr>
            <w:tcW w:w="3369" w:type="dxa"/>
          </w:tcPr>
          <w:p w14:paraId="2B5D32BA" w14:textId="54348730" w:rsidR="00BC3251" w:rsidRPr="00D948C1" w:rsidRDefault="00BC3251" w:rsidP="006C0086">
            <w:pPr>
              <w:spacing w:line="276" w:lineRule="auto"/>
              <w:jc w:val="both"/>
              <w:rPr>
                <w:rFonts w:ascii="Brush Script MT" w:hAnsi="Brush Script MT"/>
                <w:sz w:val="48"/>
                <w:szCs w:val="48"/>
              </w:rPr>
            </w:pPr>
            <w:r w:rsidRPr="00D948C1">
              <w:rPr>
                <w:rFonts w:ascii="Brush Script MT" w:hAnsi="Brush Script MT"/>
                <w:sz w:val="48"/>
                <w:szCs w:val="48"/>
              </w:rPr>
              <w:t>Nikki Hennessy</w:t>
            </w:r>
          </w:p>
          <w:p w14:paraId="469F9193" w14:textId="77777777" w:rsidR="00634FF1" w:rsidRPr="00D948C1" w:rsidRDefault="00634FF1" w:rsidP="006C0086">
            <w:pPr>
              <w:spacing w:line="276" w:lineRule="auto"/>
              <w:jc w:val="both"/>
              <w:rPr>
                <w:rFonts w:cs="Arial"/>
                <w:sz w:val="22"/>
                <w:szCs w:val="22"/>
              </w:rPr>
            </w:pPr>
          </w:p>
        </w:tc>
        <w:tc>
          <w:tcPr>
            <w:tcW w:w="283" w:type="dxa"/>
          </w:tcPr>
          <w:p w14:paraId="72A09030" w14:textId="77777777" w:rsidR="00634FF1" w:rsidRPr="00D948C1" w:rsidRDefault="00634FF1" w:rsidP="006C0086">
            <w:pPr>
              <w:spacing w:line="276" w:lineRule="auto"/>
              <w:rPr>
                <w:rFonts w:cs="Arial"/>
                <w:sz w:val="22"/>
                <w:szCs w:val="22"/>
              </w:rPr>
            </w:pPr>
          </w:p>
        </w:tc>
        <w:tc>
          <w:tcPr>
            <w:tcW w:w="2977" w:type="dxa"/>
          </w:tcPr>
          <w:p w14:paraId="2DCCF845" w14:textId="141B2353" w:rsidR="00BC3251" w:rsidRPr="00D948C1" w:rsidRDefault="00BC3251" w:rsidP="006C0086">
            <w:pPr>
              <w:spacing w:line="276" w:lineRule="auto"/>
              <w:jc w:val="both"/>
              <w:rPr>
                <w:rFonts w:ascii="Brush Script MT" w:hAnsi="Brush Script MT"/>
                <w:sz w:val="48"/>
                <w:szCs w:val="48"/>
              </w:rPr>
            </w:pPr>
            <w:r w:rsidRPr="00D948C1">
              <w:rPr>
                <w:rFonts w:ascii="Brush Script MT" w:hAnsi="Brush Script MT"/>
                <w:sz w:val="48"/>
                <w:szCs w:val="48"/>
              </w:rPr>
              <w:t>Justin Johnston</w:t>
            </w:r>
          </w:p>
          <w:p w14:paraId="6850C2B5" w14:textId="77777777" w:rsidR="00634FF1" w:rsidRPr="00D948C1" w:rsidRDefault="00634FF1" w:rsidP="006C0086">
            <w:pPr>
              <w:spacing w:line="276" w:lineRule="auto"/>
              <w:jc w:val="both"/>
              <w:rPr>
                <w:rFonts w:cs="Arial"/>
                <w:sz w:val="22"/>
                <w:szCs w:val="22"/>
              </w:rPr>
            </w:pPr>
          </w:p>
        </w:tc>
        <w:tc>
          <w:tcPr>
            <w:tcW w:w="284" w:type="dxa"/>
          </w:tcPr>
          <w:p w14:paraId="7D4A9814" w14:textId="77777777" w:rsidR="00634FF1" w:rsidRPr="00D948C1" w:rsidRDefault="00634FF1" w:rsidP="006C0086">
            <w:pPr>
              <w:spacing w:line="276" w:lineRule="auto"/>
              <w:rPr>
                <w:rFonts w:cs="Arial"/>
                <w:sz w:val="22"/>
                <w:szCs w:val="22"/>
              </w:rPr>
            </w:pPr>
          </w:p>
        </w:tc>
        <w:tc>
          <w:tcPr>
            <w:tcW w:w="3118" w:type="dxa"/>
          </w:tcPr>
          <w:p w14:paraId="31B940E9" w14:textId="77777777" w:rsidR="00634FF1" w:rsidRPr="00D948C1" w:rsidRDefault="00634FF1" w:rsidP="006C0086">
            <w:pPr>
              <w:spacing w:line="276" w:lineRule="auto"/>
              <w:jc w:val="both"/>
              <w:rPr>
                <w:rFonts w:ascii="Brush Script MT" w:hAnsi="Brush Script MT"/>
                <w:sz w:val="48"/>
                <w:szCs w:val="48"/>
              </w:rPr>
            </w:pPr>
            <w:r w:rsidRPr="00D948C1">
              <w:rPr>
                <w:rFonts w:ascii="Brush Script MT" w:hAnsi="Brush Script MT"/>
                <w:sz w:val="48"/>
                <w:szCs w:val="48"/>
              </w:rPr>
              <w:t>Steven Brown</w:t>
            </w:r>
          </w:p>
          <w:p w14:paraId="2AFBF80C" w14:textId="77777777" w:rsidR="00634FF1" w:rsidRPr="00D948C1" w:rsidRDefault="00634FF1" w:rsidP="006C0086">
            <w:pPr>
              <w:spacing w:line="276" w:lineRule="auto"/>
              <w:rPr>
                <w:rFonts w:cs="Arial"/>
                <w:sz w:val="22"/>
                <w:szCs w:val="22"/>
              </w:rPr>
            </w:pPr>
          </w:p>
        </w:tc>
      </w:tr>
      <w:tr w:rsidR="00634FF1" w:rsidRPr="00D948C1" w14:paraId="630F6DB5" w14:textId="77777777" w:rsidTr="00AF3F25">
        <w:trPr>
          <w:trHeight w:val="1477"/>
        </w:trPr>
        <w:tc>
          <w:tcPr>
            <w:tcW w:w="3369" w:type="dxa"/>
          </w:tcPr>
          <w:p w14:paraId="67DEF462" w14:textId="77777777" w:rsidR="00634FF1" w:rsidRPr="00844496" w:rsidRDefault="00634FF1" w:rsidP="006C0086">
            <w:pPr>
              <w:spacing w:line="276" w:lineRule="auto"/>
              <w:rPr>
                <w:rFonts w:cs="Arial"/>
                <w:szCs w:val="24"/>
              </w:rPr>
            </w:pPr>
            <w:r w:rsidRPr="00844496">
              <w:rPr>
                <w:rFonts w:cs="Arial"/>
                <w:szCs w:val="24"/>
              </w:rPr>
              <w:t>County Councillor N Hennessy, Chairman,</w:t>
            </w:r>
          </w:p>
          <w:p w14:paraId="6F52305C" w14:textId="77777777" w:rsidR="00634FF1" w:rsidRPr="00844496" w:rsidRDefault="00634FF1" w:rsidP="006C0086">
            <w:pPr>
              <w:spacing w:line="276" w:lineRule="auto"/>
              <w:rPr>
                <w:rFonts w:cs="Arial"/>
                <w:szCs w:val="24"/>
              </w:rPr>
            </w:pPr>
            <w:r w:rsidRPr="00844496">
              <w:rPr>
                <w:rFonts w:cs="Arial"/>
                <w:szCs w:val="24"/>
              </w:rPr>
              <w:t>Lancashire Combined Fire Authority</w:t>
            </w:r>
          </w:p>
          <w:p w14:paraId="3F1634AE" w14:textId="033A182E" w:rsidR="00634FF1" w:rsidRPr="00844496" w:rsidRDefault="00844496" w:rsidP="006C0086">
            <w:pPr>
              <w:spacing w:line="276" w:lineRule="auto"/>
              <w:rPr>
                <w:rFonts w:cs="Arial"/>
                <w:szCs w:val="24"/>
              </w:rPr>
            </w:pPr>
            <w:r w:rsidRPr="00844496">
              <w:rPr>
                <w:szCs w:val="24"/>
              </w:rPr>
              <w:t>25</w:t>
            </w:r>
            <w:r w:rsidRPr="00844496">
              <w:rPr>
                <w:szCs w:val="24"/>
                <w:vertAlign w:val="superscript"/>
              </w:rPr>
              <w:t>th</w:t>
            </w:r>
            <w:r w:rsidRPr="00844496">
              <w:rPr>
                <w:szCs w:val="24"/>
              </w:rPr>
              <w:t xml:space="preserve"> November 2024</w:t>
            </w:r>
          </w:p>
        </w:tc>
        <w:tc>
          <w:tcPr>
            <w:tcW w:w="283" w:type="dxa"/>
          </w:tcPr>
          <w:p w14:paraId="51EFC968" w14:textId="77777777" w:rsidR="00634FF1" w:rsidRPr="00844496" w:rsidRDefault="00634FF1" w:rsidP="006C0086">
            <w:pPr>
              <w:spacing w:line="276" w:lineRule="auto"/>
              <w:rPr>
                <w:rFonts w:cs="Arial"/>
                <w:szCs w:val="24"/>
              </w:rPr>
            </w:pPr>
          </w:p>
        </w:tc>
        <w:tc>
          <w:tcPr>
            <w:tcW w:w="2977" w:type="dxa"/>
          </w:tcPr>
          <w:p w14:paraId="770E7E95" w14:textId="77777777" w:rsidR="00634FF1" w:rsidRPr="00844496" w:rsidRDefault="00634FF1" w:rsidP="006C0086">
            <w:pPr>
              <w:spacing w:line="276" w:lineRule="auto"/>
              <w:rPr>
                <w:rFonts w:cs="Arial"/>
                <w:szCs w:val="24"/>
              </w:rPr>
            </w:pPr>
            <w:r w:rsidRPr="00844496">
              <w:rPr>
                <w:rFonts w:cs="Arial"/>
                <w:szCs w:val="24"/>
              </w:rPr>
              <w:t>J Johnston,</w:t>
            </w:r>
          </w:p>
          <w:p w14:paraId="021B183D" w14:textId="77777777" w:rsidR="00634FF1" w:rsidRPr="00844496" w:rsidRDefault="00634FF1" w:rsidP="006C0086">
            <w:pPr>
              <w:spacing w:line="276" w:lineRule="auto"/>
              <w:rPr>
                <w:rFonts w:cs="Arial"/>
                <w:szCs w:val="24"/>
              </w:rPr>
            </w:pPr>
            <w:r w:rsidRPr="00844496">
              <w:rPr>
                <w:rFonts w:cs="Arial"/>
                <w:szCs w:val="24"/>
              </w:rPr>
              <w:t>Chief Fire Officer, Lancashire Fire and Rescue Service</w:t>
            </w:r>
          </w:p>
          <w:p w14:paraId="647D843F" w14:textId="7BD8C6A2" w:rsidR="00634FF1" w:rsidRPr="00844496" w:rsidRDefault="00844496" w:rsidP="006C0086">
            <w:pPr>
              <w:spacing w:line="276" w:lineRule="auto"/>
              <w:rPr>
                <w:rFonts w:cs="Arial"/>
                <w:szCs w:val="24"/>
              </w:rPr>
            </w:pPr>
            <w:r w:rsidRPr="00844496">
              <w:rPr>
                <w:szCs w:val="24"/>
              </w:rPr>
              <w:t>25</w:t>
            </w:r>
            <w:r w:rsidRPr="00844496">
              <w:rPr>
                <w:szCs w:val="24"/>
                <w:vertAlign w:val="superscript"/>
              </w:rPr>
              <w:t>th</w:t>
            </w:r>
            <w:r w:rsidRPr="00844496">
              <w:rPr>
                <w:szCs w:val="24"/>
              </w:rPr>
              <w:t xml:space="preserve"> November 2024</w:t>
            </w:r>
          </w:p>
        </w:tc>
        <w:tc>
          <w:tcPr>
            <w:tcW w:w="284" w:type="dxa"/>
          </w:tcPr>
          <w:p w14:paraId="3E47458C" w14:textId="77777777" w:rsidR="00634FF1" w:rsidRPr="00844496" w:rsidRDefault="00634FF1" w:rsidP="006C0086">
            <w:pPr>
              <w:spacing w:line="276" w:lineRule="auto"/>
              <w:rPr>
                <w:rFonts w:cs="Arial"/>
                <w:szCs w:val="24"/>
              </w:rPr>
            </w:pPr>
          </w:p>
        </w:tc>
        <w:tc>
          <w:tcPr>
            <w:tcW w:w="3118" w:type="dxa"/>
          </w:tcPr>
          <w:p w14:paraId="4F43E27A" w14:textId="77777777" w:rsidR="00634FF1" w:rsidRPr="00844496" w:rsidRDefault="00634FF1" w:rsidP="006C0086">
            <w:pPr>
              <w:spacing w:line="276" w:lineRule="auto"/>
              <w:rPr>
                <w:rFonts w:cs="Arial"/>
                <w:szCs w:val="24"/>
              </w:rPr>
            </w:pPr>
            <w:r w:rsidRPr="00844496">
              <w:rPr>
                <w:rFonts w:cs="Arial"/>
                <w:szCs w:val="24"/>
              </w:rPr>
              <w:t>S Brown,</w:t>
            </w:r>
          </w:p>
          <w:p w14:paraId="7A543B42" w14:textId="77777777" w:rsidR="00634FF1" w:rsidRPr="00844496" w:rsidRDefault="00634FF1" w:rsidP="006C0086">
            <w:pPr>
              <w:spacing w:line="276" w:lineRule="auto"/>
              <w:rPr>
                <w:rFonts w:cs="Arial"/>
                <w:szCs w:val="24"/>
              </w:rPr>
            </w:pPr>
            <w:r w:rsidRPr="00844496">
              <w:rPr>
                <w:rFonts w:cs="Arial"/>
                <w:szCs w:val="24"/>
              </w:rPr>
              <w:t xml:space="preserve">Treasurer, </w:t>
            </w:r>
          </w:p>
          <w:p w14:paraId="0C72441F" w14:textId="77777777" w:rsidR="00634FF1" w:rsidRPr="00844496" w:rsidRDefault="00634FF1" w:rsidP="006C0086">
            <w:pPr>
              <w:spacing w:line="276" w:lineRule="auto"/>
              <w:rPr>
                <w:rFonts w:cs="Arial"/>
                <w:szCs w:val="24"/>
              </w:rPr>
            </w:pPr>
            <w:r w:rsidRPr="00844496">
              <w:rPr>
                <w:rFonts w:cs="Arial"/>
                <w:szCs w:val="24"/>
              </w:rPr>
              <w:t>Lancashire Combined Fire Authority</w:t>
            </w:r>
          </w:p>
          <w:p w14:paraId="16AC1788" w14:textId="5970231C" w:rsidR="00634FF1" w:rsidRPr="00844496" w:rsidRDefault="00844496" w:rsidP="006C0086">
            <w:pPr>
              <w:spacing w:line="276" w:lineRule="auto"/>
              <w:rPr>
                <w:rFonts w:cs="Arial"/>
                <w:szCs w:val="24"/>
              </w:rPr>
            </w:pPr>
            <w:r w:rsidRPr="00844496">
              <w:rPr>
                <w:szCs w:val="24"/>
              </w:rPr>
              <w:t>25</w:t>
            </w:r>
            <w:r w:rsidRPr="00844496">
              <w:rPr>
                <w:szCs w:val="24"/>
                <w:vertAlign w:val="superscript"/>
              </w:rPr>
              <w:t>th</w:t>
            </w:r>
            <w:r w:rsidRPr="00844496">
              <w:rPr>
                <w:szCs w:val="24"/>
              </w:rPr>
              <w:t xml:space="preserve"> November 2024</w:t>
            </w:r>
          </w:p>
        </w:tc>
      </w:tr>
    </w:tbl>
    <w:p w14:paraId="4483E522" w14:textId="77777777" w:rsidR="00634FF1" w:rsidRPr="00D948C1" w:rsidRDefault="00634FF1" w:rsidP="006C0086">
      <w:pPr>
        <w:pStyle w:val="Heading1"/>
        <w:spacing w:line="276" w:lineRule="auto"/>
        <w:rPr>
          <w:sz w:val="22"/>
          <w:szCs w:val="22"/>
        </w:rPr>
      </w:pPr>
      <w:r w:rsidRPr="00D948C1">
        <w:rPr>
          <w:sz w:val="22"/>
          <w:szCs w:val="22"/>
        </w:rPr>
        <w:br w:type="page"/>
      </w:r>
    </w:p>
    <w:p w14:paraId="12FA2E82" w14:textId="77777777" w:rsidR="00634FF1" w:rsidRPr="00D948C1" w:rsidRDefault="00634FF1" w:rsidP="006C0086">
      <w:pPr>
        <w:pStyle w:val="Heading1"/>
        <w:spacing w:line="276" w:lineRule="auto"/>
        <w:rPr>
          <w:szCs w:val="24"/>
        </w:rPr>
      </w:pPr>
      <w:bookmarkStart w:id="8" w:name="_Toc171068776"/>
      <w:r w:rsidRPr="00D948C1">
        <w:rPr>
          <w:szCs w:val="24"/>
        </w:rPr>
        <w:lastRenderedPageBreak/>
        <w:t>Independent Auditor’s Report to the Members of Lancashire Combined Fire Authority</w:t>
      </w:r>
      <w:bookmarkEnd w:id="8"/>
    </w:p>
    <w:p w14:paraId="22D6ECF2" w14:textId="77777777" w:rsidR="00634FF1" w:rsidRPr="00D948C1" w:rsidRDefault="00634FF1" w:rsidP="006C0086">
      <w:pPr>
        <w:spacing w:line="276" w:lineRule="auto"/>
      </w:pPr>
    </w:p>
    <w:p w14:paraId="68B17035" w14:textId="77777777" w:rsidR="00856BCC" w:rsidRPr="00856BCC" w:rsidRDefault="00856BCC" w:rsidP="006C0086">
      <w:pPr>
        <w:spacing w:line="276" w:lineRule="auto"/>
        <w:rPr>
          <w:rFonts w:cs="Arial"/>
          <w:b/>
          <w:bCs/>
          <w:szCs w:val="24"/>
        </w:rPr>
      </w:pPr>
      <w:r w:rsidRPr="00856BCC">
        <w:rPr>
          <w:rFonts w:cs="Arial"/>
          <w:b/>
          <w:bCs/>
          <w:szCs w:val="24"/>
        </w:rPr>
        <w:t>Report on the audit of the financial statements</w:t>
      </w:r>
    </w:p>
    <w:p w14:paraId="4E3391B0" w14:textId="77777777" w:rsidR="00856BCC" w:rsidRPr="00856BCC" w:rsidRDefault="00856BCC" w:rsidP="006C0086">
      <w:pPr>
        <w:spacing w:line="276" w:lineRule="auto"/>
        <w:rPr>
          <w:rFonts w:cs="Arial"/>
          <w:b/>
          <w:bCs/>
          <w:szCs w:val="24"/>
        </w:rPr>
      </w:pPr>
    </w:p>
    <w:p w14:paraId="727B7130" w14:textId="77777777" w:rsidR="00856BCC" w:rsidRPr="00856BCC" w:rsidRDefault="00856BCC" w:rsidP="006C0086">
      <w:pPr>
        <w:spacing w:line="276" w:lineRule="auto"/>
        <w:rPr>
          <w:rFonts w:cs="Arial"/>
          <w:b/>
          <w:bCs/>
          <w:szCs w:val="24"/>
        </w:rPr>
      </w:pPr>
      <w:r w:rsidRPr="00856BCC">
        <w:rPr>
          <w:rFonts w:cs="Arial"/>
          <w:b/>
          <w:bCs/>
          <w:szCs w:val="24"/>
        </w:rPr>
        <w:t>Opinion on financial statements</w:t>
      </w:r>
    </w:p>
    <w:p w14:paraId="415416C7" w14:textId="77777777" w:rsidR="00856BCC" w:rsidRDefault="00856BCC" w:rsidP="006C0086">
      <w:pPr>
        <w:spacing w:line="276" w:lineRule="auto"/>
        <w:rPr>
          <w:rFonts w:cs="Arial"/>
          <w:szCs w:val="24"/>
        </w:rPr>
      </w:pPr>
    </w:p>
    <w:p w14:paraId="71B2BBA8" w14:textId="620B9BFA" w:rsidR="00856BCC" w:rsidRDefault="00856BCC" w:rsidP="006C0086">
      <w:pPr>
        <w:spacing w:line="276" w:lineRule="auto"/>
        <w:rPr>
          <w:rFonts w:cs="Arial"/>
          <w:szCs w:val="24"/>
        </w:rPr>
      </w:pPr>
      <w:r w:rsidRPr="00856BCC">
        <w:rPr>
          <w:rFonts w:cs="Arial"/>
          <w:szCs w:val="24"/>
        </w:rPr>
        <w:t>We have audited the financial statements of Lancashire Combined Fire Authority (the ‘Authority’) for the year ended 31 March 2024, which comprise the Comprehensive Income and Expenditure Statement, the Movement in Reserves Statement, the Balance Sheet, the Cash Flow Statement and notes to the financial statements, including a summary of significant accounting policies and include the firefighters' pension fund financial statements comprising the Fund Account, the Net Assets Statement and notes to the financial statements. The notes to the financial statements include notes to the core financial statements and firefighters’ pension fund. The financial reporting framework that has been applied in their preparation is applicable law and the</w:t>
      </w:r>
      <w:r w:rsidR="00B312FC" w:rsidRPr="00B312FC">
        <w:rPr>
          <w:rFonts w:cs="Arial"/>
          <w:szCs w:val="24"/>
        </w:rPr>
        <w:t> 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rFonts w:cs="Arial"/>
          <w:szCs w:val="24"/>
        </w:rPr>
        <w:t xml:space="preserve">, </w:t>
      </w:r>
      <w:r w:rsidRPr="00856BCC">
        <w:rPr>
          <w:rFonts w:cs="Arial"/>
          <w:szCs w:val="24"/>
        </w:rPr>
        <w:t>Code of Practice on Local Authority Accounting in the United Kingdom 2023/24.</w:t>
      </w:r>
    </w:p>
    <w:p w14:paraId="47509276" w14:textId="77777777" w:rsidR="00856BCC" w:rsidRDefault="00856BCC" w:rsidP="006C0086">
      <w:pPr>
        <w:spacing w:line="276" w:lineRule="auto"/>
        <w:rPr>
          <w:rFonts w:cs="Arial"/>
          <w:szCs w:val="24"/>
        </w:rPr>
      </w:pPr>
    </w:p>
    <w:p w14:paraId="7EE3242F" w14:textId="77777777" w:rsidR="00856BCC" w:rsidRDefault="00856BCC" w:rsidP="006C0086">
      <w:pPr>
        <w:spacing w:line="276" w:lineRule="auto"/>
        <w:rPr>
          <w:rFonts w:cs="Arial"/>
          <w:szCs w:val="24"/>
        </w:rPr>
      </w:pPr>
      <w:r>
        <w:rPr>
          <w:rFonts w:cs="Arial"/>
          <w:szCs w:val="24"/>
        </w:rPr>
        <w:t>I</w:t>
      </w:r>
      <w:r w:rsidRPr="00856BCC">
        <w:rPr>
          <w:rFonts w:cs="Arial"/>
          <w:szCs w:val="24"/>
        </w:rPr>
        <w:t>n our opinion, the financial statements:</w:t>
      </w:r>
    </w:p>
    <w:p w14:paraId="03A32A11" w14:textId="52BBFEF4" w:rsidR="00856BCC" w:rsidRPr="00856BCC" w:rsidRDefault="00856BCC" w:rsidP="006C0086">
      <w:pPr>
        <w:pStyle w:val="ListParagraph"/>
        <w:numPr>
          <w:ilvl w:val="0"/>
          <w:numId w:val="44"/>
        </w:numPr>
        <w:spacing w:line="276" w:lineRule="auto"/>
        <w:rPr>
          <w:rFonts w:cs="Arial"/>
          <w:szCs w:val="24"/>
        </w:rPr>
      </w:pPr>
      <w:r w:rsidRPr="00856BCC">
        <w:rPr>
          <w:rFonts w:cs="Arial"/>
          <w:szCs w:val="24"/>
        </w:rPr>
        <w:t xml:space="preserve">give a true and fair view of the financial position of the Authority as </w:t>
      </w:r>
      <w:proofErr w:type="gramStart"/>
      <w:r w:rsidRPr="00856BCC">
        <w:rPr>
          <w:rFonts w:cs="Arial"/>
          <w:szCs w:val="24"/>
        </w:rPr>
        <w:t>at</w:t>
      </w:r>
      <w:proofErr w:type="gramEnd"/>
      <w:r w:rsidRPr="00856BCC">
        <w:rPr>
          <w:rFonts w:cs="Arial"/>
          <w:szCs w:val="24"/>
        </w:rPr>
        <w:t xml:space="preserve"> 31 March 2024 and of its expenditure and income for the year then ended;</w:t>
      </w:r>
    </w:p>
    <w:p w14:paraId="7B07D84C" w14:textId="11461FBE" w:rsidR="00856BCC" w:rsidRPr="00856BCC" w:rsidRDefault="00856BCC" w:rsidP="006C0086">
      <w:pPr>
        <w:pStyle w:val="ListParagraph"/>
        <w:numPr>
          <w:ilvl w:val="0"/>
          <w:numId w:val="44"/>
        </w:numPr>
        <w:spacing w:line="276" w:lineRule="auto"/>
        <w:rPr>
          <w:rFonts w:cs="Arial"/>
          <w:szCs w:val="24"/>
        </w:rPr>
      </w:pPr>
      <w:r w:rsidRPr="00856BCC">
        <w:rPr>
          <w:rFonts w:cs="Arial"/>
          <w:szCs w:val="24"/>
        </w:rPr>
        <w:t xml:space="preserve">have been properly prepared in accordance with the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rFonts w:cs="Arial"/>
          <w:szCs w:val="24"/>
        </w:rPr>
        <w:t xml:space="preserve">, </w:t>
      </w:r>
      <w:r w:rsidRPr="00856BCC">
        <w:rPr>
          <w:rFonts w:cs="Arial"/>
          <w:szCs w:val="24"/>
        </w:rPr>
        <w:t>Code of Practice on Local Authority Accounting in the United Kingdom 2023/24; and</w:t>
      </w:r>
    </w:p>
    <w:p w14:paraId="25D34D47" w14:textId="35CEA1A9" w:rsidR="00856BCC" w:rsidRPr="00856BCC" w:rsidRDefault="00856BCC" w:rsidP="006C0086">
      <w:pPr>
        <w:pStyle w:val="ListParagraph"/>
        <w:numPr>
          <w:ilvl w:val="0"/>
          <w:numId w:val="44"/>
        </w:numPr>
        <w:spacing w:line="276" w:lineRule="auto"/>
        <w:rPr>
          <w:rFonts w:cs="Arial"/>
          <w:szCs w:val="24"/>
        </w:rPr>
      </w:pPr>
      <w:r w:rsidRPr="00856BCC">
        <w:rPr>
          <w:rFonts w:cs="Arial"/>
          <w:szCs w:val="24"/>
        </w:rPr>
        <w:t>have been prepared in accordance with the requirements of the Local Audit and Accountability Act 2014.</w:t>
      </w:r>
    </w:p>
    <w:p w14:paraId="117DFEBF" w14:textId="77777777" w:rsidR="00856BCC" w:rsidRDefault="00856BCC" w:rsidP="006C0086">
      <w:pPr>
        <w:spacing w:line="276" w:lineRule="auto"/>
        <w:rPr>
          <w:rFonts w:cs="Arial"/>
          <w:szCs w:val="24"/>
        </w:rPr>
      </w:pPr>
    </w:p>
    <w:p w14:paraId="21AA0D2E" w14:textId="77777777" w:rsidR="00856BCC" w:rsidRPr="00856BCC" w:rsidRDefault="00856BCC" w:rsidP="006C0086">
      <w:pPr>
        <w:spacing w:line="276" w:lineRule="auto"/>
        <w:rPr>
          <w:rFonts w:cs="Arial"/>
          <w:b/>
          <w:bCs/>
          <w:szCs w:val="24"/>
        </w:rPr>
      </w:pPr>
      <w:r w:rsidRPr="00856BCC">
        <w:rPr>
          <w:rFonts w:cs="Arial"/>
          <w:b/>
          <w:bCs/>
          <w:szCs w:val="24"/>
        </w:rPr>
        <w:t>Basis for opinion</w:t>
      </w:r>
    </w:p>
    <w:p w14:paraId="0C295333" w14:textId="77777777" w:rsidR="00856BCC" w:rsidRDefault="00856BCC" w:rsidP="006C0086">
      <w:pPr>
        <w:spacing w:line="276" w:lineRule="auto"/>
        <w:rPr>
          <w:rFonts w:cs="Arial"/>
          <w:szCs w:val="24"/>
        </w:rPr>
      </w:pPr>
    </w:p>
    <w:p w14:paraId="747BE10A" w14:textId="77777777" w:rsidR="00856BCC" w:rsidRDefault="00856BCC" w:rsidP="006C0086">
      <w:pPr>
        <w:spacing w:line="276" w:lineRule="auto"/>
        <w:rPr>
          <w:rFonts w:cs="Arial"/>
          <w:szCs w:val="24"/>
        </w:rPr>
      </w:pPr>
      <w:r w:rsidRPr="00856BCC">
        <w:rPr>
          <w:rFonts w:cs="Arial"/>
          <w:szCs w:val="24"/>
        </w:rPr>
        <w:t>We conducted our audit in accordance with International Standards on Auditing (UK) (ISAs (UK)) and applicable law, as required by the Code of Audit Practice (2020) (“the Code of Audit Practice”) approved by the Comptroller and Auditor General.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5C337786" w14:textId="77777777" w:rsidR="00856BCC" w:rsidRDefault="00856BCC" w:rsidP="006C0086">
      <w:pPr>
        <w:spacing w:line="276" w:lineRule="auto"/>
        <w:rPr>
          <w:rFonts w:cs="Arial"/>
          <w:szCs w:val="24"/>
        </w:rPr>
      </w:pPr>
    </w:p>
    <w:p w14:paraId="4254ECEF" w14:textId="77777777" w:rsidR="00856BCC" w:rsidRPr="00856BCC" w:rsidRDefault="00856BCC" w:rsidP="006C0086">
      <w:pPr>
        <w:spacing w:line="276" w:lineRule="auto"/>
        <w:rPr>
          <w:rFonts w:cs="Arial"/>
          <w:b/>
          <w:bCs/>
          <w:szCs w:val="24"/>
        </w:rPr>
      </w:pPr>
      <w:r w:rsidRPr="00856BCC">
        <w:rPr>
          <w:rFonts w:cs="Arial"/>
          <w:b/>
          <w:bCs/>
          <w:szCs w:val="24"/>
        </w:rPr>
        <w:t>Conclusions relating to going concern</w:t>
      </w:r>
    </w:p>
    <w:p w14:paraId="0FF399B1" w14:textId="77777777" w:rsidR="00856BCC" w:rsidRDefault="00856BCC" w:rsidP="006C0086">
      <w:pPr>
        <w:spacing w:line="276" w:lineRule="auto"/>
        <w:rPr>
          <w:rFonts w:cs="Arial"/>
          <w:szCs w:val="24"/>
        </w:rPr>
      </w:pPr>
    </w:p>
    <w:p w14:paraId="22A6D6C0" w14:textId="77777777" w:rsidR="00856BCC" w:rsidRDefault="00856BCC" w:rsidP="006C0086">
      <w:pPr>
        <w:spacing w:line="276" w:lineRule="auto"/>
        <w:rPr>
          <w:rFonts w:cs="Arial"/>
          <w:szCs w:val="24"/>
        </w:rPr>
      </w:pPr>
      <w:r w:rsidRPr="00856BCC">
        <w:rPr>
          <w:rFonts w:cs="Arial"/>
          <w:szCs w:val="24"/>
        </w:rPr>
        <w:t xml:space="preserve">We are responsible for concluding on the appropriateness of the Treasurer’s use of the going concern basis of accounting and, based on the audit evidence obtained, whether a material uncertainty exists related to events or conditions that may cast significant doubt on the Authority’s ability to continue as a going concern. If we conclude that a material uncertainty </w:t>
      </w:r>
      <w:r w:rsidRPr="00856BCC">
        <w:rPr>
          <w:rFonts w:cs="Arial"/>
          <w:szCs w:val="24"/>
        </w:rPr>
        <w:lastRenderedPageBreak/>
        <w:t>exists, we are required to draw attention in our report to the related disclosures in the financial statements or, if such disclosures are inadequate, to modify the auditor’s opinion. Our conclusions are based on the audit evidence obtained up to the date of our report. However, future events or conditions may cause the Authority to cease to continue as a going concern.</w:t>
      </w:r>
    </w:p>
    <w:p w14:paraId="3031AE8A" w14:textId="77777777" w:rsidR="00856BCC" w:rsidRDefault="00856BCC" w:rsidP="006C0086">
      <w:pPr>
        <w:spacing w:line="276" w:lineRule="auto"/>
        <w:rPr>
          <w:rFonts w:cs="Arial"/>
          <w:szCs w:val="24"/>
        </w:rPr>
      </w:pPr>
    </w:p>
    <w:p w14:paraId="206C36C7" w14:textId="5AB47001" w:rsidR="00856BCC" w:rsidRDefault="00856BCC" w:rsidP="006C0086">
      <w:pPr>
        <w:spacing w:line="276" w:lineRule="auto"/>
        <w:rPr>
          <w:rFonts w:cs="Arial"/>
          <w:szCs w:val="24"/>
        </w:rPr>
      </w:pPr>
      <w:r w:rsidRPr="00856BCC">
        <w:rPr>
          <w:rFonts w:cs="Arial"/>
          <w:szCs w:val="24"/>
        </w:rPr>
        <w:t xml:space="preserve">In our evaluation of the Treasurer’s conclusions, and in accordance with the expectation set out within the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rFonts w:cs="Arial"/>
          <w:szCs w:val="24"/>
        </w:rPr>
        <w:t>,</w:t>
      </w:r>
      <w:r w:rsidRPr="00856BCC">
        <w:rPr>
          <w:rFonts w:cs="Arial"/>
          <w:szCs w:val="24"/>
        </w:rPr>
        <w:t xml:space="preserve"> Code of Practice on Local Authority Accounting in the United Kingdom 2023/24 that the Authority’s financial statements shall be prepared on a going concern basis, we considered the inherent risks associated with the continuation of services provided by the Authority. In doing so we had regard to the guidance provided in Practice Note 10 Audit of financial statements and regularity of public sector bodies in the United Kingdom (Revised 2022) on the application of ISA (UK) 570 Going Concern to public sector entities. We assessed the reasonableness of the basis of preparation used by the Authority and the Authority’s disclosures over the going concern period.</w:t>
      </w:r>
    </w:p>
    <w:p w14:paraId="6BFE306F" w14:textId="77777777" w:rsidR="00856BCC" w:rsidRDefault="00856BCC" w:rsidP="006C0086">
      <w:pPr>
        <w:spacing w:line="276" w:lineRule="auto"/>
        <w:rPr>
          <w:rFonts w:cs="Arial"/>
          <w:szCs w:val="24"/>
        </w:rPr>
      </w:pPr>
    </w:p>
    <w:p w14:paraId="1DE662F3" w14:textId="77777777" w:rsidR="00856BCC" w:rsidRDefault="00856BCC" w:rsidP="006C0086">
      <w:pPr>
        <w:spacing w:line="276" w:lineRule="auto"/>
        <w:rPr>
          <w:rFonts w:cs="Arial"/>
          <w:szCs w:val="24"/>
        </w:rPr>
      </w:pPr>
      <w:r w:rsidRPr="00856BCC">
        <w:rPr>
          <w:rFonts w:cs="Arial"/>
          <w:szCs w:val="24"/>
        </w:rPr>
        <w:t>In auditing the financial statements, we have concluded that the Treasurer’s use of the going concern basis of accounting in the preparation of the financial statements is appropriate.</w:t>
      </w:r>
    </w:p>
    <w:p w14:paraId="76160711" w14:textId="77777777" w:rsidR="00856BCC" w:rsidRDefault="00856BCC" w:rsidP="006C0086">
      <w:pPr>
        <w:spacing w:line="276" w:lineRule="auto"/>
        <w:rPr>
          <w:rFonts w:cs="Arial"/>
          <w:szCs w:val="24"/>
        </w:rPr>
      </w:pPr>
    </w:p>
    <w:p w14:paraId="5E6BDC5F" w14:textId="77777777" w:rsidR="00856BCC" w:rsidRDefault="00856BCC" w:rsidP="006C0086">
      <w:pPr>
        <w:spacing w:line="276" w:lineRule="auto"/>
        <w:rPr>
          <w:rFonts w:cs="Arial"/>
          <w:szCs w:val="24"/>
        </w:rPr>
      </w:pPr>
      <w:r w:rsidRPr="00856BCC">
        <w:rPr>
          <w:rFonts w:cs="Arial"/>
          <w:szCs w:val="24"/>
        </w:rPr>
        <w:t>Based on the work we have performed, we have not identified any material uncertainties relating to events or conditions that, individually or collectively, may cast significant doubt on the Authority’s ability to continue as a going concern for a period of at least twelve months from when the financial statements are authorised for issue. Grant Thornton UK LLP.</w:t>
      </w:r>
    </w:p>
    <w:p w14:paraId="62EEF5BE" w14:textId="77777777" w:rsidR="00856BCC" w:rsidRDefault="00856BCC" w:rsidP="006C0086">
      <w:pPr>
        <w:spacing w:line="276" w:lineRule="auto"/>
        <w:rPr>
          <w:rFonts w:cs="Arial"/>
          <w:szCs w:val="24"/>
        </w:rPr>
      </w:pPr>
    </w:p>
    <w:p w14:paraId="01DE744D" w14:textId="77777777" w:rsidR="00856BCC" w:rsidRDefault="00856BCC" w:rsidP="006C0086">
      <w:pPr>
        <w:spacing w:line="276" w:lineRule="auto"/>
        <w:rPr>
          <w:rFonts w:cs="Arial"/>
          <w:szCs w:val="24"/>
        </w:rPr>
      </w:pPr>
      <w:r w:rsidRPr="00856BCC">
        <w:rPr>
          <w:rFonts w:cs="Arial"/>
          <w:szCs w:val="24"/>
        </w:rPr>
        <w:t>Our responsibilities and the responsibilities of the Treasurer with respect to going concern are described in the relevant sections of this report.</w:t>
      </w:r>
    </w:p>
    <w:p w14:paraId="4C6C7D43" w14:textId="77777777" w:rsidR="00856BCC" w:rsidRDefault="00856BCC" w:rsidP="006C0086">
      <w:pPr>
        <w:spacing w:line="276" w:lineRule="auto"/>
        <w:rPr>
          <w:rFonts w:cs="Arial"/>
          <w:szCs w:val="24"/>
        </w:rPr>
      </w:pPr>
    </w:p>
    <w:p w14:paraId="4B2EA48F" w14:textId="77777777" w:rsidR="00856BCC" w:rsidRPr="00856BCC" w:rsidRDefault="00856BCC" w:rsidP="006C0086">
      <w:pPr>
        <w:spacing w:line="276" w:lineRule="auto"/>
        <w:rPr>
          <w:rFonts w:cs="Arial"/>
          <w:b/>
          <w:bCs/>
          <w:szCs w:val="24"/>
        </w:rPr>
      </w:pPr>
      <w:r w:rsidRPr="00856BCC">
        <w:rPr>
          <w:rFonts w:cs="Arial"/>
          <w:b/>
          <w:bCs/>
          <w:szCs w:val="24"/>
        </w:rPr>
        <w:t>Other information</w:t>
      </w:r>
    </w:p>
    <w:p w14:paraId="60826A04" w14:textId="77777777" w:rsidR="00856BCC" w:rsidRDefault="00856BCC" w:rsidP="006C0086">
      <w:pPr>
        <w:spacing w:line="276" w:lineRule="auto"/>
        <w:rPr>
          <w:rFonts w:cs="Arial"/>
          <w:szCs w:val="24"/>
        </w:rPr>
      </w:pPr>
    </w:p>
    <w:p w14:paraId="15DBCB95" w14:textId="77777777" w:rsidR="00856BCC" w:rsidRDefault="00856BCC" w:rsidP="006C0086">
      <w:pPr>
        <w:spacing w:line="276" w:lineRule="auto"/>
        <w:rPr>
          <w:rFonts w:cs="Arial"/>
          <w:szCs w:val="24"/>
        </w:rPr>
      </w:pPr>
      <w:r w:rsidRPr="00856BCC">
        <w:rPr>
          <w:rFonts w:cs="Arial"/>
          <w:szCs w:val="24"/>
        </w:rPr>
        <w:t>The other information comprises the information included in the Statement of Accounts, other than the financial statements and our auditor’s report thereon. The Treasurer is responsible for the other information. Our opinion on the financial statements does not cover the other information and, except to the extent otherwise explicitly stated in our report, we do not express any form of assurance conclusion thereon.</w:t>
      </w:r>
    </w:p>
    <w:p w14:paraId="0C36A70C" w14:textId="77777777" w:rsidR="00856BCC" w:rsidRDefault="00856BCC" w:rsidP="006C0086">
      <w:pPr>
        <w:spacing w:line="276" w:lineRule="auto"/>
        <w:rPr>
          <w:rFonts w:cs="Arial"/>
          <w:szCs w:val="24"/>
        </w:rPr>
      </w:pPr>
    </w:p>
    <w:p w14:paraId="5F6F2CE5" w14:textId="77777777" w:rsidR="00856BCC" w:rsidRDefault="00856BCC" w:rsidP="006C0086">
      <w:pPr>
        <w:spacing w:line="276" w:lineRule="auto"/>
        <w:rPr>
          <w:rFonts w:cs="Arial"/>
          <w:szCs w:val="24"/>
        </w:rPr>
      </w:pPr>
      <w:r w:rsidRPr="00856BCC">
        <w:rPr>
          <w:rFonts w:cs="Arial"/>
          <w:szCs w:val="24"/>
        </w:rPr>
        <w:t xml:space="preserve">Our responsibility is to read the other information and, in doing so, consider whether the other information is materially inconsistent with the financial </w:t>
      </w:r>
      <w:proofErr w:type="gramStart"/>
      <w:r w:rsidRPr="00856BCC">
        <w:rPr>
          <w:rFonts w:cs="Arial"/>
          <w:szCs w:val="24"/>
        </w:rPr>
        <w:t>statements</w:t>
      </w:r>
      <w:proofErr w:type="gramEnd"/>
      <w:r w:rsidRPr="00856BCC">
        <w:rPr>
          <w:rFonts w:cs="Arial"/>
          <w:szCs w:val="24"/>
        </w:rPr>
        <w:t xml:space="preserve">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w:t>
      </w:r>
    </w:p>
    <w:p w14:paraId="5271E2E7" w14:textId="77777777" w:rsidR="00856BCC" w:rsidRDefault="00856BCC" w:rsidP="006C0086">
      <w:pPr>
        <w:spacing w:line="276" w:lineRule="auto"/>
        <w:rPr>
          <w:rFonts w:cs="Arial"/>
          <w:szCs w:val="24"/>
        </w:rPr>
      </w:pPr>
    </w:p>
    <w:p w14:paraId="1E909027" w14:textId="471A2E60" w:rsidR="00856BCC" w:rsidRDefault="00856BCC" w:rsidP="006C0086">
      <w:pPr>
        <w:spacing w:line="276" w:lineRule="auto"/>
        <w:rPr>
          <w:rFonts w:cs="Arial"/>
          <w:szCs w:val="24"/>
        </w:rPr>
      </w:pPr>
      <w:r w:rsidRPr="00856BCC">
        <w:rPr>
          <w:rFonts w:cs="Arial"/>
          <w:szCs w:val="24"/>
        </w:rPr>
        <w:t>We have nothing to report in this regard.</w:t>
      </w:r>
    </w:p>
    <w:p w14:paraId="5AC840F3" w14:textId="77777777" w:rsidR="00856BCC" w:rsidRDefault="00856BCC" w:rsidP="006C0086">
      <w:pPr>
        <w:spacing w:line="276" w:lineRule="auto"/>
        <w:rPr>
          <w:rFonts w:cs="Arial"/>
          <w:szCs w:val="24"/>
        </w:rPr>
      </w:pPr>
    </w:p>
    <w:p w14:paraId="3FD221B1" w14:textId="77777777" w:rsidR="00856BCC" w:rsidRPr="00856BCC" w:rsidRDefault="00856BCC" w:rsidP="006C0086">
      <w:pPr>
        <w:spacing w:line="276" w:lineRule="auto"/>
        <w:rPr>
          <w:rFonts w:cs="Arial"/>
          <w:b/>
          <w:bCs/>
          <w:szCs w:val="24"/>
        </w:rPr>
      </w:pPr>
      <w:r w:rsidRPr="00856BCC">
        <w:rPr>
          <w:rFonts w:cs="Arial"/>
          <w:b/>
          <w:bCs/>
          <w:szCs w:val="24"/>
        </w:rPr>
        <w:t>Other information we are required to report on by exception under the Code of Audit Practice</w:t>
      </w:r>
    </w:p>
    <w:p w14:paraId="6C168DE1" w14:textId="77777777" w:rsidR="00856BCC" w:rsidRDefault="00856BCC" w:rsidP="006C0086">
      <w:pPr>
        <w:spacing w:line="276" w:lineRule="auto"/>
        <w:rPr>
          <w:rFonts w:cs="Arial"/>
          <w:szCs w:val="24"/>
        </w:rPr>
      </w:pPr>
    </w:p>
    <w:p w14:paraId="2C95443B" w14:textId="77777777" w:rsidR="00856BCC" w:rsidRDefault="00856BCC" w:rsidP="006C0086">
      <w:pPr>
        <w:spacing w:line="276" w:lineRule="auto"/>
        <w:rPr>
          <w:rFonts w:cs="Arial"/>
          <w:szCs w:val="24"/>
        </w:rPr>
      </w:pPr>
      <w:r w:rsidRPr="00856BCC">
        <w:rPr>
          <w:rFonts w:cs="Arial"/>
          <w:szCs w:val="24"/>
        </w:rPr>
        <w:t>Under the Code of Audit Practice published by the National Audit Office in April 2020 on behalf of the Comptroller and Auditor General (the Code of Audit Practice) we are required to consider whether the Statement on Annual Governance Arrangements does not comply with ‘Delivering Good Governance in Local Government Framework 2016 Edition’ published by CIPFA and SOLACE, or is misleading or inconsistent with the information of which we are aware from our audit. We are not required to consider whether the Statement on Annual Governance Arrangements addresses all risks and controls or that risks are satisfactorily addressed by internal controls.</w:t>
      </w:r>
    </w:p>
    <w:p w14:paraId="1A93C0E1" w14:textId="77777777" w:rsidR="00856BCC" w:rsidRDefault="00856BCC" w:rsidP="006C0086">
      <w:pPr>
        <w:spacing w:line="276" w:lineRule="auto"/>
        <w:rPr>
          <w:rFonts w:cs="Arial"/>
          <w:szCs w:val="24"/>
        </w:rPr>
      </w:pPr>
    </w:p>
    <w:p w14:paraId="65A28D5E" w14:textId="779EA3C1" w:rsidR="00856BCC" w:rsidRDefault="00856BCC" w:rsidP="006C0086">
      <w:pPr>
        <w:spacing w:line="276" w:lineRule="auto"/>
        <w:rPr>
          <w:rFonts w:cs="Arial"/>
          <w:szCs w:val="24"/>
        </w:rPr>
      </w:pPr>
      <w:r w:rsidRPr="00856BCC">
        <w:rPr>
          <w:rFonts w:cs="Arial"/>
          <w:szCs w:val="24"/>
        </w:rPr>
        <w:t>We have nothing to report in this regard.</w:t>
      </w:r>
    </w:p>
    <w:p w14:paraId="1BFD09B1" w14:textId="77777777" w:rsidR="00856BCC" w:rsidRDefault="00856BCC" w:rsidP="006C0086">
      <w:pPr>
        <w:spacing w:line="276" w:lineRule="auto"/>
        <w:rPr>
          <w:rFonts w:cs="Arial"/>
          <w:szCs w:val="24"/>
        </w:rPr>
      </w:pPr>
      <w:r>
        <w:rPr>
          <w:rFonts w:cs="Arial"/>
          <w:szCs w:val="24"/>
        </w:rPr>
        <w:br w:type="page"/>
      </w:r>
    </w:p>
    <w:p w14:paraId="4A262185" w14:textId="77777777" w:rsidR="00856BCC" w:rsidRDefault="00856BCC" w:rsidP="006C0086">
      <w:pPr>
        <w:spacing w:line="276" w:lineRule="auto"/>
        <w:rPr>
          <w:rFonts w:cs="Arial"/>
          <w:b/>
          <w:bCs/>
          <w:szCs w:val="24"/>
        </w:rPr>
      </w:pPr>
      <w:r w:rsidRPr="00856BCC">
        <w:rPr>
          <w:rFonts w:cs="Arial"/>
          <w:b/>
          <w:bCs/>
          <w:szCs w:val="24"/>
        </w:rPr>
        <w:lastRenderedPageBreak/>
        <w:t>Opinion on other matters required by the Code of Audit Practice</w:t>
      </w:r>
    </w:p>
    <w:p w14:paraId="264052D6" w14:textId="77777777" w:rsidR="00856BCC" w:rsidRPr="00856BCC" w:rsidRDefault="00856BCC" w:rsidP="006C0086">
      <w:pPr>
        <w:spacing w:line="276" w:lineRule="auto"/>
        <w:rPr>
          <w:rFonts w:cs="Arial"/>
          <w:b/>
          <w:bCs/>
          <w:szCs w:val="24"/>
        </w:rPr>
      </w:pPr>
    </w:p>
    <w:p w14:paraId="53FFD93D" w14:textId="77777777" w:rsidR="00856BCC" w:rsidRDefault="00856BCC" w:rsidP="006C0086">
      <w:pPr>
        <w:spacing w:line="276" w:lineRule="auto"/>
        <w:rPr>
          <w:rFonts w:cs="Arial"/>
          <w:szCs w:val="24"/>
        </w:rPr>
      </w:pPr>
      <w:r w:rsidRPr="00856BCC">
        <w:rPr>
          <w:rFonts w:cs="Arial"/>
          <w:szCs w:val="24"/>
        </w:rPr>
        <w:t xml:space="preserve">In our opinion, based on the work undertaken </w:t>
      </w:r>
      <w:proofErr w:type="gramStart"/>
      <w:r w:rsidRPr="00856BCC">
        <w:rPr>
          <w:rFonts w:cs="Arial"/>
          <w:szCs w:val="24"/>
        </w:rPr>
        <w:t>in the course of</w:t>
      </w:r>
      <w:proofErr w:type="gramEnd"/>
      <w:r w:rsidRPr="00856BCC">
        <w:rPr>
          <w:rFonts w:cs="Arial"/>
          <w:szCs w:val="24"/>
        </w:rPr>
        <w:t xml:space="preserve"> the audit of the financial statements, the other information published together with the financial statements in the Statement of Accounts for the financial year for which the financial statements are prepared is consistent with the financial statements.</w:t>
      </w:r>
    </w:p>
    <w:p w14:paraId="7328006E" w14:textId="77777777" w:rsidR="00856BCC" w:rsidRDefault="00856BCC" w:rsidP="006C0086">
      <w:pPr>
        <w:spacing w:line="276" w:lineRule="auto"/>
        <w:rPr>
          <w:rFonts w:cs="Arial"/>
          <w:szCs w:val="24"/>
        </w:rPr>
      </w:pPr>
    </w:p>
    <w:p w14:paraId="5ADA87DB" w14:textId="77777777" w:rsidR="00856BCC" w:rsidRPr="00856BCC" w:rsidRDefault="00856BCC" w:rsidP="006C0086">
      <w:pPr>
        <w:spacing w:line="276" w:lineRule="auto"/>
        <w:rPr>
          <w:rFonts w:cs="Arial"/>
          <w:b/>
          <w:bCs/>
          <w:szCs w:val="24"/>
        </w:rPr>
      </w:pPr>
      <w:r w:rsidRPr="00856BCC">
        <w:rPr>
          <w:rFonts w:cs="Arial"/>
          <w:b/>
          <w:bCs/>
          <w:szCs w:val="24"/>
        </w:rPr>
        <w:t>Matters on which we are required to report by exception</w:t>
      </w:r>
    </w:p>
    <w:p w14:paraId="26B8D434" w14:textId="77777777" w:rsidR="00856BCC" w:rsidRDefault="00856BCC" w:rsidP="006C0086">
      <w:pPr>
        <w:spacing w:line="276" w:lineRule="auto"/>
        <w:rPr>
          <w:rFonts w:cs="Arial"/>
          <w:szCs w:val="24"/>
        </w:rPr>
      </w:pPr>
    </w:p>
    <w:p w14:paraId="21C3B3E3" w14:textId="77777777" w:rsidR="00856BCC" w:rsidRDefault="00856BCC" w:rsidP="006C0086">
      <w:pPr>
        <w:spacing w:line="276" w:lineRule="auto"/>
        <w:rPr>
          <w:rFonts w:cs="Arial"/>
          <w:szCs w:val="24"/>
        </w:rPr>
      </w:pPr>
      <w:r w:rsidRPr="00856BCC">
        <w:rPr>
          <w:rFonts w:cs="Arial"/>
          <w:szCs w:val="24"/>
        </w:rPr>
        <w:t>Under the Code of Audit Practice, we are required to report to you if:</w:t>
      </w:r>
    </w:p>
    <w:p w14:paraId="6D0F4214" w14:textId="5FB41825" w:rsidR="00856BCC" w:rsidRPr="00856BCC" w:rsidRDefault="00856BCC" w:rsidP="006C0086">
      <w:pPr>
        <w:pStyle w:val="ListParagraph"/>
        <w:numPr>
          <w:ilvl w:val="0"/>
          <w:numId w:val="43"/>
        </w:numPr>
        <w:spacing w:line="276" w:lineRule="auto"/>
        <w:rPr>
          <w:rFonts w:cs="Arial"/>
          <w:szCs w:val="24"/>
        </w:rPr>
      </w:pPr>
      <w:r w:rsidRPr="00856BCC">
        <w:rPr>
          <w:rFonts w:cs="Arial"/>
          <w:szCs w:val="24"/>
        </w:rPr>
        <w:t xml:space="preserve">we issue a report in the public interest under section 24 of the Local Audit and Accountability Act 2014 </w:t>
      </w:r>
      <w:proofErr w:type="gramStart"/>
      <w:r w:rsidRPr="00856BCC">
        <w:rPr>
          <w:rFonts w:cs="Arial"/>
          <w:szCs w:val="24"/>
        </w:rPr>
        <w:t>in the course of</w:t>
      </w:r>
      <w:proofErr w:type="gramEnd"/>
      <w:r w:rsidRPr="00856BCC">
        <w:rPr>
          <w:rFonts w:cs="Arial"/>
          <w:szCs w:val="24"/>
        </w:rPr>
        <w:t>, or at the conclusion of the audit; or</w:t>
      </w:r>
    </w:p>
    <w:p w14:paraId="641961B9" w14:textId="25AD2A38" w:rsidR="00856BCC" w:rsidRPr="00856BCC" w:rsidRDefault="00856BCC" w:rsidP="006C0086">
      <w:pPr>
        <w:pStyle w:val="ListParagraph"/>
        <w:numPr>
          <w:ilvl w:val="0"/>
          <w:numId w:val="43"/>
        </w:numPr>
        <w:spacing w:line="276" w:lineRule="auto"/>
        <w:rPr>
          <w:rFonts w:cs="Arial"/>
          <w:szCs w:val="24"/>
        </w:rPr>
      </w:pPr>
      <w:r w:rsidRPr="00856BCC">
        <w:rPr>
          <w:rFonts w:cs="Arial"/>
          <w:szCs w:val="24"/>
        </w:rPr>
        <w:t xml:space="preserve">we make a written recommendation to the Authority under section 24 of the Local Audit and Accountability Act 2014 </w:t>
      </w:r>
      <w:proofErr w:type="gramStart"/>
      <w:r w:rsidRPr="00856BCC">
        <w:rPr>
          <w:rFonts w:cs="Arial"/>
          <w:szCs w:val="24"/>
        </w:rPr>
        <w:t>in the course of</w:t>
      </w:r>
      <w:proofErr w:type="gramEnd"/>
      <w:r w:rsidRPr="00856BCC">
        <w:rPr>
          <w:rFonts w:cs="Arial"/>
          <w:szCs w:val="24"/>
        </w:rPr>
        <w:t>, or at the conclusion of the audit; or</w:t>
      </w:r>
    </w:p>
    <w:p w14:paraId="5FE3036D" w14:textId="6954995A" w:rsidR="00856BCC" w:rsidRPr="00856BCC" w:rsidRDefault="00856BCC" w:rsidP="006C0086">
      <w:pPr>
        <w:pStyle w:val="ListParagraph"/>
        <w:numPr>
          <w:ilvl w:val="0"/>
          <w:numId w:val="43"/>
        </w:numPr>
        <w:spacing w:line="276" w:lineRule="auto"/>
        <w:rPr>
          <w:rFonts w:cs="Arial"/>
          <w:szCs w:val="24"/>
        </w:rPr>
      </w:pPr>
      <w:r w:rsidRPr="00856BCC">
        <w:rPr>
          <w:rFonts w:cs="Arial"/>
          <w:szCs w:val="24"/>
        </w:rPr>
        <w:t xml:space="preserve">we make an application to the court for a declaration that an item of account is contrary to law under Section 28 of the Local Audit and Accountability Act 2014 in the course of, or at the conclusion of the audit; </w:t>
      </w:r>
      <w:proofErr w:type="gramStart"/>
      <w:r w:rsidRPr="00856BCC">
        <w:rPr>
          <w:rFonts w:cs="Arial"/>
          <w:szCs w:val="24"/>
        </w:rPr>
        <w:t>or;</w:t>
      </w:r>
      <w:proofErr w:type="gramEnd"/>
    </w:p>
    <w:p w14:paraId="0CAEEB65" w14:textId="6C1A8575" w:rsidR="00856BCC" w:rsidRPr="00856BCC" w:rsidRDefault="00856BCC" w:rsidP="006C0086">
      <w:pPr>
        <w:pStyle w:val="ListParagraph"/>
        <w:numPr>
          <w:ilvl w:val="0"/>
          <w:numId w:val="43"/>
        </w:numPr>
        <w:spacing w:line="276" w:lineRule="auto"/>
        <w:rPr>
          <w:rFonts w:cs="Arial"/>
          <w:szCs w:val="24"/>
        </w:rPr>
      </w:pPr>
      <w:r w:rsidRPr="00856BCC">
        <w:rPr>
          <w:rFonts w:cs="Arial"/>
          <w:szCs w:val="24"/>
        </w:rPr>
        <w:t xml:space="preserve">we issue an advisory notice under Section 29 of the Local Audit and Accountability Act 2014 </w:t>
      </w:r>
      <w:proofErr w:type="gramStart"/>
      <w:r w:rsidRPr="00856BCC">
        <w:rPr>
          <w:rFonts w:cs="Arial"/>
          <w:szCs w:val="24"/>
        </w:rPr>
        <w:t>in the course of</w:t>
      </w:r>
      <w:proofErr w:type="gramEnd"/>
      <w:r w:rsidRPr="00856BCC">
        <w:rPr>
          <w:rFonts w:cs="Arial"/>
          <w:szCs w:val="24"/>
        </w:rPr>
        <w:t>, or at the conclusion of the audit; or</w:t>
      </w:r>
    </w:p>
    <w:p w14:paraId="2023D07A" w14:textId="45B69926" w:rsidR="00856BCC" w:rsidRPr="00856BCC" w:rsidRDefault="00856BCC" w:rsidP="006C0086">
      <w:pPr>
        <w:pStyle w:val="ListParagraph"/>
        <w:numPr>
          <w:ilvl w:val="0"/>
          <w:numId w:val="43"/>
        </w:numPr>
        <w:spacing w:line="276" w:lineRule="auto"/>
        <w:rPr>
          <w:rFonts w:cs="Arial"/>
          <w:szCs w:val="24"/>
        </w:rPr>
      </w:pPr>
      <w:r w:rsidRPr="00856BCC">
        <w:rPr>
          <w:rFonts w:cs="Arial"/>
          <w:szCs w:val="24"/>
        </w:rPr>
        <w:t xml:space="preserve">we make an application for judicial review under Section 31 of the Local Audit and Accountability Act 2014, </w:t>
      </w:r>
      <w:proofErr w:type="gramStart"/>
      <w:r w:rsidRPr="00856BCC">
        <w:rPr>
          <w:rFonts w:cs="Arial"/>
          <w:szCs w:val="24"/>
        </w:rPr>
        <w:t>in the course of</w:t>
      </w:r>
      <w:proofErr w:type="gramEnd"/>
      <w:r w:rsidRPr="00856BCC">
        <w:rPr>
          <w:rFonts w:cs="Arial"/>
          <w:szCs w:val="24"/>
        </w:rPr>
        <w:t>, or at the conclusion of the audit.</w:t>
      </w:r>
    </w:p>
    <w:p w14:paraId="70116398" w14:textId="77777777" w:rsidR="00856BCC" w:rsidRDefault="00856BCC" w:rsidP="006C0086">
      <w:pPr>
        <w:spacing w:line="276" w:lineRule="auto"/>
        <w:rPr>
          <w:rFonts w:cs="Arial"/>
          <w:szCs w:val="24"/>
        </w:rPr>
      </w:pPr>
    </w:p>
    <w:p w14:paraId="44578E82" w14:textId="1901AB32" w:rsidR="00856BCC" w:rsidRDefault="00856BCC" w:rsidP="006C0086">
      <w:pPr>
        <w:spacing w:line="276" w:lineRule="auto"/>
        <w:rPr>
          <w:rFonts w:cs="Arial"/>
          <w:szCs w:val="24"/>
        </w:rPr>
      </w:pPr>
      <w:r w:rsidRPr="00856BCC">
        <w:rPr>
          <w:rFonts w:cs="Arial"/>
          <w:szCs w:val="24"/>
        </w:rPr>
        <w:t>We have nothing to report in respect of the above matters.</w:t>
      </w:r>
    </w:p>
    <w:p w14:paraId="02DB0783" w14:textId="77777777" w:rsidR="00856BCC" w:rsidRDefault="00856BCC" w:rsidP="006C0086">
      <w:pPr>
        <w:spacing w:line="276" w:lineRule="auto"/>
        <w:rPr>
          <w:rFonts w:cs="Arial"/>
          <w:szCs w:val="24"/>
        </w:rPr>
      </w:pPr>
    </w:p>
    <w:p w14:paraId="5BFC77CA" w14:textId="77777777" w:rsidR="00856BCC" w:rsidRPr="00856BCC" w:rsidRDefault="00856BCC" w:rsidP="006C0086">
      <w:pPr>
        <w:spacing w:line="276" w:lineRule="auto"/>
        <w:rPr>
          <w:rFonts w:cs="Arial"/>
          <w:b/>
          <w:bCs/>
          <w:szCs w:val="24"/>
        </w:rPr>
      </w:pPr>
      <w:r w:rsidRPr="00856BCC">
        <w:rPr>
          <w:rFonts w:cs="Arial"/>
          <w:b/>
          <w:bCs/>
          <w:szCs w:val="24"/>
        </w:rPr>
        <w:t>Responsibilities of the Authority and the Treasurer</w:t>
      </w:r>
    </w:p>
    <w:p w14:paraId="496AABFA" w14:textId="77777777" w:rsidR="00856BCC" w:rsidRDefault="00856BCC" w:rsidP="006C0086">
      <w:pPr>
        <w:spacing w:line="276" w:lineRule="auto"/>
        <w:rPr>
          <w:rFonts w:cs="Arial"/>
          <w:szCs w:val="24"/>
        </w:rPr>
      </w:pPr>
    </w:p>
    <w:p w14:paraId="6F16AC42" w14:textId="65A1C95B" w:rsidR="00856BCC" w:rsidRDefault="00856BCC" w:rsidP="006C0086">
      <w:pPr>
        <w:spacing w:line="276" w:lineRule="auto"/>
        <w:rPr>
          <w:rFonts w:cs="Arial"/>
          <w:szCs w:val="24"/>
        </w:rPr>
      </w:pPr>
      <w:r w:rsidRPr="00856BCC">
        <w:rPr>
          <w:rFonts w:cs="Arial"/>
          <w:szCs w:val="24"/>
        </w:rPr>
        <w:t xml:space="preserve">As explained more fully in the Statement of Responsibilities, the Authority is required to </w:t>
      </w:r>
      <w:proofErr w:type="gramStart"/>
      <w:r w:rsidRPr="00856BCC">
        <w:rPr>
          <w:rFonts w:cs="Arial"/>
          <w:szCs w:val="24"/>
        </w:rPr>
        <w:t>make arrangements</w:t>
      </w:r>
      <w:proofErr w:type="gramEnd"/>
      <w:r w:rsidRPr="00856BCC">
        <w:rPr>
          <w:rFonts w:cs="Arial"/>
          <w:szCs w:val="24"/>
        </w:rPr>
        <w:t xml:space="preserve"> for the proper administration of its financial affairs and to secure that one of its officers has the responsibility for the administration of those affairs. In this authority, that officer is the Treasurer. The Treasurer is responsible for the preparation of the Statement of Accounts, which includes the financial statements, in accordance with proper practices as set out in the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sidRPr="00856BCC">
        <w:rPr>
          <w:rFonts w:cs="Arial"/>
          <w:szCs w:val="24"/>
        </w:rPr>
        <w:t xml:space="preserve"> </w:t>
      </w:r>
      <w:r w:rsidR="00B312FC">
        <w:rPr>
          <w:rFonts w:cs="Arial"/>
          <w:szCs w:val="24"/>
        </w:rPr>
        <w:t xml:space="preserve">, </w:t>
      </w:r>
      <w:r w:rsidRPr="00856BCC">
        <w:rPr>
          <w:rFonts w:cs="Arial"/>
          <w:szCs w:val="24"/>
        </w:rPr>
        <w:t>Code of Practice on Local Authority Accounting in the United Kingdom 2023/24, for being satisfied that they give a true and fair view, and for such internal control as the Treasurer determines is necessary to enable the preparation of financial statements that are free from material misstatement, whether due to fraud or error.</w:t>
      </w:r>
    </w:p>
    <w:p w14:paraId="70ADDCA6" w14:textId="77777777" w:rsidR="00856BCC" w:rsidRDefault="00856BCC" w:rsidP="006C0086">
      <w:pPr>
        <w:spacing w:line="276" w:lineRule="auto"/>
        <w:rPr>
          <w:rFonts w:cs="Arial"/>
          <w:szCs w:val="24"/>
        </w:rPr>
      </w:pPr>
    </w:p>
    <w:p w14:paraId="0A8CDCF7" w14:textId="48237CC8" w:rsidR="00856BCC" w:rsidRDefault="00856BCC" w:rsidP="006C0086">
      <w:pPr>
        <w:spacing w:line="276" w:lineRule="auto"/>
        <w:rPr>
          <w:rFonts w:cs="Arial"/>
          <w:szCs w:val="24"/>
        </w:rPr>
      </w:pPr>
      <w:r w:rsidRPr="00856BCC">
        <w:rPr>
          <w:rFonts w:cs="Arial"/>
          <w:szCs w:val="24"/>
        </w:rPr>
        <w:t>In preparing the financial statements, the Treasurer is responsible for assessing the Authority’s ability to continue as a going concern, disclosing, as applicable, matters related to going concern and using the going concern basis of accounting unless they have been informed by the relevant national body of the intention to dissolve the Authority without the transfer of its services to another public sector entity.</w:t>
      </w:r>
    </w:p>
    <w:p w14:paraId="42AE0BAB" w14:textId="77777777" w:rsidR="00856BCC" w:rsidRDefault="00856BCC" w:rsidP="006C0086">
      <w:pPr>
        <w:spacing w:line="276" w:lineRule="auto"/>
        <w:rPr>
          <w:rFonts w:cs="Arial"/>
          <w:szCs w:val="24"/>
        </w:rPr>
      </w:pPr>
    </w:p>
    <w:p w14:paraId="7F148C70" w14:textId="77777777" w:rsidR="00856BCC" w:rsidRPr="00856BCC" w:rsidRDefault="00856BCC" w:rsidP="006C0086">
      <w:pPr>
        <w:spacing w:line="276" w:lineRule="auto"/>
        <w:rPr>
          <w:rFonts w:cs="Arial"/>
          <w:b/>
          <w:bCs/>
          <w:szCs w:val="24"/>
        </w:rPr>
      </w:pPr>
      <w:r w:rsidRPr="00856BCC">
        <w:rPr>
          <w:rFonts w:cs="Arial"/>
          <w:b/>
          <w:bCs/>
          <w:szCs w:val="24"/>
        </w:rPr>
        <w:t>Auditor’s responsibilities for the audit of the financial statements</w:t>
      </w:r>
    </w:p>
    <w:p w14:paraId="489E8005" w14:textId="77777777" w:rsidR="00856BCC" w:rsidRDefault="00856BCC" w:rsidP="006C0086">
      <w:pPr>
        <w:spacing w:line="276" w:lineRule="auto"/>
        <w:rPr>
          <w:rFonts w:cs="Arial"/>
          <w:szCs w:val="24"/>
        </w:rPr>
      </w:pPr>
    </w:p>
    <w:p w14:paraId="7F2917E5" w14:textId="77777777" w:rsidR="00856BCC" w:rsidRDefault="00856BCC" w:rsidP="006C0086">
      <w:pPr>
        <w:spacing w:line="276" w:lineRule="auto"/>
        <w:rPr>
          <w:rFonts w:cs="Arial"/>
          <w:szCs w:val="24"/>
        </w:rPr>
      </w:pPr>
      <w:r w:rsidRPr="00856BCC">
        <w:rPr>
          <w:rFonts w:cs="Arial"/>
          <w:szCs w:val="24"/>
        </w:rPr>
        <w:lastRenderedPageBreak/>
        <w:t xml:space="preserve">Our objectives are to obtain reasonable assurance about whether the financial statements </w:t>
      </w:r>
      <w:proofErr w:type="gramStart"/>
      <w:r w:rsidRPr="00856BCC">
        <w:rPr>
          <w:rFonts w:cs="Arial"/>
          <w:szCs w:val="24"/>
        </w:rPr>
        <w:t>as a whole are</w:t>
      </w:r>
      <w:proofErr w:type="gramEnd"/>
      <w:r w:rsidRPr="00856BCC">
        <w:rPr>
          <w:rFonts w:cs="Arial"/>
          <w:szCs w:val="24"/>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w:t>
      </w:r>
    </w:p>
    <w:p w14:paraId="56F2577A" w14:textId="77777777" w:rsidR="00856BCC" w:rsidRDefault="00856BCC" w:rsidP="006C0086">
      <w:pPr>
        <w:spacing w:line="276" w:lineRule="auto"/>
        <w:rPr>
          <w:rFonts w:cs="Arial"/>
          <w:szCs w:val="24"/>
        </w:rPr>
      </w:pPr>
    </w:p>
    <w:p w14:paraId="004AAE6E" w14:textId="77777777" w:rsidR="00856BCC" w:rsidRDefault="00856BCC" w:rsidP="006C0086">
      <w:pPr>
        <w:spacing w:line="276" w:lineRule="auto"/>
        <w:rPr>
          <w:rFonts w:cs="Arial"/>
          <w:szCs w:val="24"/>
        </w:rPr>
      </w:pPr>
      <w:r w:rsidRPr="00856BCC">
        <w:rPr>
          <w:rFonts w:cs="Arial"/>
          <w:szCs w:val="24"/>
        </w:rPr>
        <w:t xml:space="preserve">Misstatements can arise from fraud or error and are considered material if, individually or in the aggregate, they could reasonably be expected to influence the economic decisions of users taken </w:t>
      </w:r>
      <w:proofErr w:type="gramStart"/>
      <w:r w:rsidRPr="00856BCC">
        <w:rPr>
          <w:rFonts w:cs="Arial"/>
          <w:szCs w:val="24"/>
        </w:rPr>
        <w:t>on the basis of</w:t>
      </w:r>
      <w:proofErr w:type="gramEnd"/>
      <w:r w:rsidRPr="00856BCC">
        <w:rPr>
          <w:rFonts w:cs="Arial"/>
          <w:szCs w:val="24"/>
        </w:rPr>
        <w:t xml:space="preserve"> these financial statements. Irregularities, including fraud, are instances of non-compliance with laws and regulations. The extent to which our procedures </w:t>
      </w:r>
      <w:proofErr w:type="gramStart"/>
      <w:r w:rsidRPr="00856BCC">
        <w:rPr>
          <w:rFonts w:cs="Arial"/>
          <w:szCs w:val="24"/>
        </w:rPr>
        <w:t>are capable of detecting</w:t>
      </w:r>
      <w:proofErr w:type="gramEnd"/>
      <w:r w:rsidRPr="00856BCC">
        <w:rPr>
          <w:rFonts w:cs="Arial"/>
          <w:szCs w:val="24"/>
        </w:rPr>
        <w:t xml:space="preserve"> irregularities, including fraud, is detailed below.</w:t>
      </w:r>
    </w:p>
    <w:p w14:paraId="799C21EB" w14:textId="77777777" w:rsidR="00856BCC" w:rsidRDefault="00856BCC" w:rsidP="006C0086">
      <w:pPr>
        <w:spacing w:line="276" w:lineRule="auto"/>
        <w:rPr>
          <w:rFonts w:cs="Arial"/>
          <w:szCs w:val="24"/>
        </w:rPr>
      </w:pPr>
    </w:p>
    <w:p w14:paraId="0FDC2E92" w14:textId="43FE276D" w:rsidR="00856BCC" w:rsidRDefault="00856BCC" w:rsidP="006C0086">
      <w:pPr>
        <w:spacing w:line="276" w:lineRule="auto"/>
        <w:rPr>
          <w:rFonts w:cs="Arial"/>
          <w:szCs w:val="24"/>
        </w:rPr>
      </w:pPr>
      <w:r w:rsidRPr="00856BCC">
        <w:rPr>
          <w:rFonts w:cs="Arial"/>
          <w:szCs w:val="24"/>
        </w:rPr>
        <w:t xml:space="preserve">We obtained an understanding of the legal and regulatory frameworks that are applicable to the Authority and determined that the most significant which are directly relevant to specific assertions in the financial statements are those related to the reporting frameworks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rFonts w:cs="Arial"/>
          <w:szCs w:val="24"/>
        </w:rPr>
        <w:t>,</w:t>
      </w:r>
      <w:r w:rsidRPr="00856BCC">
        <w:rPr>
          <w:rFonts w:cs="Arial"/>
          <w:szCs w:val="24"/>
        </w:rPr>
        <w:t xml:space="preserve"> Code of Practice on Local Authority Accounting in the United Kingdom 2023/24, the Local Audit and Accountability Act 2014, the Accounts and Audit Regulations 2015, the Local Government Act 2003 and the Fire and Rescue Services Act 2004, the Public Service Pensions Act 2013, the Firefighters’ Pension Scheme (England) Regulations 2014 and the Firefighters’ Pension Scheme (England) Order 2006).</w:t>
      </w:r>
    </w:p>
    <w:p w14:paraId="6E6445C4" w14:textId="77777777" w:rsidR="00856BCC" w:rsidRDefault="00856BCC" w:rsidP="006C0086">
      <w:pPr>
        <w:spacing w:line="276" w:lineRule="auto"/>
        <w:rPr>
          <w:rFonts w:cs="Arial"/>
          <w:szCs w:val="24"/>
        </w:rPr>
      </w:pPr>
    </w:p>
    <w:p w14:paraId="799D5ADF" w14:textId="77777777" w:rsidR="00623AFA" w:rsidRDefault="00623AFA" w:rsidP="006C0086">
      <w:pPr>
        <w:spacing w:line="276" w:lineRule="auto"/>
        <w:rPr>
          <w:rFonts w:cs="Arial"/>
          <w:szCs w:val="24"/>
        </w:rPr>
      </w:pPr>
      <w:r w:rsidRPr="00623AFA">
        <w:rPr>
          <w:rFonts w:cs="Arial"/>
          <w:szCs w:val="24"/>
        </w:rPr>
        <w:t>We enquired of management and the Audit Committee, concerning the Authority’s policies and procedures relating to:</w:t>
      </w:r>
    </w:p>
    <w:p w14:paraId="3DC02BD8" w14:textId="77777777" w:rsidR="00623AFA" w:rsidRDefault="00623AFA" w:rsidP="006C0086">
      <w:pPr>
        <w:pStyle w:val="ListParagraph"/>
        <w:numPr>
          <w:ilvl w:val="0"/>
          <w:numId w:val="45"/>
        </w:numPr>
        <w:spacing w:line="276" w:lineRule="auto"/>
        <w:rPr>
          <w:rFonts w:cs="Arial"/>
          <w:szCs w:val="24"/>
        </w:rPr>
      </w:pPr>
      <w:r w:rsidRPr="00623AFA">
        <w:rPr>
          <w:rFonts w:cs="Arial"/>
          <w:szCs w:val="24"/>
        </w:rPr>
        <w:t xml:space="preserve">the identification, evaluation and compliance with laws and </w:t>
      </w:r>
      <w:proofErr w:type="gramStart"/>
      <w:r w:rsidRPr="00623AFA">
        <w:rPr>
          <w:rFonts w:cs="Arial"/>
          <w:szCs w:val="24"/>
        </w:rPr>
        <w:t>regulations;</w:t>
      </w:r>
      <w:proofErr w:type="gramEnd"/>
    </w:p>
    <w:p w14:paraId="16EE0ED2" w14:textId="77777777" w:rsidR="00623AFA" w:rsidRDefault="00623AFA" w:rsidP="006C0086">
      <w:pPr>
        <w:pStyle w:val="ListParagraph"/>
        <w:numPr>
          <w:ilvl w:val="0"/>
          <w:numId w:val="45"/>
        </w:numPr>
        <w:spacing w:line="276" w:lineRule="auto"/>
        <w:rPr>
          <w:rFonts w:cs="Arial"/>
          <w:szCs w:val="24"/>
        </w:rPr>
      </w:pPr>
      <w:r w:rsidRPr="00623AFA">
        <w:rPr>
          <w:rFonts w:cs="Arial"/>
          <w:szCs w:val="24"/>
        </w:rPr>
        <w:t>the detection and response to the risks of fraud; and</w:t>
      </w:r>
    </w:p>
    <w:p w14:paraId="7CBBB617" w14:textId="77777777" w:rsidR="00623AFA" w:rsidRDefault="00623AFA" w:rsidP="006C0086">
      <w:pPr>
        <w:pStyle w:val="ListParagraph"/>
        <w:numPr>
          <w:ilvl w:val="0"/>
          <w:numId w:val="45"/>
        </w:numPr>
        <w:spacing w:line="276" w:lineRule="auto"/>
        <w:rPr>
          <w:rFonts w:cs="Arial"/>
          <w:szCs w:val="24"/>
        </w:rPr>
      </w:pPr>
      <w:r w:rsidRPr="00623AFA">
        <w:rPr>
          <w:rFonts w:cs="Arial"/>
          <w:szCs w:val="24"/>
        </w:rPr>
        <w:t>the establishment of internal controls to mitigate risks related to fraud or non-compliance with laws and regulations.</w:t>
      </w:r>
    </w:p>
    <w:p w14:paraId="69CBA5D4" w14:textId="77777777" w:rsidR="00623AFA" w:rsidRDefault="00623AFA" w:rsidP="006C0086">
      <w:pPr>
        <w:spacing w:line="276" w:lineRule="auto"/>
        <w:rPr>
          <w:rFonts w:cs="Arial"/>
          <w:szCs w:val="24"/>
        </w:rPr>
      </w:pPr>
    </w:p>
    <w:p w14:paraId="7D505382" w14:textId="77777777" w:rsidR="00623AFA" w:rsidRDefault="00623AFA" w:rsidP="006C0086">
      <w:pPr>
        <w:spacing w:line="276" w:lineRule="auto"/>
        <w:rPr>
          <w:rFonts w:cs="Arial"/>
          <w:szCs w:val="24"/>
        </w:rPr>
      </w:pPr>
      <w:r w:rsidRPr="00623AFA">
        <w:rPr>
          <w:rFonts w:cs="Arial"/>
          <w:szCs w:val="24"/>
        </w:rPr>
        <w:t>We enquired of management, internal audit and the audit committee, whether they were aware of any instances of non</w:t>
      </w:r>
      <w:r>
        <w:rPr>
          <w:rFonts w:cs="Arial"/>
          <w:szCs w:val="24"/>
        </w:rPr>
        <w:t>-</w:t>
      </w:r>
      <w:r w:rsidRPr="00623AFA">
        <w:rPr>
          <w:rFonts w:cs="Arial"/>
          <w:szCs w:val="24"/>
        </w:rPr>
        <w:t>compliance with laws and regulations or whether they had any knowledge of actual, suspected or alleged fraud</w:t>
      </w:r>
      <w:r>
        <w:rPr>
          <w:rFonts w:cs="Arial"/>
          <w:szCs w:val="24"/>
        </w:rPr>
        <w:t>.</w:t>
      </w:r>
    </w:p>
    <w:p w14:paraId="65115877" w14:textId="77777777" w:rsidR="00623AFA" w:rsidRDefault="00623AFA" w:rsidP="006C0086">
      <w:pPr>
        <w:spacing w:line="276" w:lineRule="auto"/>
        <w:rPr>
          <w:rFonts w:cs="Arial"/>
          <w:szCs w:val="24"/>
        </w:rPr>
      </w:pPr>
    </w:p>
    <w:p w14:paraId="08F04DED" w14:textId="77777777" w:rsidR="00623AFA" w:rsidRDefault="00623AFA" w:rsidP="006C0086">
      <w:pPr>
        <w:spacing w:line="276" w:lineRule="auto"/>
        <w:rPr>
          <w:rFonts w:cs="Arial"/>
          <w:szCs w:val="24"/>
        </w:rPr>
      </w:pPr>
      <w:r w:rsidRPr="00623AFA">
        <w:rPr>
          <w:rFonts w:cs="Arial"/>
          <w:szCs w:val="24"/>
        </w:rPr>
        <w:t>We assessed the susceptibility of the Authority’s financial statements to material misstatement, including how fraud might occur, by evaluating management’s incentives and opportunities for manipulation of the financial statements. This included the evaluation of the risk of potential management bias in determining accounting estimates for the valuation of land and buildings and the pension liability/asset, and management override of controls. We determined that the principal risks were in relation to processing of inappropriate journals.</w:t>
      </w:r>
    </w:p>
    <w:p w14:paraId="05813BA1" w14:textId="77777777" w:rsidR="00623AFA" w:rsidRDefault="00623AFA" w:rsidP="006C0086">
      <w:pPr>
        <w:spacing w:line="276" w:lineRule="auto"/>
        <w:rPr>
          <w:rFonts w:cs="Arial"/>
          <w:szCs w:val="24"/>
        </w:rPr>
      </w:pPr>
    </w:p>
    <w:p w14:paraId="4B985E26" w14:textId="77777777" w:rsidR="00623AFA" w:rsidRDefault="00623AFA" w:rsidP="006C0086">
      <w:pPr>
        <w:spacing w:line="276" w:lineRule="auto"/>
        <w:rPr>
          <w:rFonts w:cs="Arial"/>
          <w:szCs w:val="24"/>
        </w:rPr>
      </w:pPr>
      <w:r w:rsidRPr="00623AFA">
        <w:rPr>
          <w:rFonts w:cs="Arial"/>
          <w:szCs w:val="24"/>
        </w:rPr>
        <w:t>Our audit procedures involved:</w:t>
      </w:r>
    </w:p>
    <w:p w14:paraId="275CF672" w14:textId="77777777" w:rsidR="00623AFA" w:rsidRDefault="00623AFA" w:rsidP="006C0086">
      <w:pPr>
        <w:pStyle w:val="ListParagraph"/>
        <w:numPr>
          <w:ilvl w:val="0"/>
          <w:numId w:val="46"/>
        </w:numPr>
        <w:spacing w:line="276" w:lineRule="auto"/>
        <w:rPr>
          <w:rFonts w:cs="Arial"/>
          <w:szCs w:val="24"/>
        </w:rPr>
      </w:pPr>
      <w:r w:rsidRPr="00623AFA">
        <w:rPr>
          <w:rFonts w:cs="Arial"/>
          <w:szCs w:val="24"/>
        </w:rPr>
        <w:t>evaluation of the design effectiveness of controls that management has in place to prevent and detect fraud, • journal entry testing, with a focus on large and unusual journals</w:t>
      </w:r>
    </w:p>
    <w:p w14:paraId="26B8870E" w14:textId="77777777" w:rsidR="00623AFA" w:rsidRDefault="00623AFA" w:rsidP="006C0086">
      <w:pPr>
        <w:pStyle w:val="ListParagraph"/>
        <w:numPr>
          <w:ilvl w:val="0"/>
          <w:numId w:val="46"/>
        </w:numPr>
        <w:spacing w:line="276" w:lineRule="auto"/>
        <w:rPr>
          <w:rFonts w:cs="Arial"/>
          <w:szCs w:val="24"/>
        </w:rPr>
      </w:pPr>
      <w:r w:rsidRPr="00623AFA">
        <w:rPr>
          <w:rFonts w:cs="Arial"/>
          <w:szCs w:val="24"/>
        </w:rPr>
        <w:lastRenderedPageBreak/>
        <w:t>challenging assumptions and judgements made by management in its significant accounting estimates in respect of land and buildings and the defined pension fund net liability valuations, and</w:t>
      </w:r>
    </w:p>
    <w:p w14:paraId="023708DC" w14:textId="77777777" w:rsidR="00623AFA" w:rsidRDefault="00623AFA" w:rsidP="006C0086">
      <w:pPr>
        <w:pStyle w:val="ListParagraph"/>
        <w:numPr>
          <w:ilvl w:val="0"/>
          <w:numId w:val="46"/>
        </w:numPr>
        <w:spacing w:line="276" w:lineRule="auto"/>
        <w:rPr>
          <w:rFonts w:cs="Arial"/>
          <w:szCs w:val="24"/>
        </w:rPr>
      </w:pPr>
      <w:r w:rsidRPr="00623AFA">
        <w:rPr>
          <w:rFonts w:cs="Arial"/>
          <w:szCs w:val="24"/>
        </w:rPr>
        <w:t>assessing the extent of compliance with the relevant laws and regulations as part of our procedures on the related financial statement item.</w:t>
      </w:r>
    </w:p>
    <w:p w14:paraId="1FA1CC61" w14:textId="77777777" w:rsidR="00623AFA" w:rsidRDefault="00623AFA" w:rsidP="006C0086">
      <w:pPr>
        <w:spacing w:line="276" w:lineRule="auto"/>
        <w:rPr>
          <w:rFonts w:cs="Arial"/>
          <w:szCs w:val="24"/>
        </w:rPr>
      </w:pPr>
    </w:p>
    <w:p w14:paraId="1A35D2BC" w14:textId="77777777" w:rsidR="00623AFA" w:rsidRDefault="00623AFA" w:rsidP="006C0086">
      <w:pPr>
        <w:spacing w:line="276" w:lineRule="auto"/>
        <w:rPr>
          <w:rFonts w:cs="Arial"/>
          <w:szCs w:val="24"/>
        </w:rPr>
      </w:pPr>
      <w:r w:rsidRPr="00623AFA">
        <w:rPr>
          <w:rFonts w:cs="Arial"/>
          <w:szCs w:val="24"/>
        </w:rPr>
        <w:t>These audit procedures were designed to provide reasonable assurance that the financial statements were free from fraud or error. The risk of not detecting a material misstatement due to fraud is higher than the risk of not detecting one resulting from error and detecting irregularities that result from fraud is inherently more difficult than detecting those that result from error, as fraud may involve collusion, deliberate concealment, forgery or intentional misrepresentations. Also, the further removed non-compliance with laws and regulations is from events and transactions reflected in the financial statements, the less likely we would become aware of it.</w:t>
      </w:r>
    </w:p>
    <w:p w14:paraId="34C553EC" w14:textId="77777777" w:rsidR="00623AFA" w:rsidRDefault="00623AFA" w:rsidP="006C0086">
      <w:pPr>
        <w:spacing w:line="276" w:lineRule="auto"/>
        <w:rPr>
          <w:rFonts w:cs="Arial"/>
          <w:szCs w:val="24"/>
        </w:rPr>
      </w:pPr>
      <w:r w:rsidRPr="00623AFA">
        <w:rPr>
          <w:rFonts w:cs="Arial"/>
          <w:szCs w:val="24"/>
        </w:rPr>
        <w:t>We communicated relevant laws and regulations and potential fraud risks to all engagement team members, including the potential for fraud in revenue and expenditure recognition, and the significant accounting estimates related to land and buildings and defined pension fund net liability valuations. We remained alert to any indications of non-compliance with laws and regulations, including fraud, throughout the audit.</w:t>
      </w:r>
    </w:p>
    <w:p w14:paraId="2CBE4DD2" w14:textId="77777777" w:rsidR="00623AFA" w:rsidRDefault="00623AFA" w:rsidP="006C0086">
      <w:pPr>
        <w:spacing w:line="276" w:lineRule="auto"/>
        <w:rPr>
          <w:rFonts w:cs="Arial"/>
          <w:szCs w:val="24"/>
        </w:rPr>
      </w:pPr>
    </w:p>
    <w:p w14:paraId="35EA9DE5" w14:textId="77777777" w:rsidR="00623AFA" w:rsidRDefault="00623AFA" w:rsidP="006C0086">
      <w:pPr>
        <w:spacing w:line="276" w:lineRule="auto"/>
        <w:rPr>
          <w:rFonts w:cs="Arial"/>
          <w:szCs w:val="24"/>
        </w:rPr>
      </w:pPr>
      <w:r w:rsidRPr="00623AFA">
        <w:rPr>
          <w:rFonts w:cs="Arial"/>
          <w:szCs w:val="24"/>
        </w:rPr>
        <w:t>Our assessment of the appropriateness of the collective competence and capabilities of the engagement team included consideration of the engagement team's</w:t>
      </w:r>
    </w:p>
    <w:p w14:paraId="56BFE117" w14:textId="77777777" w:rsidR="00623AFA" w:rsidRDefault="00623AFA" w:rsidP="006C0086">
      <w:pPr>
        <w:pStyle w:val="ListParagraph"/>
        <w:numPr>
          <w:ilvl w:val="0"/>
          <w:numId w:val="47"/>
        </w:numPr>
        <w:spacing w:line="276" w:lineRule="auto"/>
        <w:rPr>
          <w:rFonts w:cs="Arial"/>
          <w:szCs w:val="24"/>
        </w:rPr>
      </w:pPr>
      <w:r w:rsidRPr="00623AFA">
        <w:rPr>
          <w:rFonts w:cs="Arial"/>
          <w:szCs w:val="24"/>
        </w:rPr>
        <w:t>understanding of, and practical experience with audit engagements of a similar nature and complexity through appropriate training and participation</w:t>
      </w:r>
    </w:p>
    <w:p w14:paraId="323843D8" w14:textId="77777777" w:rsidR="00623AFA" w:rsidRDefault="00623AFA" w:rsidP="006C0086">
      <w:pPr>
        <w:pStyle w:val="ListParagraph"/>
        <w:numPr>
          <w:ilvl w:val="0"/>
          <w:numId w:val="47"/>
        </w:numPr>
        <w:spacing w:line="276" w:lineRule="auto"/>
        <w:rPr>
          <w:rFonts w:cs="Arial"/>
          <w:szCs w:val="24"/>
        </w:rPr>
      </w:pPr>
      <w:r w:rsidRPr="00623AFA">
        <w:rPr>
          <w:rFonts w:cs="Arial"/>
          <w:szCs w:val="24"/>
        </w:rPr>
        <w:t>knowledge of the local government sector</w:t>
      </w:r>
    </w:p>
    <w:p w14:paraId="469BFF03" w14:textId="77777777" w:rsidR="00623AFA" w:rsidRDefault="00623AFA" w:rsidP="006C0086">
      <w:pPr>
        <w:pStyle w:val="ListParagraph"/>
        <w:numPr>
          <w:ilvl w:val="0"/>
          <w:numId w:val="47"/>
        </w:numPr>
        <w:spacing w:line="276" w:lineRule="auto"/>
        <w:rPr>
          <w:rFonts w:cs="Arial"/>
          <w:szCs w:val="24"/>
        </w:rPr>
      </w:pPr>
      <w:r w:rsidRPr="00623AFA">
        <w:rPr>
          <w:rFonts w:cs="Arial"/>
          <w:szCs w:val="24"/>
        </w:rPr>
        <w:t>understanding of the legal and regulatory requirements specific to the Authority including:</w:t>
      </w:r>
    </w:p>
    <w:p w14:paraId="04FEA13D" w14:textId="77777777" w:rsidR="00623AFA" w:rsidRDefault="00623AFA" w:rsidP="006C0086">
      <w:pPr>
        <w:pStyle w:val="ListParagraph"/>
        <w:numPr>
          <w:ilvl w:val="1"/>
          <w:numId w:val="47"/>
        </w:numPr>
        <w:spacing w:line="276" w:lineRule="auto"/>
        <w:rPr>
          <w:rFonts w:cs="Arial"/>
          <w:szCs w:val="24"/>
        </w:rPr>
      </w:pPr>
      <w:r w:rsidRPr="00623AFA">
        <w:rPr>
          <w:rFonts w:cs="Arial"/>
          <w:szCs w:val="24"/>
        </w:rPr>
        <w:t>the provisions of the applicable legislation</w:t>
      </w:r>
    </w:p>
    <w:p w14:paraId="2032CAFE" w14:textId="78E3FECB" w:rsidR="00623AFA" w:rsidRDefault="00623AFA" w:rsidP="006C0086">
      <w:pPr>
        <w:pStyle w:val="ListParagraph"/>
        <w:numPr>
          <w:ilvl w:val="1"/>
          <w:numId w:val="47"/>
        </w:numPr>
        <w:spacing w:line="276" w:lineRule="auto"/>
        <w:rPr>
          <w:rFonts w:cs="Arial"/>
          <w:szCs w:val="24"/>
        </w:rPr>
      </w:pPr>
      <w:r w:rsidRPr="00623AFA">
        <w:rPr>
          <w:rFonts w:cs="Arial"/>
          <w:szCs w:val="24"/>
        </w:rPr>
        <w:t xml:space="preserve">guidance issued by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sidRPr="00623AFA">
        <w:rPr>
          <w:rFonts w:cs="Arial"/>
          <w:szCs w:val="24"/>
        </w:rPr>
        <w:t xml:space="preserve"> </w:t>
      </w:r>
      <w:r w:rsidRPr="00623AFA">
        <w:rPr>
          <w:rFonts w:cs="Arial"/>
          <w:szCs w:val="24"/>
        </w:rPr>
        <w:t>and SOLAC</w:t>
      </w:r>
      <w:r>
        <w:rPr>
          <w:rFonts w:cs="Arial"/>
          <w:szCs w:val="24"/>
        </w:rPr>
        <w:t>E</w:t>
      </w:r>
    </w:p>
    <w:p w14:paraId="0726B388" w14:textId="77777777" w:rsidR="00623AFA" w:rsidRDefault="00623AFA" w:rsidP="006C0086">
      <w:pPr>
        <w:pStyle w:val="ListParagraph"/>
        <w:numPr>
          <w:ilvl w:val="1"/>
          <w:numId w:val="47"/>
        </w:numPr>
        <w:spacing w:line="276" w:lineRule="auto"/>
        <w:rPr>
          <w:rFonts w:cs="Arial"/>
          <w:szCs w:val="24"/>
        </w:rPr>
      </w:pPr>
      <w:r w:rsidRPr="00623AFA">
        <w:rPr>
          <w:rFonts w:cs="Arial"/>
          <w:szCs w:val="24"/>
        </w:rPr>
        <w:t>the applicable statutory provisions.</w:t>
      </w:r>
    </w:p>
    <w:p w14:paraId="0084B4C8" w14:textId="77777777" w:rsidR="00623AFA" w:rsidRDefault="00623AFA" w:rsidP="006C0086">
      <w:pPr>
        <w:spacing w:line="276" w:lineRule="auto"/>
        <w:rPr>
          <w:rFonts w:cs="Arial"/>
          <w:szCs w:val="24"/>
        </w:rPr>
      </w:pPr>
    </w:p>
    <w:p w14:paraId="77FBDDF0" w14:textId="77777777" w:rsidR="00623AFA" w:rsidRDefault="00623AFA" w:rsidP="006C0086">
      <w:pPr>
        <w:spacing w:line="276" w:lineRule="auto"/>
        <w:rPr>
          <w:rFonts w:cs="Arial"/>
          <w:szCs w:val="24"/>
        </w:rPr>
      </w:pPr>
      <w:r w:rsidRPr="00623AFA">
        <w:rPr>
          <w:rFonts w:cs="Arial"/>
          <w:szCs w:val="24"/>
        </w:rPr>
        <w:t>In assessing the potential risks of material misstatement, we obtained an understanding of</w:t>
      </w:r>
      <w:r>
        <w:rPr>
          <w:rFonts w:cs="Arial"/>
          <w:szCs w:val="24"/>
        </w:rPr>
        <w:t>:</w:t>
      </w:r>
    </w:p>
    <w:p w14:paraId="61D5C822" w14:textId="77777777" w:rsidR="00623AFA" w:rsidRDefault="00623AFA" w:rsidP="006C0086">
      <w:pPr>
        <w:pStyle w:val="ListParagraph"/>
        <w:numPr>
          <w:ilvl w:val="0"/>
          <w:numId w:val="48"/>
        </w:numPr>
        <w:spacing w:line="276" w:lineRule="auto"/>
        <w:rPr>
          <w:rFonts w:cs="Arial"/>
          <w:szCs w:val="24"/>
        </w:rPr>
      </w:pPr>
      <w:r w:rsidRPr="00623AFA">
        <w:rPr>
          <w:rFonts w:cs="Arial"/>
          <w:szCs w:val="24"/>
        </w:rPr>
        <w:t>the Authority’s operations, including the nature of its income and expenditure and its services and of its objectives and strategies to understand the classes of transactions, account balances, expected financial statement disclosures and business risks that may result in risks of material misstatement.</w:t>
      </w:r>
    </w:p>
    <w:p w14:paraId="78DEB1C5" w14:textId="77777777" w:rsidR="00623AFA" w:rsidRDefault="00623AFA" w:rsidP="006C0086">
      <w:pPr>
        <w:pStyle w:val="ListParagraph"/>
        <w:numPr>
          <w:ilvl w:val="0"/>
          <w:numId w:val="48"/>
        </w:numPr>
        <w:spacing w:line="276" w:lineRule="auto"/>
        <w:rPr>
          <w:rFonts w:cs="Arial"/>
          <w:szCs w:val="24"/>
        </w:rPr>
      </w:pPr>
      <w:r w:rsidRPr="00623AFA">
        <w:rPr>
          <w:rFonts w:cs="Arial"/>
          <w:szCs w:val="24"/>
        </w:rPr>
        <w:t>the Authority's control environment, including the policies and procedures implemented by the Authority to ensure compliance with the requirements of the financial reporting framework.</w:t>
      </w:r>
    </w:p>
    <w:p w14:paraId="52759E68" w14:textId="77777777" w:rsidR="00623AFA" w:rsidRDefault="00623AFA" w:rsidP="006C0086">
      <w:pPr>
        <w:spacing w:line="276" w:lineRule="auto"/>
        <w:rPr>
          <w:rFonts w:cs="Arial"/>
          <w:szCs w:val="24"/>
        </w:rPr>
      </w:pPr>
    </w:p>
    <w:p w14:paraId="3837AB51" w14:textId="2EE441B8" w:rsidR="001465FD" w:rsidRDefault="00623AFA" w:rsidP="006C0086">
      <w:pPr>
        <w:spacing w:line="276" w:lineRule="auto"/>
        <w:rPr>
          <w:rFonts w:cs="Arial"/>
          <w:szCs w:val="24"/>
        </w:rPr>
      </w:pPr>
      <w:r w:rsidRPr="00623AFA">
        <w:rPr>
          <w:rFonts w:cs="Arial"/>
          <w:szCs w:val="24"/>
        </w:rPr>
        <w:t xml:space="preserve">A further description of our responsibilities for the audit of the financial statements is located on the Financial Reporting Council’s website at: </w:t>
      </w:r>
      <w:hyperlink r:id="rId25" w:history="1">
        <w:r w:rsidRPr="00623AFA">
          <w:rPr>
            <w:rStyle w:val="Hyperlink"/>
            <w:rFonts w:cs="Arial"/>
            <w:szCs w:val="24"/>
          </w:rPr>
          <w:t>www.frc.org.uk/auditorsresponsibilities</w:t>
        </w:r>
      </w:hyperlink>
      <w:r w:rsidRPr="00623AFA">
        <w:rPr>
          <w:rFonts w:cs="Arial"/>
          <w:szCs w:val="24"/>
        </w:rPr>
        <w:t>. This description forms part of our auditor’s report.</w:t>
      </w:r>
    </w:p>
    <w:p w14:paraId="48E5FC21" w14:textId="77777777" w:rsidR="001465FD" w:rsidRDefault="001465FD" w:rsidP="006C0086">
      <w:pPr>
        <w:spacing w:line="276" w:lineRule="auto"/>
        <w:rPr>
          <w:rFonts w:cs="Arial"/>
          <w:szCs w:val="24"/>
        </w:rPr>
      </w:pPr>
      <w:r>
        <w:rPr>
          <w:rFonts w:cs="Arial"/>
          <w:szCs w:val="24"/>
        </w:rPr>
        <w:br w:type="page"/>
      </w:r>
    </w:p>
    <w:p w14:paraId="3F60243B" w14:textId="77777777" w:rsidR="00AE6BB8" w:rsidRPr="00AE6BB8" w:rsidRDefault="00AE6BB8" w:rsidP="006C0086">
      <w:pPr>
        <w:spacing w:line="276" w:lineRule="auto"/>
        <w:rPr>
          <w:rFonts w:cs="Arial"/>
          <w:b/>
          <w:bCs/>
          <w:szCs w:val="24"/>
        </w:rPr>
      </w:pPr>
      <w:r w:rsidRPr="00AE6BB8">
        <w:rPr>
          <w:rFonts w:cs="Arial"/>
          <w:b/>
          <w:bCs/>
          <w:szCs w:val="24"/>
        </w:rPr>
        <w:lastRenderedPageBreak/>
        <w:t>Report on other legal and regulatory requirements – the Authority’s arrangements for securing economy, efficiency and effectiveness in its use of resources</w:t>
      </w:r>
    </w:p>
    <w:p w14:paraId="440CAE92" w14:textId="77777777" w:rsidR="00AE6BB8" w:rsidRPr="00AE6BB8" w:rsidRDefault="00AE6BB8" w:rsidP="006C0086">
      <w:pPr>
        <w:spacing w:line="276" w:lineRule="auto"/>
        <w:rPr>
          <w:rFonts w:cs="Arial"/>
          <w:b/>
          <w:bCs/>
          <w:szCs w:val="24"/>
        </w:rPr>
      </w:pPr>
    </w:p>
    <w:p w14:paraId="38E16FC9" w14:textId="77777777" w:rsidR="00AE6BB8" w:rsidRDefault="00AE6BB8" w:rsidP="006C0086">
      <w:pPr>
        <w:spacing w:line="276" w:lineRule="auto"/>
        <w:rPr>
          <w:rFonts w:cs="Arial"/>
          <w:b/>
          <w:bCs/>
          <w:szCs w:val="24"/>
        </w:rPr>
      </w:pPr>
      <w:r w:rsidRPr="00AE6BB8">
        <w:rPr>
          <w:rFonts w:cs="Arial"/>
          <w:b/>
          <w:bCs/>
          <w:szCs w:val="24"/>
        </w:rPr>
        <w:t>Matter on which we are required to report by exception – the Authority’s arrangements for securing economy, efficiency and effectiveness in its use of resources</w:t>
      </w:r>
    </w:p>
    <w:p w14:paraId="411784EB" w14:textId="77777777" w:rsidR="00AE6BB8" w:rsidRDefault="00AE6BB8" w:rsidP="006C0086">
      <w:pPr>
        <w:spacing w:line="276" w:lineRule="auto"/>
        <w:rPr>
          <w:rFonts w:cs="Arial"/>
          <w:b/>
          <w:bCs/>
          <w:szCs w:val="24"/>
        </w:rPr>
      </w:pPr>
    </w:p>
    <w:p w14:paraId="38F34876" w14:textId="77777777" w:rsidR="00AE6BB8" w:rsidRDefault="00AE6BB8" w:rsidP="006C0086">
      <w:pPr>
        <w:spacing w:line="276" w:lineRule="auto"/>
      </w:pPr>
      <w:r>
        <w:t xml:space="preserve">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2024. </w:t>
      </w:r>
    </w:p>
    <w:p w14:paraId="08F3FD6C" w14:textId="77777777" w:rsidR="00AE6BB8" w:rsidRDefault="00AE6BB8" w:rsidP="006C0086">
      <w:pPr>
        <w:spacing w:line="276" w:lineRule="auto"/>
      </w:pPr>
    </w:p>
    <w:p w14:paraId="2895CD6C" w14:textId="77777777" w:rsidR="00AE6BB8" w:rsidRDefault="00AE6BB8" w:rsidP="006C0086">
      <w:pPr>
        <w:spacing w:line="276" w:lineRule="auto"/>
      </w:pPr>
      <w:r>
        <w:t>We have nothing to report in respect of the above matter.</w:t>
      </w:r>
    </w:p>
    <w:p w14:paraId="2BAF92AC" w14:textId="77777777" w:rsidR="00AE6BB8" w:rsidRDefault="00AE6BB8" w:rsidP="006C0086">
      <w:pPr>
        <w:spacing w:line="276" w:lineRule="auto"/>
      </w:pPr>
    </w:p>
    <w:p w14:paraId="0032BE23" w14:textId="77777777" w:rsidR="00AE6BB8" w:rsidRPr="00AE6BB8" w:rsidRDefault="00AE6BB8" w:rsidP="006C0086">
      <w:pPr>
        <w:spacing w:line="276" w:lineRule="auto"/>
        <w:rPr>
          <w:rFonts w:cs="Arial"/>
          <w:b/>
          <w:bCs/>
          <w:szCs w:val="24"/>
        </w:rPr>
      </w:pPr>
      <w:r w:rsidRPr="00AE6BB8">
        <w:rPr>
          <w:rFonts w:cs="Arial"/>
          <w:b/>
          <w:bCs/>
          <w:szCs w:val="24"/>
        </w:rPr>
        <w:t>Responsibilities of the Authority</w:t>
      </w:r>
    </w:p>
    <w:p w14:paraId="78E79563" w14:textId="77777777" w:rsidR="00AE6BB8" w:rsidRDefault="00AE6BB8" w:rsidP="006C0086">
      <w:pPr>
        <w:spacing w:line="276" w:lineRule="auto"/>
        <w:rPr>
          <w:rFonts w:cs="Arial"/>
          <w:szCs w:val="24"/>
        </w:rPr>
      </w:pPr>
    </w:p>
    <w:p w14:paraId="78760798" w14:textId="02C50B5A" w:rsidR="00AE6BB8" w:rsidRDefault="00AE6BB8" w:rsidP="006C0086">
      <w:pPr>
        <w:spacing w:line="276" w:lineRule="auto"/>
        <w:rPr>
          <w:rFonts w:cs="Arial"/>
          <w:szCs w:val="24"/>
        </w:rPr>
      </w:pPr>
      <w:r w:rsidRPr="00AE6BB8">
        <w:rPr>
          <w:rFonts w:cs="Arial"/>
          <w:szCs w:val="24"/>
        </w:rPr>
        <w:t>The Authority is responsible for putting in place proper arrangements for securing economy, efficiency and effectiveness in its use of resources.</w:t>
      </w:r>
    </w:p>
    <w:p w14:paraId="5C51255B" w14:textId="667151FE" w:rsidR="00AE6BB8" w:rsidRDefault="00AE6BB8" w:rsidP="006C0086">
      <w:pPr>
        <w:spacing w:line="276" w:lineRule="auto"/>
        <w:rPr>
          <w:rFonts w:cs="Arial"/>
          <w:szCs w:val="24"/>
        </w:rPr>
      </w:pPr>
    </w:p>
    <w:p w14:paraId="251DA951" w14:textId="77777777" w:rsidR="00AE6BB8" w:rsidRPr="00AE6BB8" w:rsidRDefault="00AE6BB8" w:rsidP="006C0086">
      <w:pPr>
        <w:spacing w:line="276" w:lineRule="auto"/>
        <w:rPr>
          <w:rFonts w:cs="Arial"/>
          <w:b/>
          <w:bCs/>
          <w:szCs w:val="24"/>
        </w:rPr>
      </w:pPr>
      <w:r w:rsidRPr="00AE6BB8">
        <w:rPr>
          <w:rFonts w:cs="Arial"/>
          <w:b/>
          <w:bCs/>
          <w:szCs w:val="24"/>
        </w:rPr>
        <w:t>Auditor’s responsibilities for the review of the Authority’s arrangements for securing economy, efficiency and effectiveness in its use of resources</w:t>
      </w:r>
    </w:p>
    <w:p w14:paraId="1E394CB8" w14:textId="77777777" w:rsidR="00AE6BB8" w:rsidRDefault="00AE6BB8" w:rsidP="006C0086">
      <w:pPr>
        <w:spacing w:line="276" w:lineRule="auto"/>
        <w:rPr>
          <w:rFonts w:cs="Arial"/>
          <w:szCs w:val="24"/>
        </w:rPr>
      </w:pPr>
    </w:p>
    <w:p w14:paraId="05C45F5F" w14:textId="77777777" w:rsidR="00AE6BB8" w:rsidRDefault="00AE6BB8" w:rsidP="006C0086">
      <w:pPr>
        <w:spacing w:line="276" w:lineRule="auto"/>
        <w:rPr>
          <w:rFonts w:cs="Arial"/>
          <w:szCs w:val="24"/>
        </w:rPr>
      </w:pPr>
      <w:r w:rsidRPr="00AE6BB8">
        <w:rPr>
          <w:rFonts w:cs="Arial"/>
          <w:szCs w:val="24"/>
        </w:rPr>
        <w:t>We are required under Section 20(1)(c) of the Local Audit and Accountability Act 2014 to be satisfied that the Authority has made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w:t>
      </w:r>
    </w:p>
    <w:p w14:paraId="53FB3A46" w14:textId="77777777" w:rsidR="00AE6BB8" w:rsidRDefault="00AE6BB8" w:rsidP="006C0086">
      <w:pPr>
        <w:spacing w:line="276" w:lineRule="auto"/>
        <w:rPr>
          <w:rFonts w:cs="Arial"/>
          <w:szCs w:val="24"/>
        </w:rPr>
      </w:pPr>
    </w:p>
    <w:p w14:paraId="7717CB8B" w14:textId="77777777" w:rsidR="00AE6BB8" w:rsidRDefault="00AE6BB8" w:rsidP="006C0086">
      <w:pPr>
        <w:spacing w:line="276" w:lineRule="auto"/>
        <w:rPr>
          <w:rFonts w:cs="Arial"/>
          <w:szCs w:val="24"/>
        </w:rPr>
      </w:pPr>
      <w:r w:rsidRPr="00AE6BB8">
        <w:rPr>
          <w:rFonts w:cs="Arial"/>
          <w:szCs w:val="24"/>
        </w:rPr>
        <w:t xml:space="preserve">We undertake our review in accordance with the Code of Audit Practice, having regard to the guidance issued by the Comptroller and Auditor General in January 2023. This guidance sets out the arrangements that fall within the scope of ‘proper </w:t>
      </w:r>
      <w:proofErr w:type="gramStart"/>
      <w:r w:rsidRPr="00AE6BB8">
        <w:rPr>
          <w:rFonts w:cs="Arial"/>
          <w:szCs w:val="24"/>
        </w:rPr>
        <w:t>arrangements’</w:t>
      </w:r>
      <w:proofErr w:type="gramEnd"/>
      <w:r w:rsidRPr="00AE6BB8">
        <w:rPr>
          <w:rFonts w:cs="Arial"/>
          <w:szCs w:val="24"/>
        </w:rPr>
        <w:t>. When reporting on these arrangements, the Code of Audit Practice requires auditors to structure their commentary on arrangements under three specified reporting criteria:</w:t>
      </w:r>
    </w:p>
    <w:p w14:paraId="54DE736D" w14:textId="77777777" w:rsidR="00AE6BB8" w:rsidRDefault="00AE6BB8" w:rsidP="006C0086">
      <w:pPr>
        <w:spacing w:line="276" w:lineRule="auto"/>
        <w:rPr>
          <w:rFonts w:cs="Arial"/>
          <w:szCs w:val="24"/>
        </w:rPr>
      </w:pPr>
    </w:p>
    <w:p w14:paraId="52C5D43C" w14:textId="77777777" w:rsidR="00AE6BB8" w:rsidRPr="00AE6BB8" w:rsidRDefault="00AE6BB8" w:rsidP="006C0086">
      <w:pPr>
        <w:pStyle w:val="ListParagraph"/>
        <w:numPr>
          <w:ilvl w:val="0"/>
          <w:numId w:val="50"/>
        </w:numPr>
        <w:spacing w:line="276" w:lineRule="auto"/>
        <w:rPr>
          <w:rFonts w:cs="Arial"/>
          <w:szCs w:val="24"/>
        </w:rPr>
      </w:pPr>
      <w:r w:rsidRPr="00AE6BB8">
        <w:rPr>
          <w:rFonts w:cs="Arial"/>
          <w:szCs w:val="24"/>
        </w:rPr>
        <w:t xml:space="preserve">Financial sustainability: how the Authority plans and manages its resources to ensure it can continue to deliver its </w:t>
      </w:r>
      <w:proofErr w:type="gramStart"/>
      <w:r w:rsidRPr="00AE6BB8">
        <w:rPr>
          <w:rFonts w:cs="Arial"/>
          <w:szCs w:val="24"/>
        </w:rPr>
        <w:t>services;</w:t>
      </w:r>
      <w:proofErr w:type="gramEnd"/>
    </w:p>
    <w:p w14:paraId="1403109A" w14:textId="77777777" w:rsidR="00AE6BB8" w:rsidRDefault="00AE6BB8" w:rsidP="006C0086">
      <w:pPr>
        <w:pStyle w:val="ListParagraph"/>
        <w:numPr>
          <w:ilvl w:val="0"/>
          <w:numId w:val="49"/>
        </w:numPr>
        <w:spacing w:line="276" w:lineRule="auto"/>
        <w:rPr>
          <w:rFonts w:cs="Arial"/>
          <w:szCs w:val="24"/>
        </w:rPr>
      </w:pPr>
      <w:r w:rsidRPr="00AE6BB8">
        <w:rPr>
          <w:rFonts w:cs="Arial"/>
          <w:szCs w:val="24"/>
        </w:rPr>
        <w:t>Governance: how the Authority ensures that it makes informed decisions and properly manages its risks; and</w:t>
      </w:r>
    </w:p>
    <w:p w14:paraId="1BE87710" w14:textId="77777777" w:rsidR="00AE6BB8" w:rsidRDefault="00AE6BB8" w:rsidP="006C0086">
      <w:pPr>
        <w:pStyle w:val="ListParagraph"/>
        <w:numPr>
          <w:ilvl w:val="0"/>
          <w:numId w:val="49"/>
        </w:numPr>
        <w:spacing w:line="276" w:lineRule="auto"/>
        <w:rPr>
          <w:rFonts w:cs="Arial"/>
          <w:szCs w:val="24"/>
        </w:rPr>
      </w:pPr>
      <w:r w:rsidRPr="00AE6BB8">
        <w:rPr>
          <w:rFonts w:cs="Arial"/>
          <w:szCs w:val="24"/>
        </w:rPr>
        <w:t>Improving economy, efficiency and effectiveness: how the Authority uses information about its costs and performance to improve the way it manages and delivers its services.</w:t>
      </w:r>
    </w:p>
    <w:p w14:paraId="589E32FC" w14:textId="77777777" w:rsidR="00AE6BB8" w:rsidRDefault="00AE6BB8" w:rsidP="006C0086">
      <w:pPr>
        <w:spacing w:line="276" w:lineRule="auto"/>
        <w:rPr>
          <w:rFonts w:cs="Arial"/>
          <w:szCs w:val="24"/>
        </w:rPr>
      </w:pPr>
    </w:p>
    <w:p w14:paraId="14CF25A8" w14:textId="1E291FA3" w:rsidR="001465FD" w:rsidRPr="001465FD" w:rsidRDefault="00AE6BB8" w:rsidP="006C0086">
      <w:pPr>
        <w:spacing w:line="276" w:lineRule="auto"/>
        <w:rPr>
          <w:rFonts w:cs="Arial"/>
          <w:szCs w:val="24"/>
        </w:rPr>
      </w:pPr>
      <w:r w:rsidRPr="00AE6BB8">
        <w:rPr>
          <w:rFonts w:cs="Arial"/>
          <w:szCs w:val="24"/>
        </w:rPr>
        <w:t xml:space="preserve">We document our understanding of the arrangements the Authority has in place for each of these three specified reporting criteria, gathering sufficient evidence to support our risk assessment and commentary in our Auditor’s Annual Report. In undertaking our work, we </w:t>
      </w:r>
      <w:r w:rsidRPr="00AE6BB8">
        <w:rPr>
          <w:rFonts w:cs="Arial"/>
          <w:szCs w:val="24"/>
        </w:rPr>
        <w:lastRenderedPageBreak/>
        <w:t>consider whether there is evidence to suggest that there are significant weaknesses in arrangements.</w:t>
      </w:r>
      <w:r w:rsidR="001465FD">
        <w:rPr>
          <w:rFonts w:cs="Arial"/>
          <w:b/>
          <w:bCs/>
          <w:szCs w:val="24"/>
        </w:rPr>
        <w:br w:type="page"/>
      </w:r>
    </w:p>
    <w:p w14:paraId="443CB833" w14:textId="24636966" w:rsidR="00AE6BB8" w:rsidRDefault="00AE6BB8" w:rsidP="006C0086">
      <w:pPr>
        <w:spacing w:line="276" w:lineRule="auto"/>
        <w:rPr>
          <w:rFonts w:cs="Arial"/>
          <w:b/>
          <w:bCs/>
          <w:szCs w:val="24"/>
        </w:rPr>
      </w:pPr>
      <w:r w:rsidRPr="00AE6BB8">
        <w:rPr>
          <w:rFonts w:cs="Arial"/>
          <w:b/>
          <w:bCs/>
          <w:szCs w:val="24"/>
        </w:rPr>
        <w:lastRenderedPageBreak/>
        <w:t>Report on other legal and regulatory requirements – Delay in certification of completion of the audit</w:t>
      </w:r>
    </w:p>
    <w:p w14:paraId="296980FB" w14:textId="77777777" w:rsidR="00AE6BB8" w:rsidRPr="00AE6BB8" w:rsidRDefault="00AE6BB8" w:rsidP="006C0086">
      <w:pPr>
        <w:spacing w:line="276" w:lineRule="auto"/>
        <w:rPr>
          <w:rFonts w:cs="Arial"/>
          <w:szCs w:val="24"/>
        </w:rPr>
      </w:pPr>
    </w:p>
    <w:p w14:paraId="1ABDE9A4" w14:textId="77777777" w:rsidR="00AE6BB8" w:rsidRDefault="00AE6BB8" w:rsidP="006C0086">
      <w:pPr>
        <w:spacing w:line="276" w:lineRule="auto"/>
        <w:rPr>
          <w:rFonts w:cs="Arial"/>
          <w:szCs w:val="24"/>
        </w:rPr>
      </w:pPr>
      <w:r w:rsidRPr="00AE6BB8">
        <w:rPr>
          <w:rFonts w:cs="Arial"/>
          <w:szCs w:val="24"/>
        </w:rPr>
        <w:t>We cannot formally conclude the audit and issue an audit certificate for Lancashire Combined Fire Authority for the year ended 31 March 2024 in accordance with the requirements of the Local Audit and Accountability Act 2014 and the Code of Audit Practice until we have completed the work necessary in relation to consolidation returns, including Whole of Government Accounts (WGA), and the National Audit Office has concluded their work in respect of WGA for the year ended 31 March 2024. We are satisfied that this work does not have a material effect on the financial statements for the year ended 31 March 2024.</w:t>
      </w:r>
    </w:p>
    <w:p w14:paraId="0C10BD94" w14:textId="77777777" w:rsidR="00AE6BB8" w:rsidRDefault="00AE6BB8" w:rsidP="006C0086">
      <w:pPr>
        <w:spacing w:line="276" w:lineRule="auto"/>
        <w:rPr>
          <w:rFonts w:cs="Arial"/>
          <w:szCs w:val="24"/>
        </w:rPr>
      </w:pPr>
    </w:p>
    <w:p w14:paraId="15F89210" w14:textId="77777777" w:rsidR="001465FD" w:rsidRPr="001465FD" w:rsidRDefault="001465FD" w:rsidP="006C0086">
      <w:pPr>
        <w:spacing w:line="276" w:lineRule="auto"/>
        <w:rPr>
          <w:rFonts w:cs="Arial"/>
          <w:b/>
          <w:bCs/>
          <w:szCs w:val="24"/>
        </w:rPr>
      </w:pPr>
      <w:r w:rsidRPr="001465FD">
        <w:rPr>
          <w:rFonts w:cs="Arial"/>
          <w:b/>
          <w:bCs/>
          <w:szCs w:val="24"/>
        </w:rPr>
        <w:t>Use of our report</w:t>
      </w:r>
    </w:p>
    <w:p w14:paraId="5F895C31" w14:textId="77777777" w:rsidR="001465FD" w:rsidRDefault="001465FD" w:rsidP="006C0086">
      <w:pPr>
        <w:spacing w:line="276" w:lineRule="auto"/>
        <w:rPr>
          <w:rFonts w:cs="Arial"/>
          <w:szCs w:val="24"/>
        </w:rPr>
      </w:pPr>
    </w:p>
    <w:p w14:paraId="01A5E152" w14:textId="77777777" w:rsidR="001465FD" w:rsidRDefault="001465FD" w:rsidP="006C0086">
      <w:pPr>
        <w:spacing w:line="276" w:lineRule="auto"/>
        <w:rPr>
          <w:rFonts w:cs="Arial"/>
          <w:szCs w:val="24"/>
        </w:rPr>
      </w:pPr>
      <w:r w:rsidRPr="001465FD">
        <w:rPr>
          <w:rFonts w:cs="Arial"/>
          <w:szCs w:val="24"/>
        </w:rPr>
        <w:t>This report is made solely to the members of the Authority, as a body, in accordance with Part 5 of the Local Audit and Accountability Act 2014 and as set out in paragraph 85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14:paraId="4B7DC415" w14:textId="77777777" w:rsidR="001465FD" w:rsidRDefault="001465FD" w:rsidP="006C0086">
      <w:pPr>
        <w:spacing w:line="276" w:lineRule="auto"/>
        <w:rPr>
          <w:rFonts w:cs="Arial"/>
          <w:szCs w:val="24"/>
        </w:rPr>
      </w:pPr>
    </w:p>
    <w:p w14:paraId="5D578A88" w14:textId="274A5538" w:rsidR="001465FD" w:rsidRPr="00D948C1" w:rsidRDefault="001465FD" w:rsidP="006C0086">
      <w:pPr>
        <w:spacing w:line="276" w:lineRule="auto"/>
        <w:jc w:val="both"/>
        <w:rPr>
          <w:rFonts w:ascii="Brush Script MT" w:hAnsi="Brush Script MT"/>
          <w:sz w:val="48"/>
          <w:szCs w:val="48"/>
        </w:rPr>
      </w:pPr>
      <w:r>
        <w:rPr>
          <w:rFonts w:ascii="Brush Script MT" w:hAnsi="Brush Script MT"/>
          <w:sz w:val="48"/>
          <w:szCs w:val="48"/>
        </w:rPr>
        <w:t>Georgia Jones</w:t>
      </w:r>
    </w:p>
    <w:p w14:paraId="25A83332" w14:textId="77777777" w:rsidR="001465FD" w:rsidRDefault="001465FD" w:rsidP="006C0086">
      <w:pPr>
        <w:spacing w:line="276" w:lineRule="auto"/>
        <w:rPr>
          <w:rFonts w:cs="Arial"/>
          <w:szCs w:val="24"/>
        </w:rPr>
      </w:pPr>
    </w:p>
    <w:p w14:paraId="060304AB" w14:textId="77777777" w:rsidR="001465FD" w:rsidRDefault="001465FD" w:rsidP="006C0086">
      <w:pPr>
        <w:spacing w:line="276" w:lineRule="auto"/>
        <w:rPr>
          <w:rFonts w:cs="Arial"/>
          <w:szCs w:val="24"/>
        </w:rPr>
      </w:pPr>
      <w:r>
        <w:rPr>
          <w:rFonts w:cs="Arial"/>
          <w:szCs w:val="24"/>
        </w:rPr>
        <w:t>Georgia Jones, Key Audit Partner</w:t>
      </w:r>
    </w:p>
    <w:p w14:paraId="6B9410B4" w14:textId="77777777" w:rsidR="001465FD" w:rsidRDefault="001465FD" w:rsidP="006C0086">
      <w:pPr>
        <w:spacing w:line="276" w:lineRule="auto"/>
        <w:rPr>
          <w:rFonts w:cs="Arial"/>
          <w:szCs w:val="24"/>
        </w:rPr>
      </w:pPr>
      <w:r>
        <w:rPr>
          <w:rFonts w:cs="Arial"/>
          <w:szCs w:val="24"/>
        </w:rPr>
        <w:t>for and on behalf of Grant Thornton UK LLP, Local Auditor</w:t>
      </w:r>
    </w:p>
    <w:p w14:paraId="4D1A8467" w14:textId="77777777" w:rsidR="001465FD" w:rsidRDefault="001465FD" w:rsidP="006C0086">
      <w:pPr>
        <w:spacing w:line="276" w:lineRule="auto"/>
        <w:rPr>
          <w:rFonts w:cs="Arial"/>
          <w:szCs w:val="24"/>
        </w:rPr>
      </w:pPr>
      <w:r>
        <w:rPr>
          <w:rFonts w:cs="Arial"/>
          <w:szCs w:val="24"/>
        </w:rPr>
        <w:t>Liverpool</w:t>
      </w:r>
    </w:p>
    <w:p w14:paraId="7AB6394E" w14:textId="581CA943" w:rsidR="00550085" w:rsidRPr="00AE6BB8" w:rsidRDefault="001465FD" w:rsidP="006C0086">
      <w:pPr>
        <w:spacing w:line="276" w:lineRule="auto"/>
        <w:rPr>
          <w:rFonts w:cs="Arial"/>
          <w:szCs w:val="24"/>
        </w:rPr>
      </w:pPr>
      <w:r>
        <w:rPr>
          <w:rFonts w:cs="Arial"/>
          <w:szCs w:val="24"/>
        </w:rPr>
        <w:t>29</w:t>
      </w:r>
      <w:r w:rsidRPr="001465FD">
        <w:rPr>
          <w:rFonts w:cs="Arial"/>
          <w:szCs w:val="24"/>
          <w:vertAlign w:val="superscript"/>
        </w:rPr>
        <w:t>th</w:t>
      </w:r>
      <w:r>
        <w:rPr>
          <w:rFonts w:cs="Arial"/>
          <w:szCs w:val="24"/>
        </w:rPr>
        <w:t xml:space="preserve"> November 2024</w:t>
      </w:r>
      <w:r w:rsidR="00550085" w:rsidRPr="00AE6BB8">
        <w:rPr>
          <w:rFonts w:cs="Arial"/>
          <w:szCs w:val="24"/>
        </w:rPr>
        <w:br w:type="page"/>
      </w:r>
    </w:p>
    <w:p w14:paraId="3BC975BB" w14:textId="77777777" w:rsidR="00A5777A" w:rsidRPr="00D948C1" w:rsidRDefault="00A5777A" w:rsidP="006C0086">
      <w:pPr>
        <w:pStyle w:val="Heading1"/>
        <w:spacing w:line="276" w:lineRule="auto"/>
        <w:rPr>
          <w:rFonts w:cs="Arial"/>
          <w:iCs/>
          <w:szCs w:val="24"/>
          <w:lang w:eastAsia="en-GB"/>
        </w:rPr>
      </w:pPr>
      <w:bookmarkStart w:id="9" w:name="_Toc171068777"/>
      <w:r w:rsidRPr="00D948C1">
        <w:rPr>
          <w:szCs w:val="24"/>
        </w:rPr>
        <w:lastRenderedPageBreak/>
        <w:t>Statement of Responsibilities for the Statement of Accounts</w:t>
      </w:r>
      <w:bookmarkEnd w:id="9"/>
    </w:p>
    <w:p w14:paraId="3AB6650B" w14:textId="77777777" w:rsidR="00A5777A" w:rsidRPr="00D948C1" w:rsidRDefault="00A5777A" w:rsidP="006C0086">
      <w:pPr>
        <w:spacing w:line="276" w:lineRule="auto"/>
        <w:rPr>
          <w:szCs w:val="24"/>
        </w:rPr>
      </w:pPr>
    </w:p>
    <w:p w14:paraId="024F363C" w14:textId="77777777" w:rsidR="00A5777A" w:rsidRPr="00D948C1" w:rsidRDefault="00A5777A" w:rsidP="006C0086">
      <w:pPr>
        <w:spacing w:line="276" w:lineRule="auto"/>
        <w:rPr>
          <w:b/>
          <w:bCs/>
        </w:rPr>
      </w:pPr>
      <w:r w:rsidRPr="00D948C1">
        <w:rPr>
          <w:b/>
          <w:bCs/>
        </w:rPr>
        <w:t>The Authority’s Responsibilities</w:t>
      </w:r>
    </w:p>
    <w:p w14:paraId="33E04A1B" w14:textId="77777777" w:rsidR="00A5777A" w:rsidRPr="00D948C1" w:rsidRDefault="00A5777A" w:rsidP="006C0086">
      <w:pPr>
        <w:spacing w:line="276" w:lineRule="auto"/>
        <w:rPr>
          <w:szCs w:val="24"/>
        </w:rPr>
      </w:pPr>
    </w:p>
    <w:p w14:paraId="3E87AB07" w14:textId="77777777" w:rsidR="00A5777A" w:rsidRPr="00D948C1" w:rsidRDefault="00A5777A" w:rsidP="006C0086">
      <w:pPr>
        <w:spacing w:line="276" w:lineRule="auto"/>
        <w:rPr>
          <w:szCs w:val="24"/>
        </w:rPr>
      </w:pPr>
      <w:r w:rsidRPr="00D948C1">
        <w:rPr>
          <w:szCs w:val="24"/>
        </w:rPr>
        <w:t>The Authority is required:</w:t>
      </w:r>
    </w:p>
    <w:p w14:paraId="75B90561" w14:textId="77777777" w:rsidR="00A5777A" w:rsidRPr="00D948C1" w:rsidRDefault="00A5777A" w:rsidP="006C0086">
      <w:pPr>
        <w:spacing w:line="276" w:lineRule="auto"/>
        <w:rPr>
          <w:szCs w:val="24"/>
        </w:rPr>
      </w:pPr>
    </w:p>
    <w:p w14:paraId="56105246" w14:textId="77777777" w:rsidR="00A5777A" w:rsidRPr="00D948C1" w:rsidRDefault="00A5777A" w:rsidP="006C0086">
      <w:pPr>
        <w:numPr>
          <w:ilvl w:val="0"/>
          <w:numId w:val="29"/>
        </w:numPr>
        <w:spacing w:line="276" w:lineRule="auto"/>
        <w:rPr>
          <w:szCs w:val="24"/>
        </w:rPr>
      </w:pPr>
      <w:r w:rsidRPr="00D948C1">
        <w:rPr>
          <w:szCs w:val="24"/>
        </w:rPr>
        <w:t xml:space="preserve">To </w:t>
      </w:r>
      <w:proofErr w:type="gramStart"/>
      <w:r w:rsidRPr="00D948C1">
        <w:rPr>
          <w:szCs w:val="24"/>
        </w:rPr>
        <w:t>make arrangements</w:t>
      </w:r>
      <w:proofErr w:type="gramEnd"/>
      <w:r w:rsidRPr="00D948C1">
        <w:rPr>
          <w:szCs w:val="24"/>
        </w:rPr>
        <w:t xml:space="preserve"> for the proper administration of the financial affairs and to secure that one of its officers has the responsibility for the administration of those affairs. In this Authority that officer is the Treasurer to the Fire Authority.</w:t>
      </w:r>
    </w:p>
    <w:p w14:paraId="4B3120F8" w14:textId="77777777" w:rsidR="00A5777A" w:rsidRPr="00D948C1" w:rsidRDefault="00A5777A" w:rsidP="006C0086">
      <w:pPr>
        <w:spacing w:line="276" w:lineRule="auto"/>
        <w:rPr>
          <w:szCs w:val="24"/>
        </w:rPr>
      </w:pPr>
    </w:p>
    <w:p w14:paraId="36CAA642" w14:textId="77777777" w:rsidR="00A5777A" w:rsidRPr="00D948C1" w:rsidRDefault="00A5777A" w:rsidP="006C0086">
      <w:pPr>
        <w:numPr>
          <w:ilvl w:val="0"/>
          <w:numId w:val="29"/>
        </w:numPr>
        <w:spacing w:line="276" w:lineRule="auto"/>
        <w:rPr>
          <w:szCs w:val="24"/>
        </w:rPr>
      </w:pPr>
      <w:r w:rsidRPr="00D948C1">
        <w:rPr>
          <w:szCs w:val="24"/>
        </w:rPr>
        <w:t>To manage its affairs to secure economic, efficient, and effective use of resources and safeguard its assets.</w:t>
      </w:r>
    </w:p>
    <w:p w14:paraId="1758F57D" w14:textId="77777777" w:rsidR="00A5777A" w:rsidRPr="00D948C1" w:rsidRDefault="00A5777A" w:rsidP="006C0086">
      <w:pPr>
        <w:spacing w:line="276" w:lineRule="auto"/>
        <w:rPr>
          <w:szCs w:val="24"/>
        </w:rPr>
      </w:pPr>
    </w:p>
    <w:p w14:paraId="4ACE8923" w14:textId="77777777" w:rsidR="00A5777A" w:rsidRPr="00D948C1" w:rsidRDefault="00A5777A" w:rsidP="006C0086">
      <w:pPr>
        <w:numPr>
          <w:ilvl w:val="0"/>
          <w:numId w:val="29"/>
        </w:numPr>
        <w:spacing w:line="276" w:lineRule="auto"/>
        <w:rPr>
          <w:szCs w:val="24"/>
        </w:rPr>
      </w:pPr>
      <w:r w:rsidRPr="00D948C1">
        <w:rPr>
          <w:szCs w:val="24"/>
        </w:rPr>
        <w:t>To approve the Statement of Accounts.</w:t>
      </w:r>
    </w:p>
    <w:p w14:paraId="706FDD8D" w14:textId="77777777" w:rsidR="00A5777A" w:rsidRPr="00D948C1" w:rsidRDefault="00A5777A" w:rsidP="006C0086">
      <w:pPr>
        <w:spacing w:line="276" w:lineRule="auto"/>
        <w:ind w:hanging="562"/>
        <w:rPr>
          <w:szCs w:val="24"/>
        </w:rPr>
      </w:pPr>
    </w:p>
    <w:p w14:paraId="0E936243" w14:textId="77777777" w:rsidR="00A5777A" w:rsidRPr="00D948C1" w:rsidRDefault="00A5777A" w:rsidP="006C0086">
      <w:pPr>
        <w:spacing w:line="276" w:lineRule="auto"/>
        <w:rPr>
          <w:b/>
          <w:bCs/>
        </w:rPr>
      </w:pPr>
      <w:r w:rsidRPr="00D948C1">
        <w:rPr>
          <w:b/>
          <w:bCs/>
        </w:rPr>
        <w:t>The Treasurer’s Responsibilities</w:t>
      </w:r>
    </w:p>
    <w:p w14:paraId="472D5784" w14:textId="77777777" w:rsidR="00A5777A" w:rsidRPr="00D948C1" w:rsidRDefault="00A5777A" w:rsidP="006C0086">
      <w:pPr>
        <w:spacing w:line="276" w:lineRule="auto"/>
        <w:ind w:hanging="562"/>
        <w:rPr>
          <w:b/>
          <w:szCs w:val="24"/>
        </w:rPr>
      </w:pPr>
    </w:p>
    <w:p w14:paraId="31833F1E" w14:textId="18499003" w:rsidR="00A5777A" w:rsidRPr="00D948C1" w:rsidRDefault="00A5777A" w:rsidP="006C0086">
      <w:pPr>
        <w:tabs>
          <w:tab w:val="left" w:pos="1418"/>
        </w:tabs>
        <w:spacing w:line="276" w:lineRule="auto"/>
        <w:rPr>
          <w:szCs w:val="24"/>
        </w:rPr>
      </w:pPr>
      <w:r w:rsidRPr="00D948C1">
        <w:rPr>
          <w:szCs w:val="24"/>
        </w:rPr>
        <w:t xml:space="preserve">The Treasurer is responsible for the preparation of the Authority’s Statement of Accounts which, in terms of the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rFonts w:cs="Arial"/>
          <w:szCs w:val="24"/>
        </w:rPr>
        <w:t>,</w:t>
      </w:r>
      <w:r w:rsidRPr="00D948C1">
        <w:rPr>
          <w:szCs w:val="24"/>
        </w:rPr>
        <w:t xml:space="preserve"> Code of Practice on Local Authority Accounting (‘the Code’), is required to present </w:t>
      </w:r>
      <w:r w:rsidRPr="00D948C1">
        <w:rPr>
          <w:rFonts w:cs="Arial"/>
          <w:szCs w:val="24"/>
        </w:rPr>
        <w:t>a true and fair view</w:t>
      </w:r>
      <w:r w:rsidRPr="00D948C1">
        <w:rPr>
          <w:szCs w:val="24"/>
        </w:rPr>
        <w:t xml:space="preserve"> of the financial position of the Authority at the accounting date and its income and expenditure for the year ended 31 March 202</w:t>
      </w:r>
      <w:r w:rsidR="00405650" w:rsidRPr="00D948C1">
        <w:rPr>
          <w:szCs w:val="24"/>
        </w:rPr>
        <w:t>4</w:t>
      </w:r>
      <w:r w:rsidRPr="00D948C1">
        <w:rPr>
          <w:szCs w:val="24"/>
        </w:rPr>
        <w:t>.</w:t>
      </w:r>
    </w:p>
    <w:p w14:paraId="13192569" w14:textId="77777777" w:rsidR="00A5777A" w:rsidRPr="00D948C1" w:rsidRDefault="00A5777A" w:rsidP="006C0086">
      <w:pPr>
        <w:spacing w:line="276" w:lineRule="auto"/>
        <w:rPr>
          <w:szCs w:val="24"/>
        </w:rPr>
      </w:pPr>
    </w:p>
    <w:p w14:paraId="46BCF9DF" w14:textId="77777777" w:rsidR="00A5777A" w:rsidRPr="00D948C1" w:rsidRDefault="00A5777A" w:rsidP="006C0086">
      <w:pPr>
        <w:spacing w:line="276" w:lineRule="auto"/>
        <w:rPr>
          <w:szCs w:val="24"/>
        </w:rPr>
      </w:pPr>
      <w:r w:rsidRPr="00D948C1">
        <w:rPr>
          <w:szCs w:val="24"/>
        </w:rPr>
        <w:t>In preparing this Statement of Accounts, the Treasurer has:</w:t>
      </w:r>
    </w:p>
    <w:p w14:paraId="5ACAB9D9" w14:textId="77777777" w:rsidR="00A5777A" w:rsidRPr="00D948C1" w:rsidRDefault="00A5777A" w:rsidP="006C0086">
      <w:pPr>
        <w:spacing w:line="276" w:lineRule="auto"/>
        <w:rPr>
          <w:szCs w:val="24"/>
        </w:rPr>
      </w:pPr>
    </w:p>
    <w:p w14:paraId="2E48B1DE" w14:textId="77777777" w:rsidR="00A5777A" w:rsidRPr="00D948C1" w:rsidRDefault="00A5777A" w:rsidP="006C0086">
      <w:pPr>
        <w:numPr>
          <w:ilvl w:val="0"/>
          <w:numId w:val="29"/>
        </w:numPr>
        <w:spacing w:line="276" w:lineRule="auto"/>
        <w:rPr>
          <w:szCs w:val="24"/>
        </w:rPr>
      </w:pPr>
      <w:r w:rsidRPr="00D948C1">
        <w:rPr>
          <w:szCs w:val="24"/>
        </w:rPr>
        <w:t xml:space="preserve">Selected suitable accounting policies and then applied them </w:t>
      </w:r>
      <w:proofErr w:type="gramStart"/>
      <w:r w:rsidRPr="00D948C1">
        <w:rPr>
          <w:szCs w:val="24"/>
        </w:rPr>
        <w:t>consistently;</w:t>
      </w:r>
      <w:proofErr w:type="gramEnd"/>
    </w:p>
    <w:p w14:paraId="35DC6B0A" w14:textId="77777777" w:rsidR="00A5777A" w:rsidRPr="00D948C1" w:rsidRDefault="00A5777A" w:rsidP="006C0086">
      <w:pPr>
        <w:numPr>
          <w:ilvl w:val="0"/>
          <w:numId w:val="29"/>
        </w:numPr>
        <w:spacing w:line="276" w:lineRule="auto"/>
        <w:rPr>
          <w:szCs w:val="24"/>
        </w:rPr>
      </w:pPr>
      <w:r w:rsidRPr="00D948C1">
        <w:rPr>
          <w:szCs w:val="24"/>
        </w:rPr>
        <w:t xml:space="preserve">Made judgements and estimates that were reasonable and </w:t>
      </w:r>
      <w:proofErr w:type="gramStart"/>
      <w:r w:rsidRPr="00D948C1">
        <w:rPr>
          <w:szCs w:val="24"/>
        </w:rPr>
        <w:t>prudent;</w:t>
      </w:r>
      <w:proofErr w:type="gramEnd"/>
    </w:p>
    <w:p w14:paraId="64032CDB" w14:textId="77777777" w:rsidR="00A5777A" w:rsidRPr="00D948C1" w:rsidRDefault="00A5777A" w:rsidP="006C0086">
      <w:pPr>
        <w:numPr>
          <w:ilvl w:val="0"/>
          <w:numId w:val="29"/>
        </w:numPr>
        <w:spacing w:line="276" w:lineRule="auto"/>
        <w:rPr>
          <w:szCs w:val="24"/>
        </w:rPr>
      </w:pPr>
      <w:r w:rsidRPr="00D948C1">
        <w:rPr>
          <w:szCs w:val="24"/>
        </w:rPr>
        <w:t>Complied with the Code.</w:t>
      </w:r>
    </w:p>
    <w:p w14:paraId="68DCBFAC" w14:textId="77777777" w:rsidR="00A5777A" w:rsidRPr="00D948C1" w:rsidRDefault="00A5777A" w:rsidP="006C0086">
      <w:pPr>
        <w:spacing w:line="276" w:lineRule="auto"/>
        <w:rPr>
          <w:szCs w:val="24"/>
        </w:rPr>
      </w:pPr>
    </w:p>
    <w:p w14:paraId="77B21BD2" w14:textId="77777777" w:rsidR="00A5777A" w:rsidRPr="00D948C1" w:rsidRDefault="00A5777A" w:rsidP="006C0086">
      <w:pPr>
        <w:spacing w:line="276" w:lineRule="auto"/>
        <w:rPr>
          <w:szCs w:val="24"/>
        </w:rPr>
      </w:pPr>
      <w:r w:rsidRPr="00D948C1">
        <w:rPr>
          <w:szCs w:val="24"/>
        </w:rPr>
        <w:t>The Treasurer has also:</w:t>
      </w:r>
    </w:p>
    <w:p w14:paraId="06E24E8A" w14:textId="77777777" w:rsidR="00A5777A" w:rsidRPr="00D948C1" w:rsidRDefault="00A5777A" w:rsidP="006C0086">
      <w:pPr>
        <w:spacing w:line="276" w:lineRule="auto"/>
        <w:rPr>
          <w:szCs w:val="24"/>
        </w:rPr>
      </w:pPr>
    </w:p>
    <w:p w14:paraId="32EBB25D" w14:textId="77777777" w:rsidR="00A5777A" w:rsidRPr="00D948C1" w:rsidRDefault="00A5777A" w:rsidP="006C0086">
      <w:pPr>
        <w:numPr>
          <w:ilvl w:val="0"/>
          <w:numId w:val="29"/>
        </w:numPr>
        <w:spacing w:line="276" w:lineRule="auto"/>
        <w:rPr>
          <w:szCs w:val="24"/>
        </w:rPr>
      </w:pPr>
      <w:r w:rsidRPr="00D948C1">
        <w:rPr>
          <w:szCs w:val="24"/>
        </w:rPr>
        <w:t xml:space="preserve">Kept proper accounting records which were </w:t>
      </w:r>
      <w:proofErr w:type="gramStart"/>
      <w:r w:rsidRPr="00D948C1">
        <w:rPr>
          <w:szCs w:val="24"/>
        </w:rPr>
        <w:t>up-to-date;</w:t>
      </w:r>
      <w:proofErr w:type="gramEnd"/>
    </w:p>
    <w:p w14:paraId="17267666" w14:textId="77777777" w:rsidR="00A5777A" w:rsidRPr="00D948C1" w:rsidRDefault="00A5777A" w:rsidP="006C0086">
      <w:pPr>
        <w:numPr>
          <w:ilvl w:val="0"/>
          <w:numId w:val="29"/>
        </w:numPr>
        <w:spacing w:line="276" w:lineRule="auto"/>
        <w:rPr>
          <w:szCs w:val="24"/>
        </w:rPr>
      </w:pPr>
      <w:r w:rsidRPr="00D948C1">
        <w:rPr>
          <w:szCs w:val="24"/>
        </w:rPr>
        <w:t>Taken reasonable steps for the prevention and detection of fraud and other irregularities.</w:t>
      </w:r>
    </w:p>
    <w:p w14:paraId="3998EE03" w14:textId="77777777" w:rsidR="00A5777A" w:rsidRPr="00D948C1" w:rsidRDefault="00A5777A" w:rsidP="006C0086">
      <w:pPr>
        <w:spacing w:line="276" w:lineRule="auto"/>
        <w:jc w:val="both"/>
        <w:rPr>
          <w:sz w:val="22"/>
        </w:rPr>
      </w:pPr>
    </w:p>
    <w:tbl>
      <w:tblPr>
        <w:tblW w:w="0" w:type="auto"/>
        <w:tblLayout w:type="fixed"/>
        <w:tblLook w:val="0000" w:firstRow="0" w:lastRow="0" w:firstColumn="0" w:lastColumn="0" w:noHBand="0" w:noVBand="0"/>
      </w:tblPr>
      <w:tblGrid>
        <w:gridCol w:w="4621"/>
        <w:gridCol w:w="4621"/>
      </w:tblGrid>
      <w:tr w:rsidR="00A5777A" w:rsidRPr="00D948C1" w14:paraId="08A61897" w14:textId="77777777" w:rsidTr="0084741F">
        <w:trPr>
          <w:trHeight w:val="702"/>
        </w:trPr>
        <w:tc>
          <w:tcPr>
            <w:tcW w:w="4621" w:type="dxa"/>
          </w:tcPr>
          <w:p w14:paraId="3AEFC374" w14:textId="77777777" w:rsidR="00A5777A" w:rsidRPr="00D948C1" w:rsidRDefault="00A5777A" w:rsidP="006C0086">
            <w:pPr>
              <w:spacing w:line="276" w:lineRule="auto"/>
              <w:jc w:val="both"/>
              <w:rPr>
                <w:rFonts w:ascii="Brush Script MT" w:hAnsi="Brush Script MT"/>
                <w:sz w:val="48"/>
                <w:szCs w:val="48"/>
              </w:rPr>
            </w:pPr>
            <w:r w:rsidRPr="00D948C1">
              <w:rPr>
                <w:rFonts w:ascii="Brush Script MT" w:hAnsi="Brush Script MT"/>
                <w:sz w:val="48"/>
                <w:szCs w:val="48"/>
              </w:rPr>
              <w:t>Steven Brown</w:t>
            </w:r>
          </w:p>
          <w:p w14:paraId="1B2A153B" w14:textId="77777777" w:rsidR="00A5777A" w:rsidRPr="00D948C1" w:rsidRDefault="00A5777A" w:rsidP="006C0086">
            <w:pPr>
              <w:spacing w:line="276" w:lineRule="auto"/>
              <w:jc w:val="both"/>
              <w:rPr>
                <w:sz w:val="22"/>
              </w:rPr>
            </w:pPr>
          </w:p>
        </w:tc>
        <w:tc>
          <w:tcPr>
            <w:tcW w:w="4621" w:type="dxa"/>
          </w:tcPr>
          <w:p w14:paraId="0DF72584" w14:textId="68471D7D" w:rsidR="00BC3251" w:rsidRPr="00D948C1" w:rsidRDefault="00BC3251" w:rsidP="006C0086">
            <w:pPr>
              <w:spacing w:line="276" w:lineRule="auto"/>
              <w:jc w:val="both"/>
              <w:rPr>
                <w:rFonts w:ascii="Brush Script MT" w:hAnsi="Brush Script MT"/>
                <w:sz w:val="48"/>
                <w:szCs w:val="48"/>
              </w:rPr>
            </w:pPr>
            <w:r w:rsidRPr="00D948C1">
              <w:rPr>
                <w:rFonts w:ascii="Brush Script MT" w:hAnsi="Brush Script MT"/>
                <w:sz w:val="48"/>
                <w:szCs w:val="48"/>
              </w:rPr>
              <w:t>Mark Clifford</w:t>
            </w:r>
          </w:p>
          <w:p w14:paraId="36662BAB" w14:textId="77777777" w:rsidR="00A5777A" w:rsidRPr="00D948C1" w:rsidRDefault="00A5777A" w:rsidP="006C0086">
            <w:pPr>
              <w:spacing w:line="276" w:lineRule="auto"/>
              <w:jc w:val="both"/>
              <w:rPr>
                <w:sz w:val="22"/>
              </w:rPr>
            </w:pPr>
          </w:p>
        </w:tc>
      </w:tr>
      <w:tr w:rsidR="00A5777A" w:rsidRPr="00D948C1" w14:paraId="3AF5C2F8" w14:textId="77777777" w:rsidTr="0084741F">
        <w:trPr>
          <w:trHeight w:val="702"/>
        </w:trPr>
        <w:tc>
          <w:tcPr>
            <w:tcW w:w="4621" w:type="dxa"/>
          </w:tcPr>
          <w:p w14:paraId="670A07AF" w14:textId="77777777" w:rsidR="00A5777A" w:rsidRPr="00D948C1" w:rsidRDefault="00A5777A" w:rsidP="006C0086">
            <w:pPr>
              <w:spacing w:line="276" w:lineRule="auto"/>
              <w:rPr>
                <w:szCs w:val="24"/>
              </w:rPr>
            </w:pPr>
            <w:r w:rsidRPr="00D948C1">
              <w:rPr>
                <w:szCs w:val="24"/>
              </w:rPr>
              <w:t>Steven Brown CGMA</w:t>
            </w:r>
          </w:p>
          <w:p w14:paraId="06D5B293" w14:textId="77777777" w:rsidR="00A5777A" w:rsidRPr="00D948C1" w:rsidRDefault="00A5777A" w:rsidP="006C0086">
            <w:pPr>
              <w:pStyle w:val="00-Normal-BB"/>
              <w:spacing w:line="276" w:lineRule="auto"/>
              <w:jc w:val="left"/>
              <w:rPr>
                <w:rFonts w:eastAsia="Times New Roman"/>
                <w:sz w:val="24"/>
                <w:szCs w:val="24"/>
              </w:rPr>
            </w:pPr>
            <w:r w:rsidRPr="00D948C1">
              <w:rPr>
                <w:rFonts w:eastAsia="Times New Roman"/>
                <w:sz w:val="24"/>
                <w:szCs w:val="24"/>
              </w:rPr>
              <w:t>Treasurer to the Combined Fire Authority</w:t>
            </w:r>
          </w:p>
          <w:p w14:paraId="4F305764" w14:textId="6DB3F8A5" w:rsidR="00A5777A" w:rsidRPr="00D948C1" w:rsidRDefault="00844496" w:rsidP="006C0086">
            <w:pPr>
              <w:pStyle w:val="00-Normal-BB"/>
              <w:spacing w:line="276" w:lineRule="auto"/>
              <w:jc w:val="left"/>
              <w:rPr>
                <w:sz w:val="24"/>
                <w:szCs w:val="24"/>
              </w:rPr>
            </w:pPr>
            <w:r>
              <w:rPr>
                <w:szCs w:val="24"/>
              </w:rPr>
              <w:t>25</w:t>
            </w:r>
            <w:r w:rsidRPr="00844496">
              <w:rPr>
                <w:szCs w:val="24"/>
                <w:vertAlign w:val="superscript"/>
              </w:rPr>
              <w:t>th</w:t>
            </w:r>
            <w:r>
              <w:rPr>
                <w:szCs w:val="24"/>
              </w:rPr>
              <w:t xml:space="preserve"> November 2024</w:t>
            </w:r>
          </w:p>
        </w:tc>
        <w:tc>
          <w:tcPr>
            <w:tcW w:w="4621" w:type="dxa"/>
          </w:tcPr>
          <w:p w14:paraId="0C9574B1" w14:textId="2896CE9F" w:rsidR="00A5777A" w:rsidRPr="00D948C1" w:rsidRDefault="00E949AD" w:rsidP="006C0086">
            <w:pPr>
              <w:spacing w:line="276" w:lineRule="auto"/>
              <w:rPr>
                <w:szCs w:val="24"/>
              </w:rPr>
            </w:pPr>
            <w:r w:rsidRPr="00D948C1">
              <w:rPr>
                <w:szCs w:val="24"/>
              </w:rPr>
              <w:t>Mark Clifford</w:t>
            </w:r>
          </w:p>
          <w:p w14:paraId="5CAA6A37" w14:textId="77777777" w:rsidR="00A5777A" w:rsidRPr="00D948C1" w:rsidRDefault="00A5777A" w:rsidP="006C0086">
            <w:pPr>
              <w:spacing w:line="276" w:lineRule="auto"/>
              <w:rPr>
                <w:szCs w:val="24"/>
              </w:rPr>
            </w:pPr>
            <w:r w:rsidRPr="00D948C1">
              <w:rPr>
                <w:szCs w:val="24"/>
              </w:rPr>
              <w:t>Chair of Audit Committee</w:t>
            </w:r>
          </w:p>
          <w:p w14:paraId="10B99780" w14:textId="3009CCA6" w:rsidR="00A5777A" w:rsidRPr="00D948C1" w:rsidRDefault="00844496" w:rsidP="006C0086">
            <w:pPr>
              <w:spacing w:line="276" w:lineRule="auto"/>
              <w:rPr>
                <w:szCs w:val="24"/>
              </w:rPr>
            </w:pPr>
            <w:r>
              <w:rPr>
                <w:szCs w:val="24"/>
              </w:rPr>
              <w:t>25</w:t>
            </w:r>
            <w:r w:rsidRPr="00844496">
              <w:rPr>
                <w:szCs w:val="24"/>
                <w:vertAlign w:val="superscript"/>
              </w:rPr>
              <w:t>th</w:t>
            </w:r>
            <w:r>
              <w:rPr>
                <w:szCs w:val="24"/>
                <w:vertAlign w:val="superscript"/>
              </w:rPr>
              <w:t xml:space="preserve"> </w:t>
            </w:r>
            <w:r>
              <w:rPr>
                <w:szCs w:val="24"/>
              </w:rPr>
              <w:t>November 2024</w:t>
            </w:r>
          </w:p>
        </w:tc>
      </w:tr>
    </w:tbl>
    <w:p w14:paraId="09E55D4F" w14:textId="06AFE325" w:rsidR="0077530B" w:rsidRPr="00D948C1" w:rsidRDefault="00234514" w:rsidP="006C0086">
      <w:pPr>
        <w:autoSpaceDE w:val="0"/>
        <w:autoSpaceDN w:val="0"/>
        <w:adjustRightInd w:val="0"/>
        <w:spacing w:line="276" w:lineRule="auto"/>
        <w:rPr>
          <w:rFonts w:cs="Arial"/>
          <w:szCs w:val="24"/>
        </w:rPr>
      </w:pPr>
      <w:r w:rsidRPr="00D948C1">
        <w:rPr>
          <w:iCs/>
          <w:sz w:val="22"/>
          <w:szCs w:val="22"/>
          <w:lang w:eastAsia="en-GB"/>
        </w:rPr>
        <w:br w:type="page"/>
      </w:r>
    </w:p>
    <w:p w14:paraId="09BB1810" w14:textId="4CD4B8F8" w:rsidR="006B4BE1" w:rsidRPr="00D948C1" w:rsidRDefault="00490917" w:rsidP="006C0086">
      <w:pPr>
        <w:pStyle w:val="Heading1"/>
        <w:spacing w:line="276" w:lineRule="auto"/>
        <w:rPr>
          <w:rFonts w:cs="Arial"/>
          <w:iCs/>
          <w:szCs w:val="24"/>
          <w:lang w:eastAsia="en-GB"/>
        </w:rPr>
      </w:pPr>
      <w:bookmarkStart w:id="10" w:name="Responsibilities"/>
      <w:bookmarkStart w:id="11" w:name="_Toc171068778"/>
      <w:bookmarkEnd w:id="10"/>
      <w:r w:rsidRPr="00D948C1">
        <w:rPr>
          <w:szCs w:val="24"/>
        </w:rPr>
        <w:lastRenderedPageBreak/>
        <w:t>Explanation of Financial Statements</w:t>
      </w:r>
      <w:bookmarkEnd w:id="11"/>
    </w:p>
    <w:p w14:paraId="5A1013BE" w14:textId="77777777" w:rsidR="006B4BE1" w:rsidRPr="00D948C1" w:rsidRDefault="006B4BE1" w:rsidP="006C0086">
      <w:pPr>
        <w:spacing w:line="276" w:lineRule="auto"/>
        <w:rPr>
          <w:szCs w:val="24"/>
        </w:rPr>
      </w:pPr>
    </w:p>
    <w:p w14:paraId="2ED691DF" w14:textId="7CD0FE6C" w:rsidR="006B4BE1" w:rsidRPr="00D948C1" w:rsidRDefault="00490917" w:rsidP="006C0086">
      <w:pPr>
        <w:spacing w:line="276" w:lineRule="auto"/>
        <w:rPr>
          <w:szCs w:val="24"/>
        </w:rPr>
      </w:pPr>
      <w:r w:rsidRPr="00D948C1">
        <w:rPr>
          <w:szCs w:val="24"/>
        </w:rPr>
        <w:t>Comprehensive Income and Expenditure Statement</w:t>
      </w:r>
    </w:p>
    <w:p w14:paraId="78A6E496" w14:textId="77777777" w:rsidR="006B4BE1" w:rsidRPr="00D948C1" w:rsidRDefault="006B4BE1" w:rsidP="006C0086">
      <w:pPr>
        <w:spacing w:line="276" w:lineRule="auto"/>
        <w:jc w:val="both"/>
        <w:rPr>
          <w:sz w:val="22"/>
        </w:rPr>
      </w:pPr>
    </w:p>
    <w:p w14:paraId="2974E6F3" w14:textId="77777777" w:rsidR="00490917" w:rsidRPr="00D948C1" w:rsidRDefault="00490917" w:rsidP="006C0086">
      <w:pPr>
        <w:spacing w:line="276" w:lineRule="auto"/>
        <w:rPr>
          <w:szCs w:val="24"/>
        </w:rPr>
      </w:pPr>
      <w:r w:rsidRPr="00D948C1">
        <w:rPr>
          <w:szCs w:val="24"/>
        </w:rPr>
        <w:t xml:space="preserve">This statement shows the accounting cost in the year of providing services in accordance with generally accepted accounting practices, rather than the amount funded from taxation. Authorities raise taxation to cover expenditure in accordance with regulations; this may be different from the accounting cost. The taxation position is shown in both the Expenditure and Funding Analysis and the Movement in Reserves Statement. </w:t>
      </w:r>
    </w:p>
    <w:p w14:paraId="3FBFA4EB" w14:textId="77777777" w:rsidR="00490917" w:rsidRPr="00D948C1" w:rsidRDefault="00490917" w:rsidP="006C0086">
      <w:pPr>
        <w:spacing w:line="276" w:lineRule="auto"/>
        <w:rPr>
          <w:szCs w:val="24"/>
        </w:rPr>
      </w:pPr>
    </w:p>
    <w:p w14:paraId="07B79A45" w14:textId="572ED2B9" w:rsidR="00490917" w:rsidRPr="00D948C1" w:rsidRDefault="00490917" w:rsidP="006C0086">
      <w:pPr>
        <w:spacing w:line="276" w:lineRule="auto"/>
        <w:rPr>
          <w:szCs w:val="24"/>
        </w:rPr>
      </w:pPr>
      <w:r w:rsidRPr="00D948C1">
        <w:rPr>
          <w:szCs w:val="24"/>
        </w:rPr>
        <w:t>Movement in Reserves Statement</w:t>
      </w:r>
    </w:p>
    <w:p w14:paraId="5D67B02E" w14:textId="77777777" w:rsidR="00490917" w:rsidRPr="00D948C1" w:rsidRDefault="00490917" w:rsidP="006C0086">
      <w:pPr>
        <w:spacing w:line="276" w:lineRule="auto"/>
        <w:rPr>
          <w:szCs w:val="24"/>
        </w:rPr>
      </w:pPr>
    </w:p>
    <w:p w14:paraId="0F959B18" w14:textId="424DE8E8" w:rsidR="00490917" w:rsidRPr="00D948C1" w:rsidRDefault="00490917" w:rsidP="006C0086">
      <w:pPr>
        <w:spacing w:line="276" w:lineRule="auto"/>
        <w:ind w:right="-341"/>
        <w:rPr>
          <w:szCs w:val="24"/>
        </w:rPr>
      </w:pPr>
      <w:r w:rsidRPr="00D948C1">
        <w:rPr>
          <w:szCs w:val="24"/>
        </w:rPr>
        <w:t xml:space="preserve">This statement shows the movement in the year on the different reserves held by the Authority, analysed into ‘Usable Reserves’ </w:t>
      </w:r>
      <w:proofErr w:type="gramStart"/>
      <w:r w:rsidRPr="00D948C1">
        <w:rPr>
          <w:szCs w:val="24"/>
        </w:rPr>
        <w:t>( those</w:t>
      </w:r>
      <w:proofErr w:type="gramEnd"/>
      <w:r w:rsidRPr="00D948C1">
        <w:rPr>
          <w:szCs w:val="24"/>
        </w:rPr>
        <w:t xml:space="preserve"> that can be applied to fund expenditure or reduce local taxation) and other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Fund Balance and the Comprehensive Income and Expenditure Statement for council tax setting purposes. The Net Increase/Decrease before Transfers to Earmarked Reserves line shows the statutory General Fund Balance before any discretionary transfers to or from Earmarked Reserves undertaken by the Authority. </w:t>
      </w:r>
    </w:p>
    <w:p w14:paraId="12EF47FE" w14:textId="77777777" w:rsidR="00490917" w:rsidRPr="00D948C1" w:rsidRDefault="00490917" w:rsidP="006C0086">
      <w:pPr>
        <w:spacing w:line="276" w:lineRule="auto"/>
        <w:rPr>
          <w:szCs w:val="24"/>
        </w:rPr>
      </w:pPr>
    </w:p>
    <w:p w14:paraId="0534DDA6" w14:textId="53BB7093" w:rsidR="00490917" w:rsidRPr="00D948C1" w:rsidRDefault="00490917" w:rsidP="006C0086">
      <w:pPr>
        <w:spacing w:line="276" w:lineRule="auto"/>
        <w:rPr>
          <w:szCs w:val="24"/>
        </w:rPr>
      </w:pPr>
      <w:r w:rsidRPr="00D948C1">
        <w:rPr>
          <w:szCs w:val="24"/>
        </w:rPr>
        <w:t>Balance Sheet</w:t>
      </w:r>
    </w:p>
    <w:p w14:paraId="0BA14997" w14:textId="77777777" w:rsidR="00490917" w:rsidRPr="00D948C1" w:rsidRDefault="00490917" w:rsidP="006C0086">
      <w:pPr>
        <w:spacing w:line="276" w:lineRule="auto"/>
        <w:rPr>
          <w:szCs w:val="24"/>
        </w:rPr>
      </w:pPr>
    </w:p>
    <w:p w14:paraId="655DB25B" w14:textId="030859DE" w:rsidR="00490917" w:rsidRPr="00D948C1" w:rsidRDefault="00490917" w:rsidP="006C0086">
      <w:pPr>
        <w:pStyle w:val="BalloonText"/>
        <w:spacing w:line="276" w:lineRule="auto"/>
        <w:rPr>
          <w:rFonts w:ascii="Arial" w:hAnsi="Arial"/>
          <w:sz w:val="24"/>
          <w:szCs w:val="24"/>
        </w:rPr>
      </w:pPr>
      <w:r w:rsidRPr="00D948C1">
        <w:rPr>
          <w:rFonts w:ascii="Arial" w:hAnsi="Arial"/>
          <w:sz w:val="24"/>
          <w:szCs w:val="24"/>
        </w:rPr>
        <w:t xml:space="preserve">The Balance Sheet shows the value as at the Balance Sheet date of the assets and liabilities recognised by the Authority. The net assets of the Authority (assets less liabilities) are matched by the reserves held by the Authority. Reserves are reported in two categories, usable reserves are those that the Authority may use to provide services, subject to the need to maintain a prudent level of reserves and any statutory limitations on their use (for example capital receipts may only be used to fund capital expenditure). The second category is unusable </w:t>
      </w:r>
      <w:r w:rsidR="00B66D51" w:rsidRPr="00D948C1">
        <w:rPr>
          <w:rFonts w:ascii="Arial" w:hAnsi="Arial"/>
          <w:sz w:val="24"/>
          <w:szCs w:val="24"/>
        </w:rPr>
        <w:t>reserves and</w:t>
      </w:r>
      <w:r w:rsidRPr="00D948C1">
        <w:rPr>
          <w:rFonts w:ascii="Arial" w:hAnsi="Arial"/>
          <w:sz w:val="24"/>
          <w:szCs w:val="24"/>
        </w:rPr>
        <w:t xml:space="preserve"> includes reserves that hold unrealised gains and losses (</w:t>
      </w:r>
      <w:r w:rsidR="00AA3FF8">
        <w:rPr>
          <w:rFonts w:ascii="Arial" w:hAnsi="Arial"/>
          <w:sz w:val="24"/>
          <w:szCs w:val="24"/>
        </w:rPr>
        <w:t>for example</w:t>
      </w:r>
      <w:r w:rsidRPr="00D948C1">
        <w:rPr>
          <w:rFonts w:ascii="Arial" w:hAnsi="Arial"/>
          <w:sz w:val="24"/>
          <w:szCs w:val="24"/>
        </w:rPr>
        <w:t xml:space="preserve"> the revaluation reserve), where amounts would only become available to provide services if the assets are sold; and reserves that hold timing differences shown in the Movement in Reserves Statement line ‘Adjustments between accounting basis and funding basis under </w:t>
      </w:r>
      <w:proofErr w:type="gramStart"/>
      <w:r w:rsidRPr="00D948C1">
        <w:rPr>
          <w:rFonts w:ascii="Arial" w:hAnsi="Arial"/>
          <w:sz w:val="24"/>
          <w:szCs w:val="24"/>
        </w:rPr>
        <w:t>regulations’</w:t>
      </w:r>
      <w:proofErr w:type="gramEnd"/>
      <w:r w:rsidRPr="00D948C1">
        <w:rPr>
          <w:rFonts w:ascii="Arial" w:hAnsi="Arial"/>
          <w:sz w:val="24"/>
          <w:szCs w:val="24"/>
        </w:rPr>
        <w:t>.</w:t>
      </w:r>
    </w:p>
    <w:p w14:paraId="5EBAFCE6" w14:textId="77777777" w:rsidR="00490917" w:rsidRPr="00D948C1" w:rsidRDefault="00490917" w:rsidP="006C0086">
      <w:pPr>
        <w:spacing w:line="276" w:lineRule="auto"/>
        <w:rPr>
          <w:szCs w:val="24"/>
        </w:rPr>
      </w:pPr>
    </w:p>
    <w:p w14:paraId="30D3355E" w14:textId="046424AE" w:rsidR="00490917" w:rsidRPr="00D948C1" w:rsidRDefault="00490917" w:rsidP="006C0086">
      <w:pPr>
        <w:spacing w:line="276" w:lineRule="auto"/>
        <w:rPr>
          <w:szCs w:val="24"/>
        </w:rPr>
        <w:sectPr w:rsidR="00490917" w:rsidRPr="00D948C1" w:rsidSect="0050229D">
          <w:headerReference w:type="even" r:id="rId26"/>
          <w:headerReference w:type="default" r:id="rId27"/>
          <w:footerReference w:type="even" r:id="rId28"/>
          <w:footerReference w:type="default" r:id="rId29"/>
          <w:headerReference w:type="first" r:id="rId30"/>
          <w:footerReference w:type="first" r:id="rId31"/>
          <w:pgSz w:w="11907" w:h="16840" w:code="9"/>
          <w:pgMar w:top="851" w:right="851" w:bottom="737" w:left="1134" w:header="720" w:footer="720" w:gutter="0"/>
          <w:pgNumType w:start="1"/>
          <w:cols w:space="720"/>
        </w:sectPr>
      </w:pPr>
    </w:p>
    <w:p w14:paraId="46B3D8AE" w14:textId="2F93E239" w:rsidR="003601D2" w:rsidRPr="00D948C1" w:rsidRDefault="002618EE" w:rsidP="006C0086">
      <w:pPr>
        <w:pStyle w:val="Heading1"/>
        <w:spacing w:line="276" w:lineRule="auto"/>
        <w:rPr>
          <w:szCs w:val="24"/>
        </w:rPr>
      </w:pPr>
      <w:bookmarkStart w:id="12" w:name="CIES"/>
      <w:bookmarkStart w:id="13" w:name="_Toc171068779"/>
      <w:bookmarkEnd w:id="12"/>
      <w:r w:rsidRPr="00D948C1">
        <w:rPr>
          <w:szCs w:val="24"/>
        </w:rPr>
        <w:lastRenderedPageBreak/>
        <w:t>Comprehensive Income and Expenditure Statement</w:t>
      </w:r>
      <w:bookmarkEnd w:id="13"/>
    </w:p>
    <w:p w14:paraId="2F66E868" w14:textId="34F0AFB0" w:rsidR="003601D2" w:rsidRPr="00D948C1" w:rsidRDefault="003601D2" w:rsidP="006C0086">
      <w:pPr>
        <w:spacing w:line="276" w:lineRule="auto"/>
        <w:rPr>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5"/>
        <w:gridCol w:w="1100"/>
        <w:gridCol w:w="1497"/>
        <w:gridCol w:w="1298"/>
        <w:gridCol w:w="1497"/>
        <w:gridCol w:w="1497"/>
        <w:gridCol w:w="1298"/>
        <w:gridCol w:w="1497"/>
      </w:tblGrid>
      <w:tr w:rsidR="008F7B73" w:rsidRPr="00D948C1" w14:paraId="6FE25F9C" w14:textId="77777777" w:rsidTr="00BD79B2">
        <w:trPr>
          <w:tblHeader/>
        </w:trPr>
        <w:tc>
          <w:tcPr>
            <w:tcW w:w="2184" w:type="pct"/>
            <w:gridSpan w:val="2"/>
            <w:shd w:val="clear" w:color="auto" w:fill="BD2716"/>
          </w:tcPr>
          <w:p w14:paraId="11BEC3C7" w14:textId="77777777" w:rsidR="008F7B73" w:rsidRPr="00D948C1" w:rsidRDefault="008F7B73" w:rsidP="006C0086">
            <w:pPr>
              <w:spacing w:line="276" w:lineRule="auto"/>
              <w:jc w:val="center"/>
              <w:rPr>
                <w:rFonts w:cs="Arial"/>
                <w:color w:val="FFFFFF" w:themeColor="background1"/>
                <w:szCs w:val="24"/>
              </w:rPr>
            </w:pPr>
          </w:p>
        </w:tc>
        <w:tc>
          <w:tcPr>
            <w:tcW w:w="491" w:type="pct"/>
            <w:shd w:val="clear" w:color="auto" w:fill="BD2716"/>
            <w:vAlign w:val="center"/>
          </w:tcPr>
          <w:p w14:paraId="42DD9532" w14:textId="70BEFF8B"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2023/24</w:t>
            </w:r>
          </w:p>
        </w:tc>
        <w:tc>
          <w:tcPr>
            <w:tcW w:w="426" w:type="pct"/>
            <w:shd w:val="clear" w:color="auto" w:fill="BD2716"/>
            <w:vAlign w:val="center"/>
          </w:tcPr>
          <w:p w14:paraId="49B17448" w14:textId="437972EA"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2023/24</w:t>
            </w:r>
          </w:p>
        </w:tc>
        <w:tc>
          <w:tcPr>
            <w:tcW w:w="491" w:type="pct"/>
            <w:shd w:val="clear" w:color="auto" w:fill="BD2716"/>
            <w:vAlign w:val="center"/>
          </w:tcPr>
          <w:p w14:paraId="37C6D52F" w14:textId="4A3A75FA"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2023/24</w:t>
            </w:r>
          </w:p>
        </w:tc>
        <w:tc>
          <w:tcPr>
            <w:tcW w:w="491" w:type="pct"/>
            <w:shd w:val="clear" w:color="auto" w:fill="BD2716"/>
            <w:vAlign w:val="center"/>
          </w:tcPr>
          <w:p w14:paraId="6538A3D8" w14:textId="3924B3B5"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2022/23</w:t>
            </w:r>
          </w:p>
        </w:tc>
        <w:tc>
          <w:tcPr>
            <w:tcW w:w="426" w:type="pct"/>
            <w:shd w:val="clear" w:color="auto" w:fill="BD2716"/>
            <w:vAlign w:val="center"/>
          </w:tcPr>
          <w:p w14:paraId="48F27F44" w14:textId="677D3C95"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2022/23</w:t>
            </w:r>
          </w:p>
        </w:tc>
        <w:tc>
          <w:tcPr>
            <w:tcW w:w="491" w:type="pct"/>
            <w:shd w:val="clear" w:color="auto" w:fill="BD2716"/>
            <w:vAlign w:val="center"/>
          </w:tcPr>
          <w:p w14:paraId="1A093FD4" w14:textId="2DF0869B"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2022/23</w:t>
            </w:r>
          </w:p>
        </w:tc>
      </w:tr>
      <w:tr w:rsidR="0070773E" w:rsidRPr="00D948C1" w14:paraId="19EE22C3" w14:textId="77777777" w:rsidTr="00611673">
        <w:trPr>
          <w:tblHeader/>
        </w:trPr>
        <w:tc>
          <w:tcPr>
            <w:tcW w:w="1823" w:type="pct"/>
            <w:shd w:val="clear" w:color="auto" w:fill="BD2716"/>
            <w:vAlign w:val="bottom"/>
          </w:tcPr>
          <w:p w14:paraId="6D2765AD" w14:textId="7B43C593" w:rsidR="0070773E" w:rsidRPr="00D948C1" w:rsidRDefault="0070773E" w:rsidP="006C0086">
            <w:pPr>
              <w:spacing w:line="276" w:lineRule="auto"/>
              <w:rPr>
                <w:rFonts w:cs="Arial"/>
                <w:color w:val="FFFFFF" w:themeColor="background1"/>
                <w:szCs w:val="24"/>
              </w:rPr>
            </w:pPr>
          </w:p>
        </w:tc>
        <w:tc>
          <w:tcPr>
            <w:tcW w:w="361" w:type="pct"/>
            <w:shd w:val="clear" w:color="auto" w:fill="BD2716"/>
            <w:vAlign w:val="center"/>
          </w:tcPr>
          <w:p w14:paraId="0B3E2190" w14:textId="417DF9EF" w:rsidR="0070773E" w:rsidRPr="00D948C1" w:rsidRDefault="0070773E" w:rsidP="006C0086">
            <w:pPr>
              <w:spacing w:line="276" w:lineRule="auto"/>
              <w:rPr>
                <w:rFonts w:cs="Arial"/>
                <w:color w:val="FFFFFF" w:themeColor="background1"/>
                <w:szCs w:val="24"/>
              </w:rPr>
            </w:pPr>
            <w:r w:rsidRPr="00D948C1">
              <w:rPr>
                <w:rFonts w:cs="Arial"/>
                <w:color w:val="FFFFFF" w:themeColor="background1"/>
                <w:szCs w:val="24"/>
              </w:rPr>
              <w:t>Notes</w:t>
            </w:r>
          </w:p>
        </w:tc>
        <w:tc>
          <w:tcPr>
            <w:tcW w:w="491" w:type="pct"/>
            <w:shd w:val="clear" w:color="auto" w:fill="BD2716"/>
            <w:vAlign w:val="center"/>
          </w:tcPr>
          <w:p w14:paraId="1B747E6F" w14:textId="5156813B"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32D3F751"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5F23210B" w14:textId="250C403B"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26" w:type="pct"/>
            <w:shd w:val="clear" w:color="auto" w:fill="BD2716"/>
            <w:vAlign w:val="center"/>
          </w:tcPr>
          <w:p w14:paraId="61B79017" w14:textId="26DD162A"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2F441DD1"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Income</w:t>
            </w:r>
          </w:p>
          <w:p w14:paraId="5A1FAE2D" w14:textId="773E8F26"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0C69DCCD" w14:textId="77247FAF"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Net</w:t>
            </w:r>
          </w:p>
          <w:p w14:paraId="2B98FCCE"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54485FE4" w14:textId="740103C9"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613363D4" w14:textId="1D02F69D"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014F58D4"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7204DA13" w14:textId="4F36B19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26" w:type="pct"/>
            <w:shd w:val="clear" w:color="auto" w:fill="BD2716"/>
            <w:vAlign w:val="center"/>
          </w:tcPr>
          <w:p w14:paraId="1D583F8D" w14:textId="062A92A3"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71DDE418"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Income</w:t>
            </w:r>
          </w:p>
          <w:p w14:paraId="0942EE26" w14:textId="159FFC1F"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91" w:type="pct"/>
            <w:shd w:val="clear" w:color="auto" w:fill="BD2716"/>
            <w:vAlign w:val="center"/>
          </w:tcPr>
          <w:p w14:paraId="3ABFCFF8" w14:textId="221E1D4B"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Net</w:t>
            </w:r>
          </w:p>
          <w:p w14:paraId="0BD80481" w14:textId="77777777"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6BC25971" w14:textId="46382F62" w:rsidR="0070773E" w:rsidRPr="00D948C1" w:rsidRDefault="0070773E"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233A66" w:rsidRPr="00D948C1" w14:paraId="1D33EFD1" w14:textId="77777777" w:rsidTr="00036C34">
        <w:tc>
          <w:tcPr>
            <w:tcW w:w="5000" w:type="pct"/>
            <w:gridSpan w:val="8"/>
            <w:shd w:val="clear" w:color="auto" w:fill="D9D9D9" w:themeFill="background1" w:themeFillShade="D9"/>
            <w:vAlign w:val="bottom"/>
          </w:tcPr>
          <w:p w14:paraId="13401A0C" w14:textId="26694FFB" w:rsidR="00233A66" w:rsidRPr="00D948C1" w:rsidRDefault="00233A66" w:rsidP="006C0086">
            <w:pPr>
              <w:tabs>
                <w:tab w:val="decimal" w:pos="742"/>
              </w:tabs>
              <w:spacing w:line="276" w:lineRule="auto"/>
              <w:rPr>
                <w:rFonts w:cs="Arial"/>
                <w:b/>
                <w:bCs/>
                <w:szCs w:val="24"/>
              </w:rPr>
            </w:pPr>
            <w:r w:rsidRPr="00D948C1">
              <w:rPr>
                <w:rFonts w:cs="Arial"/>
                <w:b/>
                <w:bCs/>
                <w:szCs w:val="24"/>
              </w:rPr>
              <w:t>Continuing operations:</w:t>
            </w:r>
          </w:p>
        </w:tc>
      </w:tr>
      <w:tr w:rsidR="008F7B73" w:rsidRPr="00D948C1" w14:paraId="2B8F9742" w14:textId="77777777" w:rsidTr="00036C34">
        <w:tc>
          <w:tcPr>
            <w:tcW w:w="1823" w:type="pct"/>
          </w:tcPr>
          <w:p w14:paraId="3E08B6ED" w14:textId="77777777" w:rsidR="008F7B73" w:rsidRPr="00D948C1" w:rsidRDefault="008F7B73" w:rsidP="006C0086">
            <w:pPr>
              <w:spacing w:line="276" w:lineRule="auto"/>
              <w:rPr>
                <w:rFonts w:cs="Arial"/>
                <w:szCs w:val="24"/>
              </w:rPr>
            </w:pPr>
            <w:r w:rsidRPr="00D948C1">
              <w:rPr>
                <w:rFonts w:cs="Arial"/>
                <w:szCs w:val="24"/>
              </w:rPr>
              <w:t>Service Delivery</w:t>
            </w:r>
          </w:p>
        </w:tc>
        <w:tc>
          <w:tcPr>
            <w:tcW w:w="361" w:type="pct"/>
            <w:vAlign w:val="center"/>
          </w:tcPr>
          <w:p w14:paraId="651EE92A" w14:textId="18EA2D74"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6F5E8081" w14:textId="37FD11BE" w:rsidR="008F7B73" w:rsidRPr="00D948C1" w:rsidRDefault="00B567FC" w:rsidP="006C0086">
            <w:pPr>
              <w:tabs>
                <w:tab w:val="decimal" w:pos="884"/>
              </w:tabs>
              <w:spacing w:line="276" w:lineRule="auto"/>
              <w:jc w:val="right"/>
              <w:rPr>
                <w:rFonts w:cs="Arial"/>
                <w:szCs w:val="24"/>
              </w:rPr>
            </w:pPr>
            <w:r w:rsidRPr="00D948C1">
              <w:rPr>
                <w:rFonts w:cs="Arial"/>
                <w:szCs w:val="24"/>
              </w:rPr>
              <w:t>23,174</w:t>
            </w:r>
          </w:p>
        </w:tc>
        <w:tc>
          <w:tcPr>
            <w:tcW w:w="426" w:type="pct"/>
            <w:vAlign w:val="center"/>
          </w:tcPr>
          <w:p w14:paraId="1774CFF9" w14:textId="65C9A847" w:rsidR="008F7B73" w:rsidRPr="00D948C1" w:rsidRDefault="00B567FC" w:rsidP="006C0086">
            <w:pPr>
              <w:tabs>
                <w:tab w:val="decimal" w:pos="742"/>
              </w:tabs>
              <w:spacing w:line="276" w:lineRule="auto"/>
              <w:jc w:val="right"/>
              <w:rPr>
                <w:rFonts w:cs="Arial"/>
                <w:szCs w:val="24"/>
              </w:rPr>
            </w:pPr>
            <w:r w:rsidRPr="00D948C1">
              <w:rPr>
                <w:rFonts w:cs="Arial"/>
                <w:szCs w:val="24"/>
              </w:rPr>
              <w:t>(2,181)</w:t>
            </w:r>
          </w:p>
        </w:tc>
        <w:tc>
          <w:tcPr>
            <w:tcW w:w="491" w:type="pct"/>
            <w:vAlign w:val="center"/>
          </w:tcPr>
          <w:p w14:paraId="775B47B7" w14:textId="294F9AB7" w:rsidR="008F7B73" w:rsidRPr="00D948C1" w:rsidRDefault="00B567FC" w:rsidP="006C0086">
            <w:pPr>
              <w:tabs>
                <w:tab w:val="decimal" w:pos="742"/>
              </w:tabs>
              <w:spacing w:line="276" w:lineRule="auto"/>
              <w:jc w:val="right"/>
              <w:rPr>
                <w:rFonts w:cs="Arial"/>
                <w:szCs w:val="24"/>
              </w:rPr>
            </w:pPr>
            <w:r w:rsidRPr="00D948C1">
              <w:rPr>
                <w:rFonts w:cs="Arial"/>
                <w:szCs w:val="24"/>
              </w:rPr>
              <w:t>20,993</w:t>
            </w:r>
          </w:p>
        </w:tc>
        <w:tc>
          <w:tcPr>
            <w:tcW w:w="491" w:type="pct"/>
            <w:vAlign w:val="center"/>
          </w:tcPr>
          <w:p w14:paraId="03DB2388" w14:textId="6AAFBE5F" w:rsidR="008F7B73" w:rsidRPr="00D948C1" w:rsidRDefault="008F7B73" w:rsidP="006C0086">
            <w:pPr>
              <w:tabs>
                <w:tab w:val="decimal" w:pos="884"/>
              </w:tabs>
              <w:spacing w:line="276" w:lineRule="auto"/>
              <w:jc w:val="right"/>
              <w:rPr>
                <w:rFonts w:cs="Arial"/>
                <w:szCs w:val="24"/>
              </w:rPr>
            </w:pPr>
            <w:r w:rsidRPr="00D948C1">
              <w:rPr>
                <w:rFonts w:cs="Arial"/>
                <w:szCs w:val="24"/>
              </w:rPr>
              <w:t>33,911</w:t>
            </w:r>
          </w:p>
        </w:tc>
        <w:tc>
          <w:tcPr>
            <w:tcW w:w="426" w:type="pct"/>
            <w:vAlign w:val="center"/>
          </w:tcPr>
          <w:p w14:paraId="08EEC930" w14:textId="3F51F08A" w:rsidR="008F7B73" w:rsidRPr="00D948C1" w:rsidRDefault="008F7B73" w:rsidP="006C0086">
            <w:pPr>
              <w:tabs>
                <w:tab w:val="decimal" w:pos="742"/>
              </w:tabs>
              <w:spacing w:line="276" w:lineRule="auto"/>
              <w:jc w:val="right"/>
              <w:rPr>
                <w:rFonts w:cs="Arial"/>
                <w:szCs w:val="24"/>
              </w:rPr>
            </w:pPr>
            <w:r w:rsidRPr="00D948C1">
              <w:rPr>
                <w:rFonts w:cs="Arial"/>
                <w:szCs w:val="24"/>
              </w:rPr>
              <w:t>(2,110)</w:t>
            </w:r>
          </w:p>
        </w:tc>
        <w:tc>
          <w:tcPr>
            <w:tcW w:w="491" w:type="pct"/>
            <w:vAlign w:val="center"/>
          </w:tcPr>
          <w:p w14:paraId="4BA8F36E" w14:textId="34F2A883" w:rsidR="008F7B73" w:rsidRPr="00D948C1" w:rsidRDefault="008F7B73" w:rsidP="006C0086">
            <w:pPr>
              <w:tabs>
                <w:tab w:val="decimal" w:pos="742"/>
              </w:tabs>
              <w:spacing w:line="276" w:lineRule="auto"/>
              <w:jc w:val="right"/>
              <w:rPr>
                <w:rFonts w:cs="Arial"/>
                <w:szCs w:val="24"/>
              </w:rPr>
            </w:pPr>
            <w:r w:rsidRPr="00D948C1">
              <w:rPr>
                <w:rFonts w:cs="Arial"/>
                <w:szCs w:val="24"/>
              </w:rPr>
              <w:t>31,801</w:t>
            </w:r>
          </w:p>
        </w:tc>
      </w:tr>
      <w:tr w:rsidR="008F7B73" w:rsidRPr="00D948C1" w14:paraId="565D8198" w14:textId="77777777" w:rsidTr="00036C34">
        <w:trPr>
          <w:trHeight w:val="246"/>
        </w:trPr>
        <w:tc>
          <w:tcPr>
            <w:tcW w:w="1823" w:type="pct"/>
          </w:tcPr>
          <w:p w14:paraId="2DF266EC" w14:textId="77777777" w:rsidR="008F7B73" w:rsidRPr="00D948C1" w:rsidRDefault="008F7B73" w:rsidP="006C0086">
            <w:pPr>
              <w:spacing w:line="276" w:lineRule="auto"/>
              <w:rPr>
                <w:rFonts w:cs="Arial"/>
                <w:szCs w:val="24"/>
              </w:rPr>
            </w:pPr>
            <w:r w:rsidRPr="00D948C1">
              <w:rPr>
                <w:rFonts w:cs="Arial"/>
                <w:szCs w:val="24"/>
              </w:rPr>
              <w:t>Strategy and Planning</w:t>
            </w:r>
          </w:p>
        </w:tc>
        <w:tc>
          <w:tcPr>
            <w:tcW w:w="361" w:type="pct"/>
            <w:vAlign w:val="center"/>
          </w:tcPr>
          <w:p w14:paraId="5B815C91" w14:textId="6ADE76A2"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47634499" w14:textId="21C50316" w:rsidR="008F7B73" w:rsidRPr="00D948C1" w:rsidRDefault="00B567FC" w:rsidP="006C0086">
            <w:pPr>
              <w:tabs>
                <w:tab w:val="decimal" w:pos="884"/>
              </w:tabs>
              <w:spacing w:line="276" w:lineRule="auto"/>
              <w:jc w:val="right"/>
              <w:rPr>
                <w:rFonts w:cs="Arial"/>
                <w:szCs w:val="24"/>
              </w:rPr>
            </w:pPr>
            <w:r w:rsidRPr="00D948C1">
              <w:rPr>
                <w:rFonts w:cs="Arial"/>
                <w:szCs w:val="24"/>
              </w:rPr>
              <w:t>12,802</w:t>
            </w:r>
          </w:p>
        </w:tc>
        <w:tc>
          <w:tcPr>
            <w:tcW w:w="426" w:type="pct"/>
            <w:vAlign w:val="center"/>
          </w:tcPr>
          <w:p w14:paraId="464B8BC1" w14:textId="25B951E5" w:rsidR="008F7B73" w:rsidRPr="00D948C1" w:rsidRDefault="00B567FC" w:rsidP="006C0086">
            <w:pPr>
              <w:tabs>
                <w:tab w:val="decimal" w:pos="742"/>
              </w:tabs>
              <w:spacing w:line="276" w:lineRule="auto"/>
              <w:jc w:val="right"/>
              <w:rPr>
                <w:rFonts w:cs="Arial"/>
                <w:szCs w:val="24"/>
              </w:rPr>
            </w:pPr>
            <w:r w:rsidRPr="00D948C1">
              <w:rPr>
                <w:rFonts w:cs="Arial"/>
                <w:szCs w:val="24"/>
              </w:rPr>
              <w:t>(736)</w:t>
            </w:r>
          </w:p>
        </w:tc>
        <w:tc>
          <w:tcPr>
            <w:tcW w:w="491" w:type="pct"/>
            <w:vAlign w:val="center"/>
          </w:tcPr>
          <w:p w14:paraId="5B3D53B6" w14:textId="209EE852" w:rsidR="008F7B73" w:rsidRPr="00D948C1" w:rsidRDefault="00B567FC" w:rsidP="006C0086">
            <w:pPr>
              <w:tabs>
                <w:tab w:val="decimal" w:pos="742"/>
              </w:tabs>
              <w:spacing w:line="276" w:lineRule="auto"/>
              <w:jc w:val="right"/>
              <w:rPr>
                <w:rFonts w:cs="Arial"/>
                <w:szCs w:val="24"/>
              </w:rPr>
            </w:pPr>
            <w:r w:rsidRPr="00D948C1">
              <w:rPr>
                <w:rFonts w:cs="Arial"/>
                <w:szCs w:val="24"/>
              </w:rPr>
              <w:t>12,066</w:t>
            </w:r>
          </w:p>
        </w:tc>
        <w:tc>
          <w:tcPr>
            <w:tcW w:w="491" w:type="pct"/>
            <w:vAlign w:val="center"/>
          </w:tcPr>
          <w:p w14:paraId="5AC15CD5" w14:textId="5583C99E" w:rsidR="008F7B73" w:rsidRPr="00D948C1" w:rsidRDefault="008F7B73" w:rsidP="006C0086">
            <w:pPr>
              <w:tabs>
                <w:tab w:val="decimal" w:pos="884"/>
              </w:tabs>
              <w:spacing w:line="276" w:lineRule="auto"/>
              <w:jc w:val="right"/>
              <w:rPr>
                <w:rFonts w:cs="Arial"/>
                <w:szCs w:val="24"/>
              </w:rPr>
            </w:pPr>
            <w:r w:rsidRPr="00D948C1">
              <w:rPr>
                <w:rFonts w:cs="Arial"/>
                <w:szCs w:val="24"/>
              </w:rPr>
              <w:t>12,389</w:t>
            </w:r>
          </w:p>
        </w:tc>
        <w:tc>
          <w:tcPr>
            <w:tcW w:w="426" w:type="pct"/>
            <w:vAlign w:val="center"/>
          </w:tcPr>
          <w:p w14:paraId="471350EA" w14:textId="4E5922C2" w:rsidR="008F7B73" w:rsidRPr="00D948C1" w:rsidRDefault="008F7B73" w:rsidP="006C0086">
            <w:pPr>
              <w:tabs>
                <w:tab w:val="decimal" w:pos="742"/>
              </w:tabs>
              <w:spacing w:line="276" w:lineRule="auto"/>
              <w:jc w:val="right"/>
              <w:rPr>
                <w:rFonts w:cs="Arial"/>
                <w:szCs w:val="24"/>
              </w:rPr>
            </w:pPr>
            <w:r w:rsidRPr="00D948C1">
              <w:rPr>
                <w:rFonts w:cs="Arial"/>
                <w:szCs w:val="24"/>
              </w:rPr>
              <w:t>(847)</w:t>
            </w:r>
          </w:p>
        </w:tc>
        <w:tc>
          <w:tcPr>
            <w:tcW w:w="491" w:type="pct"/>
            <w:vAlign w:val="center"/>
          </w:tcPr>
          <w:p w14:paraId="4B13EC4F" w14:textId="61CAAA99" w:rsidR="008F7B73" w:rsidRPr="00D948C1" w:rsidRDefault="008F7B73" w:rsidP="006C0086">
            <w:pPr>
              <w:tabs>
                <w:tab w:val="decimal" w:pos="742"/>
              </w:tabs>
              <w:spacing w:line="276" w:lineRule="auto"/>
              <w:jc w:val="right"/>
              <w:rPr>
                <w:rFonts w:cs="Arial"/>
                <w:szCs w:val="24"/>
              </w:rPr>
            </w:pPr>
            <w:r w:rsidRPr="00D948C1">
              <w:rPr>
                <w:rFonts w:cs="Arial"/>
                <w:szCs w:val="24"/>
              </w:rPr>
              <w:t>11,542</w:t>
            </w:r>
          </w:p>
        </w:tc>
      </w:tr>
      <w:tr w:rsidR="008F7B73" w:rsidRPr="00D948C1" w14:paraId="79E29584" w14:textId="77777777" w:rsidTr="00036C34">
        <w:tc>
          <w:tcPr>
            <w:tcW w:w="1823" w:type="pct"/>
          </w:tcPr>
          <w:p w14:paraId="5690E280" w14:textId="77777777" w:rsidR="008F7B73" w:rsidRPr="00D948C1" w:rsidRDefault="008F7B73" w:rsidP="006C0086">
            <w:pPr>
              <w:spacing w:line="276" w:lineRule="auto"/>
              <w:rPr>
                <w:rFonts w:cs="Arial"/>
                <w:szCs w:val="24"/>
              </w:rPr>
            </w:pPr>
            <w:r w:rsidRPr="00D948C1">
              <w:rPr>
                <w:rFonts w:cs="Arial"/>
                <w:szCs w:val="24"/>
              </w:rPr>
              <w:t>People and Development</w:t>
            </w:r>
          </w:p>
        </w:tc>
        <w:tc>
          <w:tcPr>
            <w:tcW w:w="361" w:type="pct"/>
            <w:vAlign w:val="center"/>
          </w:tcPr>
          <w:p w14:paraId="1608DAEC" w14:textId="737A073B"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0F4E3347" w14:textId="6F17110B" w:rsidR="008F7B73" w:rsidRPr="00D948C1" w:rsidRDefault="00B567FC" w:rsidP="006C0086">
            <w:pPr>
              <w:tabs>
                <w:tab w:val="decimal" w:pos="884"/>
              </w:tabs>
              <w:spacing w:line="276" w:lineRule="auto"/>
              <w:jc w:val="right"/>
              <w:rPr>
                <w:rFonts w:cs="Arial"/>
                <w:szCs w:val="24"/>
              </w:rPr>
            </w:pPr>
            <w:r w:rsidRPr="00D948C1">
              <w:rPr>
                <w:rFonts w:cs="Arial"/>
                <w:szCs w:val="24"/>
              </w:rPr>
              <w:t>2,081</w:t>
            </w:r>
          </w:p>
        </w:tc>
        <w:tc>
          <w:tcPr>
            <w:tcW w:w="426" w:type="pct"/>
            <w:vAlign w:val="center"/>
          </w:tcPr>
          <w:p w14:paraId="4611D80D" w14:textId="51672B97" w:rsidR="008F7B73" w:rsidRPr="00D948C1" w:rsidRDefault="00B567FC" w:rsidP="006C0086">
            <w:pPr>
              <w:tabs>
                <w:tab w:val="decimal" w:pos="742"/>
              </w:tabs>
              <w:spacing w:line="276" w:lineRule="auto"/>
              <w:jc w:val="right"/>
              <w:rPr>
                <w:rFonts w:cs="Arial"/>
                <w:szCs w:val="24"/>
              </w:rPr>
            </w:pPr>
            <w:r w:rsidRPr="00D948C1">
              <w:rPr>
                <w:rFonts w:cs="Arial"/>
                <w:szCs w:val="24"/>
              </w:rPr>
              <w:t>-</w:t>
            </w:r>
          </w:p>
        </w:tc>
        <w:tc>
          <w:tcPr>
            <w:tcW w:w="491" w:type="pct"/>
            <w:vAlign w:val="center"/>
          </w:tcPr>
          <w:p w14:paraId="359A3979" w14:textId="2FC7F7E2" w:rsidR="008F7B73" w:rsidRPr="00D948C1" w:rsidRDefault="00B567FC" w:rsidP="006C0086">
            <w:pPr>
              <w:tabs>
                <w:tab w:val="decimal" w:pos="742"/>
              </w:tabs>
              <w:spacing w:line="276" w:lineRule="auto"/>
              <w:jc w:val="right"/>
              <w:rPr>
                <w:rFonts w:cs="Arial"/>
                <w:szCs w:val="24"/>
              </w:rPr>
            </w:pPr>
            <w:r w:rsidRPr="00D948C1">
              <w:rPr>
                <w:rFonts w:cs="Arial"/>
                <w:szCs w:val="24"/>
              </w:rPr>
              <w:t>2,081</w:t>
            </w:r>
          </w:p>
        </w:tc>
        <w:tc>
          <w:tcPr>
            <w:tcW w:w="491" w:type="pct"/>
            <w:vAlign w:val="center"/>
          </w:tcPr>
          <w:p w14:paraId="789BAD1F" w14:textId="0589B76D" w:rsidR="008F7B73" w:rsidRPr="00D948C1" w:rsidRDefault="008F7B73" w:rsidP="006C0086">
            <w:pPr>
              <w:tabs>
                <w:tab w:val="decimal" w:pos="884"/>
              </w:tabs>
              <w:spacing w:line="276" w:lineRule="auto"/>
              <w:jc w:val="right"/>
              <w:rPr>
                <w:rFonts w:cs="Arial"/>
                <w:szCs w:val="24"/>
              </w:rPr>
            </w:pPr>
            <w:r w:rsidRPr="00D948C1">
              <w:rPr>
                <w:rFonts w:cs="Arial"/>
                <w:szCs w:val="24"/>
              </w:rPr>
              <w:t>2,334</w:t>
            </w:r>
          </w:p>
        </w:tc>
        <w:tc>
          <w:tcPr>
            <w:tcW w:w="426" w:type="pct"/>
            <w:vAlign w:val="center"/>
          </w:tcPr>
          <w:p w14:paraId="074D7A1F" w14:textId="51EE616B" w:rsidR="008F7B73" w:rsidRPr="00D948C1" w:rsidRDefault="008F7B73" w:rsidP="006C0086">
            <w:pPr>
              <w:tabs>
                <w:tab w:val="decimal" w:pos="742"/>
              </w:tabs>
              <w:spacing w:line="276" w:lineRule="auto"/>
              <w:jc w:val="right"/>
              <w:rPr>
                <w:rFonts w:cs="Arial"/>
                <w:szCs w:val="24"/>
              </w:rPr>
            </w:pPr>
            <w:r w:rsidRPr="00D948C1">
              <w:rPr>
                <w:rFonts w:cs="Arial"/>
                <w:szCs w:val="24"/>
              </w:rPr>
              <w:t>-</w:t>
            </w:r>
          </w:p>
        </w:tc>
        <w:tc>
          <w:tcPr>
            <w:tcW w:w="491" w:type="pct"/>
            <w:vAlign w:val="center"/>
          </w:tcPr>
          <w:p w14:paraId="4252B47A" w14:textId="70FEC382" w:rsidR="008F7B73" w:rsidRPr="00D948C1" w:rsidRDefault="008F7B73" w:rsidP="006C0086">
            <w:pPr>
              <w:tabs>
                <w:tab w:val="decimal" w:pos="742"/>
              </w:tabs>
              <w:spacing w:line="276" w:lineRule="auto"/>
              <w:jc w:val="right"/>
              <w:rPr>
                <w:rFonts w:cs="Arial"/>
                <w:szCs w:val="24"/>
              </w:rPr>
            </w:pPr>
            <w:r w:rsidRPr="00D948C1">
              <w:rPr>
                <w:rFonts w:cs="Arial"/>
                <w:szCs w:val="24"/>
              </w:rPr>
              <w:t>2,334</w:t>
            </w:r>
          </w:p>
        </w:tc>
      </w:tr>
      <w:tr w:rsidR="008F7B73" w:rsidRPr="00D948C1" w14:paraId="47C41EE4" w14:textId="77777777" w:rsidTr="00036C34">
        <w:tc>
          <w:tcPr>
            <w:tcW w:w="1823" w:type="pct"/>
          </w:tcPr>
          <w:p w14:paraId="79B5F3B9" w14:textId="77777777" w:rsidR="008F7B73" w:rsidRPr="00D948C1" w:rsidRDefault="008F7B73" w:rsidP="006C0086">
            <w:pPr>
              <w:spacing w:line="276" w:lineRule="auto"/>
              <w:rPr>
                <w:rFonts w:cs="Arial"/>
                <w:szCs w:val="24"/>
              </w:rPr>
            </w:pPr>
            <w:r w:rsidRPr="00D948C1">
              <w:rPr>
                <w:rFonts w:cs="Arial"/>
                <w:szCs w:val="24"/>
              </w:rPr>
              <w:t>Corporate Services</w:t>
            </w:r>
          </w:p>
        </w:tc>
        <w:tc>
          <w:tcPr>
            <w:tcW w:w="361" w:type="pct"/>
            <w:vAlign w:val="center"/>
          </w:tcPr>
          <w:p w14:paraId="1A523C27" w14:textId="2B744F4E"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5453FBD6" w14:textId="52C18016" w:rsidR="008F7B73" w:rsidRPr="00D948C1" w:rsidRDefault="00B567FC" w:rsidP="006C0086">
            <w:pPr>
              <w:tabs>
                <w:tab w:val="decimal" w:pos="884"/>
              </w:tabs>
              <w:spacing w:line="276" w:lineRule="auto"/>
              <w:jc w:val="right"/>
              <w:rPr>
                <w:rFonts w:cs="Arial"/>
                <w:szCs w:val="24"/>
              </w:rPr>
            </w:pPr>
            <w:r w:rsidRPr="00D948C1">
              <w:rPr>
                <w:rFonts w:cs="Arial"/>
                <w:szCs w:val="24"/>
              </w:rPr>
              <w:t>6,253</w:t>
            </w:r>
          </w:p>
        </w:tc>
        <w:tc>
          <w:tcPr>
            <w:tcW w:w="426" w:type="pct"/>
            <w:vAlign w:val="center"/>
          </w:tcPr>
          <w:p w14:paraId="34F135DB" w14:textId="3D6F4048" w:rsidR="008F7B73" w:rsidRPr="00D948C1" w:rsidRDefault="00B567FC" w:rsidP="006C0086">
            <w:pPr>
              <w:tabs>
                <w:tab w:val="decimal" w:pos="742"/>
              </w:tabs>
              <w:spacing w:line="276" w:lineRule="auto"/>
              <w:jc w:val="right"/>
              <w:rPr>
                <w:rFonts w:cs="Arial"/>
                <w:szCs w:val="24"/>
              </w:rPr>
            </w:pPr>
            <w:r w:rsidRPr="00D948C1">
              <w:rPr>
                <w:rFonts w:cs="Arial"/>
                <w:szCs w:val="24"/>
              </w:rPr>
              <w:t>(66)</w:t>
            </w:r>
          </w:p>
        </w:tc>
        <w:tc>
          <w:tcPr>
            <w:tcW w:w="491" w:type="pct"/>
            <w:vAlign w:val="center"/>
          </w:tcPr>
          <w:p w14:paraId="24ABE8BA" w14:textId="71D5D2AC" w:rsidR="008F7B73" w:rsidRPr="00D948C1" w:rsidRDefault="00B567FC" w:rsidP="006C0086">
            <w:pPr>
              <w:tabs>
                <w:tab w:val="decimal" w:pos="742"/>
              </w:tabs>
              <w:spacing w:line="276" w:lineRule="auto"/>
              <w:jc w:val="right"/>
              <w:rPr>
                <w:rFonts w:cs="Arial"/>
                <w:szCs w:val="24"/>
              </w:rPr>
            </w:pPr>
            <w:r w:rsidRPr="00D948C1">
              <w:rPr>
                <w:rFonts w:cs="Arial"/>
                <w:szCs w:val="24"/>
              </w:rPr>
              <w:t>6,187</w:t>
            </w:r>
          </w:p>
        </w:tc>
        <w:tc>
          <w:tcPr>
            <w:tcW w:w="491" w:type="pct"/>
            <w:vAlign w:val="center"/>
          </w:tcPr>
          <w:p w14:paraId="720BFD10" w14:textId="112A6EBB" w:rsidR="008F7B73" w:rsidRPr="00D948C1" w:rsidRDefault="008F7B73" w:rsidP="006C0086">
            <w:pPr>
              <w:tabs>
                <w:tab w:val="decimal" w:pos="884"/>
              </w:tabs>
              <w:spacing w:line="276" w:lineRule="auto"/>
              <w:jc w:val="right"/>
              <w:rPr>
                <w:rFonts w:cs="Arial"/>
                <w:szCs w:val="24"/>
              </w:rPr>
            </w:pPr>
            <w:r w:rsidRPr="00D948C1">
              <w:rPr>
                <w:rFonts w:cs="Arial"/>
                <w:szCs w:val="24"/>
              </w:rPr>
              <w:t>6,285</w:t>
            </w:r>
          </w:p>
        </w:tc>
        <w:tc>
          <w:tcPr>
            <w:tcW w:w="426" w:type="pct"/>
            <w:vAlign w:val="center"/>
          </w:tcPr>
          <w:p w14:paraId="50F83251" w14:textId="65934D6A" w:rsidR="008F7B73" w:rsidRPr="00D948C1" w:rsidRDefault="008F7B73" w:rsidP="006C0086">
            <w:pPr>
              <w:tabs>
                <w:tab w:val="decimal" w:pos="742"/>
              </w:tabs>
              <w:spacing w:line="276" w:lineRule="auto"/>
              <w:jc w:val="right"/>
              <w:rPr>
                <w:rFonts w:cs="Arial"/>
                <w:szCs w:val="24"/>
              </w:rPr>
            </w:pPr>
            <w:r w:rsidRPr="00D948C1">
              <w:rPr>
                <w:rFonts w:cs="Arial"/>
                <w:szCs w:val="24"/>
              </w:rPr>
              <w:t>(65)</w:t>
            </w:r>
          </w:p>
        </w:tc>
        <w:tc>
          <w:tcPr>
            <w:tcW w:w="491" w:type="pct"/>
            <w:vAlign w:val="center"/>
          </w:tcPr>
          <w:p w14:paraId="5CAF2FA8" w14:textId="30FAAF11" w:rsidR="008F7B73" w:rsidRPr="00D948C1" w:rsidRDefault="008F7B73" w:rsidP="006C0086">
            <w:pPr>
              <w:tabs>
                <w:tab w:val="decimal" w:pos="742"/>
              </w:tabs>
              <w:spacing w:line="276" w:lineRule="auto"/>
              <w:jc w:val="right"/>
              <w:rPr>
                <w:rFonts w:cs="Arial"/>
                <w:szCs w:val="24"/>
              </w:rPr>
            </w:pPr>
            <w:r w:rsidRPr="00D948C1">
              <w:rPr>
                <w:rFonts w:cs="Arial"/>
                <w:szCs w:val="24"/>
              </w:rPr>
              <w:t>6,220</w:t>
            </w:r>
          </w:p>
        </w:tc>
      </w:tr>
      <w:tr w:rsidR="008F7B73" w:rsidRPr="00D948C1" w14:paraId="72DC2F9D" w14:textId="77777777" w:rsidTr="00036C34">
        <w:tc>
          <w:tcPr>
            <w:tcW w:w="1823" w:type="pct"/>
          </w:tcPr>
          <w:p w14:paraId="7AB536A3" w14:textId="77777777" w:rsidR="008F7B73" w:rsidRPr="00D948C1" w:rsidRDefault="008F7B73" w:rsidP="006C0086">
            <w:pPr>
              <w:spacing w:line="276" w:lineRule="auto"/>
              <w:rPr>
                <w:rFonts w:cs="Arial"/>
                <w:szCs w:val="24"/>
              </w:rPr>
            </w:pPr>
            <w:r w:rsidRPr="00D948C1">
              <w:rPr>
                <w:rFonts w:cs="Arial"/>
                <w:szCs w:val="24"/>
              </w:rPr>
              <w:t>Fire-fighters Pensions</w:t>
            </w:r>
          </w:p>
        </w:tc>
        <w:tc>
          <w:tcPr>
            <w:tcW w:w="361" w:type="pct"/>
            <w:vAlign w:val="center"/>
          </w:tcPr>
          <w:p w14:paraId="599181E2" w14:textId="28133A54"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14FDF28B" w14:textId="616CB2C1" w:rsidR="008F7B73" w:rsidRPr="00D948C1" w:rsidRDefault="00B567FC" w:rsidP="006C0086">
            <w:pPr>
              <w:tabs>
                <w:tab w:val="decimal" w:pos="884"/>
              </w:tabs>
              <w:spacing w:line="276" w:lineRule="auto"/>
              <w:jc w:val="right"/>
              <w:rPr>
                <w:rFonts w:cs="Arial"/>
                <w:szCs w:val="24"/>
              </w:rPr>
            </w:pPr>
            <w:r w:rsidRPr="00D948C1">
              <w:rPr>
                <w:rFonts w:cs="Arial"/>
                <w:szCs w:val="24"/>
              </w:rPr>
              <w:t>1,271</w:t>
            </w:r>
          </w:p>
        </w:tc>
        <w:tc>
          <w:tcPr>
            <w:tcW w:w="426" w:type="pct"/>
            <w:vAlign w:val="center"/>
          </w:tcPr>
          <w:p w14:paraId="6D4E848D" w14:textId="7001D442" w:rsidR="008F7B73" w:rsidRPr="00D948C1" w:rsidRDefault="00B567FC" w:rsidP="006C0086">
            <w:pPr>
              <w:tabs>
                <w:tab w:val="decimal" w:pos="742"/>
              </w:tabs>
              <w:spacing w:line="276" w:lineRule="auto"/>
              <w:jc w:val="right"/>
              <w:rPr>
                <w:rFonts w:cs="Arial"/>
                <w:szCs w:val="24"/>
              </w:rPr>
            </w:pPr>
            <w:r w:rsidRPr="00D948C1">
              <w:rPr>
                <w:rFonts w:cs="Arial"/>
                <w:szCs w:val="24"/>
              </w:rPr>
              <w:t>-</w:t>
            </w:r>
          </w:p>
        </w:tc>
        <w:tc>
          <w:tcPr>
            <w:tcW w:w="491" w:type="pct"/>
            <w:vAlign w:val="center"/>
          </w:tcPr>
          <w:p w14:paraId="78400F0E" w14:textId="10514DCA" w:rsidR="008F7B73" w:rsidRPr="00D948C1" w:rsidRDefault="00B567FC" w:rsidP="006C0086">
            <w:pPr>
              <w:tabs>
                <w:tab w:val="decimal" w:pos="742"/>
              </w:tabs>
              <w:spacing w:line="276" w:lineRule="auto"/>
              <w:jc w:val="right"/>
              <w:rPr>
                <w:rFonts w:cs="Arial"/>
                <w:szCs w:val="24"/>
              </w:rPr>
            </w:pPr>
            <w:r w:rsidRPr="00D948C1">
              <w:rPr>
                <w:rFonts w:cs="Arial"/>
                <w:szCs w:val="24"/>
              </w:rPr>
              <w:t>1,271</w:t>
            </w:r>
          </w:p>
        </w:tc>
        <w:tc>
          <w:tcPr>
            <w:tcW w:w="491" w:type="pct"/>
            <w:vAlign w:val="center"/>
          </w:tcPr>
          <w:p w14:paraId="4C8E7369" w14:textId="5106A92D" w:rsidR="008F7B73" w:rsidRPr="00D948C1" w:rsidRDefault="008F7B73" w:rsidP="006C0086">
            <w:pPr>
              <w:tabs>
                <w:tab w:val="decimal" w:pos="884"/>
              </w:tabs>
              <w:spacing w:line="276" w:lineRule="auto"/>
              <w:jc w:val="right"/>
              <w:rPr>
                <w:rFonts w:cs="Arial"/>
                <w:szCs w:val="24"/>
              </w:rPr>
            </w:pPr>
            <w:r w:rsidRPr="00D948C1">
              <w:rPr>
                <w:rFonts w:cs="Arial"/>
                <w:szCs w:val="24"/>
              </w:rPr>
              <w:t>1,141</w:t>
            </w:r>
          </w:p>
        </w:tc>
        <w:tc>
          <w:tcPr>
            <w:tcW w:w="426" w:type="pct"/>
            <w:vAlign w:val="center"/>
          </w:tcPr>
          <w:p w14:paraId="0FEE6F92" w14:textId="7CAD4A7B" w:rsidR="008F7B73" w:rsidRPr="00D948C1" w:rsidRDefault="008F7B73" w:rsidP="006C0086">
            <w:pPr>
              <w:tabs>
                <w:tab w:val="decimal" w:pos="742"/>
              </w:tabs>
              <w:spacing w:line="276" w:lineRule="auto"/>
              <w:jc w:val="right"/>
              <w:rPr>
                <w:rFonts w:cs="Arial"/>
                <w:szCs w:val="24"/>
              </w:rPr>
            </w:pPr>
            <w:r w:rsidRPr="00D948C1">
              <w:rPr>
                <w:rFonts w:cs="Arial"/>
                <w:szCs w:val="24"/>
              </w:rPr>
              <w:t>-</w:t>
            </w:r>
          </w:p>
        </w:tc>
        <w:tc>
          <w:tcPr>
            <w:tcW w:w="491" w:type="pct"/>
            <w:vAlign w:val="center"/>
          </w:tcPr>
          <w:p w14:paraId="493AE125" w14:textId="29F52255" w:rsidR="008F7B73" w:rsidRPr="00D948C1" w:rsidRDefault="008F7B73" w:rsidP="006C0086">
            <w:pPr>
              <w:tabs>
                <w:tab w:val="decimal" w:pos="742"/>
              </w:tabs>
              <w:spacing w:line="276" w:lineRule="auto"/>
              <w:jc w:val="right"/>
              <w:rPr>
                <w:rFonts w:cs="Arial"/>
                <w:szCs w:val="24"/>
              </w:rPr>
            </w:pPr>
            <w:r w:rsidRPr="00D948C1">
              <w:rPr>
                <w:rFonts w:cs="Arial"/>
                <w:szCs w:val="24"/>
              </w:rPr>
              <w:t>1,141</w:t>
            </w:r>
          </w:p>
        </w:tc>
      </w:tr>
      <w:tr w:rsidR="008F7B73" w:rsidRPr="00D948C1" w14:paraId="2482ECE7" w14:textId="77777777" w:rsidTr="00036C34">
        <w:tc>
          <w:tcPr>
            <w:tcW w:w="1823" w:type="pct"/>
          </w:tcPr>
          <w:p w14:paraId="32A83FF2" w14:textId="77777777" w:rsidR="008F7B73" w:rsidRPr="00D948C1" w:rsidRDefault="008F7B73" w:rsidP="006C0086">
            <w:pPr>
              <w:spacing w:line="276" w:lineRule="auto"/>
              <w:rPr>
                <w:rFonts w:cs="Arial"/>
                <w:szCs w:val="24"/>
              </w:rPr>
            </w:pPr>
            <w:r w:rsidRPr="00D948C1">
              <w:rPr>
                <w:rFonts w:cs="Arial"/>
                <w:szCs w:val="24"/>
              </w:rPr>
              <w:t>Overheads</w:t>
            </w:r>
          </w:p>
        </w:tc>
        <w:tc>
          <w:tcPr>
            <w:tcW w:w="361" w:type="pct"/>
            <w:vAlign w:val="center"/>
          </w:tcPr>
          <w:p w14:paraId="6B91D368" w14:textId="04B17DF0"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7BA9EB18" w14:textId="71E6D56D" w:rsidR="008F7B73" w:rsidRPr="00D948C1" w:rsidRDefault="00B567FC" w:rsidP="006C0086">
            <w:pPr>
              <w:tabs>
                <w:tab w:val="decimal" w:pos="884"/>
              </w:tabs>
              <w:spacing w:line="276" w:lineRule="auto"/>
              <w:jc w:val="right"/>
              <w:rPr>
                <w:rFonts w:cs="Arial"/>
                <w:szCs w:val="24"/>
              </w:rPr>
            </w:pPr>
            <w:r w:rsidRPr="00D948C1">
              <w:rPr>
                <w:rFonts w:cs="Arial"/>
                <w:szCs w:val="24"/>
              </w:rPr>
              <w:t>8,814</w:t>
            </w:r>
          </w:p>
        </w:tc>
        <w:tc>
          <w:tcPr>
            <w:tcW w:w="426" w:type="pct"/>
            <w:vAlign w:val="center"/>
          </w:tcPr>
          <w:p w14:paraId="40AD0329" w14:textId="6317B878" w:rsidR="008F7B73" w:rsidRPr="00D948C1" w:rsidRDefault="00B567FC" w:rsidP="006C0086">
            <w:pPr>
              <w:tabs>
                <w:tab w:val="decimal" w:pos="742"/>
              </w:tabs>
              <w:spacing w:line="276" w:lineRule="auto"/>
              <w:jc w:val="right"/>
              <w:rPr>
                <w:rFonts w:cs="Arial"/>
                <w:szCs w:val="24"/>
              </w:rPr>
            </w:pPr>
            <w:r w:rsidRPr="00D948C1">
              <w:rPr>
                <w:rFonts w:cs="Arial"/>
                <w:szCs w:val="24"/>
              </w:rPr>
              <w:t>(5,366)</w:t>
            </w:r>
          </w:p>
        </w:tc>
        <w:tc>
          <w:tcPr>
            <w:tcW w:w="491" w:type="pct"/>
            <w:vAlign w:val="center"/>
          </w:tcPr>
          <w:p w14:paraId="485F1715" w14:textId="2A22B126" w:rsidR="008F7B73" w:rsidRPr="00D948C1" w:rsidRDefault="00B567FC" w:rsidP="006C0086">
            <w:pPr>
              <w:tabs>
                <w:tab w:val="decimal" w:pos="742"/>
              </w:tabs>
              <w:spacing w:line="276" w:lineRule="auto"/>
              <w:jc w:val="right"/>
              <w:rPr>
                <w:rFonts w:cs="Arial"/>
                <w:szCs w:val="24"/>
              </w:rPr>
            </w:pPr>
            <w:r w:rsidRPr="00D948C1">
              <w:rPr>
                <w:rFonts w:cs="Arial"/>
                <w:szCs w:val="24"/>
              </w:rPr>
              <w:t>3,448</w:t>
            </w:r>
          </w:p>
        </w:tc>
        <w:tc>
          <w:tcPr>
            <w:tcW w:w="491" w:type="pct"/>
            <w:vAlign w:val="center"/>
          </w:tcPr>
          <w:p w14:paraId="03055CA5" w14:textId="08FBF803" w:rsidR="008F7B73" w:rsidRPr="00D948C1" w:rsidRDefault="008F7B73" w:rsidP="006C0086">
            <w:pPr>
              <w:tabs>
                <w:tab w:val="decimal" w:pos="884"/>
              </w:tabs>
              <w:spacing w:line="276" w:lineRule="auto"/>
              <w:jc w:val="right"/>
              <w:rPr>
                <w:rFonts w:cs="Arial"/>
                <w:szCs w:val="24"/>
              </w:rPr>
            </w:pPr>
            <w:r w:rsidRPr="00D948C1">
              <w:rPr>
                <w:rFonts w:cs="Arial"/>
                <w:szCs w:val="24"/>
              </w:rPr>
              <w:t>6,757</w:t>
            </w:r>
          </w:p>
        </w:tc>
        <w:tc>
          <w:tcPr>
            <w:tcW w:w="426" w:type="pct"/>
            <w:vAlign w:val="center"/>
          </w:tcPr>
          <w:p w14:paraId="7FBFDB83" w14:textId="7DD739B7" w:rsidR="008F7B73" w:rsidRPr="00D948C1" w:rsidRDefault="008F7B73" w:rsidP="006C0086">
            <w:pPr>
              <w:tabs>
                <w:tab w:val="decimal" w:pos="742"/>
              </w:tabs>
              <w:spacing w:line="276" w:lineRule="auto"/>
              <w:jc w:val="right"/>
              <w:rPr>
                <w:rFonts w:cs="Arial"/>
                <w:szCs w:val="24"/>
              </w:rPr>
            </w:pPr>
            <w:r w:rsidRPr="00D948C1">
              <w:rPr>
                <w:rFonts w:cs="Arial"/>
                <w:szCs w:val="24"/>
              </w:rPr>
              <w:t>(4,863)</w:t>
            </w:r>
          </w:p>
        </w:tc>
        <w:tc>
          <w:tcPr>
            <w:tcW w:w="491" w:type="pct"/>
            <w:vAlign w:val="center"/>
          </w:tcPr>
          <w:p w14:paraId="7E552BEC" w14:textId="3392E0E0" w:rsidR="008F7B73" w:rsidRPr="00D948C1" w:rsidRDefault="008F7B73" w:rsidP="006C0086">
            <w:pPr>
              <w:tabs>
                <w:tab w:val="decimal" w:pos="742"/>
              </w:tabs>
              <w:spacing w:line="276" w:lineRule="auto"/>
              <w:jc w:val="right"/>
              <w:rPr>
                <w:rFonts w:cs="Arial"/>
                <w:szCs w:val="24"/>
              </w:rPr>
            </w:pPr>
            <w:r w:rsidRPr="00D948C1">
              <w:rPr>
                <w:rFonts w:cs="Arial"/>
                <w:szCs w:val="24"/>
              </w:rPr>
              <w:t>1,894</w:t>
            </w:r>
          </w:p>
        </w:tc>
      </w:tr>
      <w:tr w:rsidR="008F7B73" w:rsidRPr="00D948C1" w14:paraId="319890E8" w14:textId="77777777" w:rsidTr="00036C34">
        <w:tc>
          <w:tcPr>
            <w:tcW w:w="1823" w:type="pct"/>
          </w:tcPr>
          <w:p w14:paraId="6DA0B094" w14:textId="77777777" w:rsidR="008F7B73" w:rsidRPr="00D948C1" w:rsidRDefault="008F7B73" w:rsidP="006C0086">
            <w:pPr>
              <w:spacing w:line="276" w:lineRule="auto"/>
              <w:rPr>
                <w:rFonts w:cs="Arial"/>
                <w:b/>
                <w:bCs/>
                <w:szCs w:val="24"/>
              </w:rPr>
            </w:pPr>
            <w:r w:rsidRPr="00D948C1">
              <w:rPr>
                <w:rFonts w:cs="Arial"/>
                <w:b/>
                <w:bCs/>
                <w:szCs w:val="24"/>
              </w:rPr>
              <w:t>Net Cost of Services</w:t>
            </w:r>
          </w:p>
        </w:tc>
        <w:tc>
          <w:tcPr>
            <w:tcW w:w="361" w:type="pct"/>
            <w:vAlign w:val="center"/>
          </w:tcPr>
          <w:p w14:paraId="3B747E43" w14:textId="2839165D" w:rsidR="008F7B73" w:rsidRPr="00D948C1" w:rsidRDefault="008F7B73" w:rsidP="006C0086">
            <w:pPr>
              <w:spacing w:line="276" w:lineRule="auto"/>
              <w:jc w:val="center"/>
              <w:rPr>
                <w:rStyle w:val="Hyperlink"/>
              </w:rPr>
            </w:pPr>
            <w:hyperlink w:anchor="Notes" w:history="1">
              <w:r w:rsidRPr="00D948C1">
                <w:rPr>
                  <w:rStyle w:val="Hyperlink"/>
                  <w:szCs w:val="24"/>
                </w:rPr>
                <w:t>1</w:t>
              </w:r>
            </w:hyperlink>
          </w:p>
        </w:tc>
        <w:tc>
          <w:tcPr>
            <w:tcW w:w="491" w:type="pct"/>
            <w:vAlign w:val="center"/>
          </w:tcPr>
          <w:p w14:paraId="48A30AC9" w14:textId="5879CF38" w:rsidR="008F7B73" w:rsidRPr="00D948C1" w:rsidRDefault="00B567FC" w:rsidP="006C0086">
            <w:pPr>
              <w:tabs>
                <w:tab w:val="decimal" w:pos="884"/>
              </w:tabs>
              <w:spacing w:line="276" w:lineRule="auto"/>
              <w:jc w:val="right"/>
              <w:rPr>
                <w:rFonts w:cs="Arial"/>
                <w:b/>
                <w:bCs/>
                <w:szCs w:val="24"/>
              </w:rPr>
            </w:pPr>
            <w:r w:rsidRPr="00D948C1">
              <w:rPr>
                <w:rFonts w:cs="Arial"/>
                <w:b/>
                <w:bCs/>
                <w:szCs w:val="24"/>
              </w:rPr>
              <w:t>54,395</w:t>
            </w:r>
          </w:p>
        </w:tc>
        <w:tc>
          <w:tcPr>
            <w:tcW w:w="426" w:type="pct"/>
            <w:vAlign w:val="center"/>
          </w:tcPr>
          <w:p w14:paraId="31E1A5F3" w14:textId="33E1AAAF" w:rsidR="008F7B73" w:rsidRPr="00D948C1" w:rsidRDefault="00B567FC" w:rsidP="006C0086">
            <w:pPr>
              <w:tabs>
                <w:tab w:val="decimal" w:pos="742"/>
              </w:tabs>
              <w:spacing w:line="276" w:lineRule="auto"/>
              <w:jc w:val="right"/>
              <w:rPr>
                <w:rFonts w:cs="Arial"/>
                <w:b/>
                <w:bCs/>
                <w:szCs w:val="24"/>
              </w:rPr>
            </w:pPr>
            <w:r w:rsidRPr="00D948C1">
              <w:rPr>
                <w:rFonts w:cs="Arial"/>
                <w:b/>
                <w:bCs/>
                <w:szCs w:val="24"/>
              </w:rPr>
              <w:t>(8,349)</w:t>
            </w:r>
          </w:p>
        </w:tc>
        <w:tc>
          <w:tcPr>
            <w:tcW w:w="491" w:type="pct"/>
            <w:vAlign w:val="center"/>
          </w:tcPr>
          <w:p w14:paraId="38A82874" w14:textId="29EE4C71" w:rsidR="008F7B73" w:rsidRPr="00D948C1" w:rsidRDefault="00B567FC" w:rsidP="006C0086">
            <w:pPr>
              <w:tabs>
                <w:tab w:val="decimal" w:pos="742"/>
              </w:tabs>
              <w:spacing w:line="276" w:lineRule="auto"/>
              <w:jc w:val="right"/>
              <w:rPr>
                <w:rFonts w:cs="Arial"/>
                <w:b/>
                <w:bCs/>
                <w:szCs w:val="24"/>
              </w:rPr>
            </w:pPr>
            <w:r w:rsidRPr="00D948C1">
              <w:rPr>
                <w:rFonts w:cs="Arial"/>
                <w:b/>
                <w:bCs/>
                <w:szCs w:val="24"/>
              </w:rPr>
              <w:t>46,046</w:t>
            </w:r>
          </w:p>
        </w:tc>
        <w:tc>
          <w:tcPr>
            <w:tcW w:w="491" w:type="pct"/>
            <w:vAlign w:val="center"/>
          </w:tcPr>
          <w:p w14:paraId="2624C76E" w14:textId="6BBF7793" w:rsidR="008F7B73" w:rsidRPr="00D948C1" w:rsidRDefault="008F7B73" w:rsidP="006C0086">
            <w:pPr>
              <w:tabs>
                <w:tab w:val="decimal" w:pos="884"/>
              </w:tabs>
              <w:spacing w:line="276" w:lineRule="auto"/>
              <w:jc w:val="right"/>
              <w:rPr>
                <w:rFonts w:cs="Arial"/>
                <w:b/>
                <w:bCs/>
                <w:szCs w:val="24"/>
              </w:rPr>
            </w:pPr>
            <w:r w:rsidRPr="00D948C1">
              <w:rPr>
                <w:rFonts w:cs="Arial"/>
                <w:b/>
                <w:bCs/>
                <w:szCs w:val="24"/>
              </w:rPr>
              <w:t>62,817</w:t>
            </w:r>
          </w:p>
        </w:tc>
        <w:tc>
          <w:tcPr>
            <w:tcW w:w="426" w:type="pct"/>
            <w:vAlign w:val="center"/>
          </w:tcPr>
          <w:p w14:paraId="6C037FE7" w14:textId="63A48DAE" w:rsidR="008F7B73" w:rsidRPr="00D948C1" w:rsidRDefault="008F7B73" w:rsidP="006C0086">
            <w:pPr>
              <w:tabs>
                <w:tab w:val="decimal" w:pos="742"/>
              </w:tabs>
              <w:spacing w:line="276" w:lineRule="auto"/>
              <w:jc w:val="right"/>
              <w:rPr>
                <w:rFonts w:cs="Arial"/>
                <w:b/>
                <w:bCs/>
                <w:szCs w:val="24"/>
              </w:rPr>
            </w:pPr>
            <w:r w:rsidRPr="00D948C1">
              <w:rPr>
                <w:rFonts w:cs="Arial"/>
                <w:b/>
                <w:bCs/>
                <w:szCs w:val="24"/>
              </w:rPr>
              <w:t>(7,885)</w:t>
            </w:r>
          </w:p>
        </w:tc>
        <w:tc>
          <w:tcPr>
            <w:tcW w:w="491" w:type="pct"/>
            <w:vAlign w:val="center"/>
          </w:tcPr>
          <w:p w14:paraId="5D4EC2EB" w14:textId="303B7261" w:rsidR="008F7B73" w:rsidRPr="00D948C1" w:rsidRDefault="008F7B73" w:rsidP="006C0086">
            <w:pPr>
              <w:tabs>
                <w:tab w:val="decimal" w:pos="742"/>
              </w:tabs>
              <w:spacing w:line="276" w:lineRule="auto"/>
              <w:jc w:val="right"/>
              <w:rPr>
                <w:rFonts w:cs="Arial"/>
                <w:b/>
                <w:bCs/>
                <w:szCs w:val="24"/>
              </w:rPr>
            </w:pPr>
            <w:r w:rsidRPr="00D948C1">
              <w:rPr>
                <w:rFonts w:cs="Arial"/>
                <w:b/>
                <w:bCs/>
                <w:szCs w:val="24"/>
              </w:rPr>
              <w:t>54,932</w:t>
            </w:r>
          </w:p>
        </w:tc>
      </w:tr>
      <w:tr w:rsidR="008F7B73" w:rsidRPr="00D948C1" w14:paraId="48350EAA" w14:textId="77777777" w:rsidTr="00036C34">
        <w:trPr>
          <w:trHeight w:val="283"/>
        </w:trPr>
        <w:tc>
          <w:tcPr>
            <w:tcW w:w="1823" w:type="pct"/>
          </w:tcPr>
          <w:p w14:paraId="55817802" w14:textId="70229A8D" w:rsidR="008F7B73" w:rsidRPr="00D948C1" w:rsidRDefault="00B567FC" w:rsidP="006C0086">
            <w:pPr>
              <w:spacing w:line="276" w:lineRule="auto"/>
              <w:rPr>
                <w:rFonts w:cs="Arial"/>
                <w:szCs w:val="24"/>
              </w:rPr>
            </w:pPr>
            <w:r w:rsidRPr="00D948C1">
              <w:rPr>
                <w:rFonts w:cs="Arial"/>
                <w:szCs w:val="24"/>
              </w:rPr>
              <w:t>(</w:t>
            </w:r>
            <w:r w:rsidR="008F7B73" w:rsidRPr="00D948C1">
              <w:rPr>
                <w:rFonts w:cs="Arial"/>
                <w:szCs w:val="24"/>
              </w:rPr>
              <w:t>Gain</w:t>
            </w:r>
            <w:r w:rsidRPr="00D948C1">
              <w:rPr>
                <w:rFonts w:cs="Arial"/>
                <w:szCs w:val="24"/>
              </w:rPr>
              <w:t>)/Loss</w:t>
            </w:r>
            <w:r w:rsidR="008F7B73" w:rsidRPr="00D948C1">
              <w:rPr>
                <w:rFonts w:cs="Arial"/>
                <w:szCs w:val="24"/>
              </w:rPr>
              <w:t xml:space="preserve"> on disposal of non-current assets</w:t>
            </w:r>
          </w:p>
        </w:tc>
        <w:tc>
          <w:tcPr>
            <w:tcW w:w="361" w:type="pct"/>
            <w:vAlign w:val="center"/>
          </w:tcPr>
          <w:p w14:paraId="0B0F88FF" w14:textId="77777777" w:rsidR="008F7B73" w:rsidRPr="00D948C1" w:rsidRDefault="008F7B73" w:rsidP="006C0086">
            <w:pPr>
              <w:spacing w:line="276" w:lineRule="auto"/>
              <w:jc w:val="center"/>
              <w:rPr>
                <w:rStyle w:val="Hyperlink"/>
                <w:szCs w:val="24"/>
              </w:rPr>
            </w:pPr>
          </w:p>
        </w:tc>
        <w:tc>
          <w:tcPr>
            <w:tcW w:w="491" w:type="pct"/>
            <w:vAlign w:val="center"/>
          </w:tcPr>
          <w:p w14:paraId="62E5CB4D" w14:textId="73226B69" w:rsidR="008F7B73" w:rsidRPr="00D948C1" w:rsidRDefault="008F7B73" w:rsidP="006C0086">
            <w:pPr>
              <w:tabs>
                <w:tab w:val="decimal" w:pos="742"/>
                <w:tab w:val="decimal" w:pos="884"/>
              </w:tabs>
              <w:spacing w:line="276" w:lineRule="auto"/>
              <w:ind w:right="177"/>
              <w:jc w:val="right"/>
              <w:rPr>
                <w:rFonts w:cs="Arial"/>
                <w:szCs w:val="24"/>
              </w:rPr>
            </w:pPr>
          </w:p>
        </w:tc>
        <w:tc>
          <w:tcPr>
            <w:tcW w:w="426" w:type="pct"/>
            <w:vAlign w:val="center"/>
          </w:tcPr>
          <w:p w14:paraId="24B53C5D" w14:textId="07767825" w:rsidR="008F7B73" w:rsidRPr="00D948C1" w:rsidRDefault="008F7B73" w:rsidP="006C0086">
            <w:pPr>
              <w:tabs>
                <w:tab w:val="decimal" w:pos="742"/>
                <w:tab w:val="decimal" w:pos="884"/>
              </w:tabs>
              <w:spacing w:line="276" w:lineRule="auto"/>
              <w:ind w:right="177"/>
              <w:jc w:val="right"/>
              <w:rPr>
                <w:rFonts w:cs="Arial"/>
                <w:szCs w:val="24"/>
              </w:rPr>
            </w:pPr>
          </w:p>
        </w:tc>
        <w:tc>
          <w:tcPr>
            <w:tcW w:w="491" w:type="pct"/>
            <w:vAlign w:val="center"/>
          </w:tcPr>
          <w:p w14:paraId="57D98B22" w14:textId="6EA43379" w:rsidR="008F7B73" w:rsidRPr="00D948C1" w:rsidRDefault="00B567FC" w:rsidP="006C0086">
            <w:pPr>
              <w:tabs>
                <w:tab w:val="decimal" w:pos="742"/>
              </w:tabs>
              <w:spacing w:line="276" w:lineRule="auto"/>
              <w:jc w:val="right"/>
              <w:rPr>
                <w:rFonts w:cs="Arial"/>
                <w:szCs w:val="24"/>
              </w:rPr>
            </w:pPr>
            <w:r w:rsidRPr="00D948C1">
              <w:rPr>
                <w:rFonts w:cs="Arial"/>
                <w:szCs w:val="24"/>
              </w:rPr>
              <w:t>32</w:t>
            </w:r>
          </w:p>
        </w:tc>
        <w:tc>
          <w:tcPr>
            <w:tcW w:w="491" w:type="pct"/>
            <w:vAlign w:val="center"/>
          </w:tcPr>
          <w:p w14:paraId="4FBB7EE7" w14:textId="643DFE30" w:rsidR="008F7B73" w:rsidRPr="00D948C1" w:rsidRDefault="008F7B73" w:rsidP="006C0086">
            <w:pPr>
              <w:tabs>
                <w:tab w:val="decimal" w:pos="885"/>
              </w:tabs>
              <w:spacing w:line="276" w:lineRule="auto"/>
              <w:jc w:val="right"/>
              <w:rPr>
                <w:rFonts w:cs="Arial"/>
                <w:szCs w:val="24"/>
              </w:rPr>
            </w:pPr>
          </w:p>
        </w:tc>
        <w:tc>
          <w:tcPr>
            <w:tcW w:w="426" w:type="pct"/>
            <w:vAlign w:val="center"/>
          </w:tcPr>
          <w:p w14:paraId="67003ECE" w14:textId="77777777" w:rsidR="008F7B73" w:rsidRPr="00D948C1" w:rsidRDefault="008F7B73" w:rsidP="006C0086">
            <w:pPr>
              <w:tabs>
                <w:tab w:val="decimal" w:pos="601"/>
              </w:tabs>
              <w:spacing w:line="276" w:lineRule="auto"/>
              <w:jc w:val="right"/>
              <w:rPr>
                <w:rFonts w:cs="Arial"/>
                <w:szCs w:val="24"/>
              </w:rPr>
            </w:pPr>
          </w:p>
        </w:tc>
        <w:tc>
          <w:tcPr>
            <w:tcW w:w="491" w:type="pct"/>
            <w:vAlign w:val="center"/>
          </w:tcPr>
          <w:p w14:paraId="0F764B57" w14:textId="537A3639" w:rsidR="008F7B73" w:rsidRPr="00D948C1" w:rsidRDefault="008F7B73" w:rsidP="006C0086">
            <w:pPr>
              <w:tabs>
                <w:tab w:val="decimal" w:pos="742"/>
              </w:tabs>
              <w:spacing w:line="276" w:lineRule="auto"/>
              <w:jc w:val="right"/>
              <w:rPr>
                <w:rFonts w:cs="Arial"/>
                <w:szCs w:val="24"/>
              </w:rPr>
            </w:pPr>
            <w:r w:rsidRPr="00D948C1">
              <w:rPr>
                <w:rFonts w:cs="Arial"/>
                <w:szCs w:val="24"/>
              </w:rPr>
              <w:t>(9)</w:t>
            </w:r>
          </w:p>
        </w:tc>
      </w:tr>
    </w:tbl>
    <w:p w14:paraId="69675F7E" w14:textId="77777777" w:rsidR="00D46F5F" w:rsidRPr="00D948C1" w:rsidRDefault="00D46F5F" w:rsidP="006C0086">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3"/>
        <w:gridCol w:w="1100"/>
        <w:gridCol w:w="1497"/>
        <w:gridCol w:w="1299"/>
        <w:gridCol w:w="1497"/>
        <w:gridCol w:w="1497"/>
        <w:gridCol w:w="1299"/>
        <w:gridCol w:w="1500"/>
      </w:tblGrid>
      <w:tr w:rsidR="00793A3A" w:rsidRPr="00D948C1" w14:paraId="3D29740C" w14:textId="77777777" w:rsidTr="00036C34">
        <w:tc>
          <w:tcPr>
            <w:tcW w:w="5000" w:type="pct"/>
            <w:gridSpan w:val="8"/>
            <w:shd w:val="clear" w:color="auto" w:fill="D9D9D9" w:themeFill="background1" w:themeFillShade="D9"/>
          </w:tcPr>
          <w:p w14:paraId="5459216A" w14:textId="6C95A2E6" w:rsidR="00793A3A" w:rsidRPr="00D948C1" w:rsidRDefault="00793A3A" w:rsidP="006C0086">
            <w:pPr>
              <w:spacing w:line="276" w:lineRule="auto"/>
              <w:rPr>
                <w:rFonts w:cs="Arial"/>
                <w:b/>
                <w:bCs/>
                <w:szCs w:val="24"/>
              </w:rPr>
            </w:pPr>
            <w:r w:rsidRPr="00D948C1">
              <w:rPr>
                <w:rFonts w:cs="Arial"/>
                <w:b/>
                <w:bCs/>
                <w:szCs w:val="24"/>
              </w:rPr>
              <w:t>Financing &amp; investment income &amp; expenditure</w:t>
            </w:r>
          </w:p>
        </w:tc>
      </w:tr>
      <w:tr w:rsidR="008F7B73" w:rsidRPr="00D948C1" w14:paraId="256584C9" w14:textId="77777777" w:rsidTr="00036C34">
        <w:tc>
          <w:tcPr>
            <w:tcW w:w="1822" w:type="pct"/>
          </w:tcPr>
          <w:p w14:paraId="49FE23E5" w14:textId="77777777" w:rsidR="008F7B73" w:rsidRPr="00D948C1" w:rsidRDefault="008F7B73" w:rsidP="006C0086">
            <w:pPr>
              <w:spacing w:line="276" w:lineRule="auto"/>
              <w:rPr>
                <w:rFonts w:cs="Arial"/>
                <w:szCs w:val="24"/>
              </w:rPr>
            </w:pPr>
            <w:r w:rsidRPr="00D948C1">
              <w:rPr>
                <w:rFonts w:cs="Arial"/>
                <w:szCs w:val="24"/>
              </w:rPr>
              <w:t>Interest payable and similar charges</w:t>
            </w:r>
          </w:p>
        </w:tc>
        <w:tc>
          <w:tcPr>
            <w:tcW w:w="361" w:type="pct"/>
            <w:vAlign w:val="center"/>
          </w:tcPr>
          <w:p w14:paraId="5ADB56AA" w14:textId="0D2BBB21" w:rsidR="008F7B73" w:rsidRPr="00D948C1" w:rsidRDefault="008F7B73" w:rsidP="006C0086">
            <w:pPr>
              <w:spacing w:line="276" w:lineRule="auto"/>
              <w:jc w:val="center"/>
              <w:rPr>
                <w:rStyle w:val="Hyperlink"/>
              </w:rPr>
            </w:pPr>
            <w:hyperlink w:anchor="N8" w:history="1">
              <w:r w:rsidRPr="00D948C1">
                <w:rPr>
                  <w:rStyle w:val="Hyperlink"/>
                  <w:szCs w:val="24"/>
                </w:rPr>
                <w:t>8</w:t>
              </w:r>
            </w:hyperlink>
          </w:p>
        </w:tc>
        <w:tc>
          <w:tcPr>
            <w:tcW w:w="491" w:type="pct"/>
            <w:vAlign w:val="center"/>
          </w:tcPr>
          <w:p w14:paraId="23239D64" w14:textId="4511E718" w:rsidR="008F7B73" w:rsidRPr="00D948C1" w:rsidRDefault="008F7B73" w:rsidP="006C0086">
            <w:pPr>
              <w:tabs>
                <w:tab w:val="decimal" w:pos="884"/>
              </w:tabs>
              <w:spacing w:line="276" w:lineRule="auto"/>
              <w:jc w:val="right"/>
              <w:rPr>
                <w:rFonts w:cs="Arial"/>
                <w:szCs w:val="24"/>
              </w:rPr>
            </w:pPr>
          </w:p>
        </w:tc>
        <w:tc>
          <w:tcPr>
            <w:tcW w:w="426" w:type="pct"/>
            <w:vAlign w:val="center"/>
          </w:tcPr>
          <w:p w14:paraId="35B3E6D4" w14:textId="1B122BB6" w:rsidR="008F7B73" w:rsidRPr="00D948C1" w:rsidRDefault="008F7B73" w:rsidP="006C0086">
            <w:pPr>
              <w:tabs>
                <w:tab w:val="decimal" w:pos="884"/>
              </w:tabs>
              <w:spacing w:line="276" w:lineRule="auto"/>
              <w:jc w:val="right"/>
              <w:rPr>
                <w:rFonts w:cs="Arial"/>
                <w:szCs w:val="24"/>
              </w:rPr>
            </w:pPr>
          </w:p>
        </w:tc>
        <w:tc>
          <w:tcPr>
            <w:tcW w:w="491" w:type="pct"/>
            <w:vAlign w:val="center"/>
          </w:tcPr>
          <w:p w14:paraId="51AB164D" w14:textId="6436F59D" w:rsidR="008F7B73" w:rsidRPr="00D948C1" w:rsidRDefault="008F7B73" w:rsidP="006C0086">
            <w:pPr>
              <w:tabs>
                <w:tab w:val="decimal" w:pos="884"/>
              </w:tabs>
              <w:spacing w:line="276" w:lineRule="auto"/>
              <w:jc w:val="right"/>
              <w:rPr>
                <w:rFonts w:cs="Arial"/>
                <w:b/>
                <w:bCs/>
                <w:szCs w:val="24"/>
              </w:rPr>
            </w:pPr>
            <w:r w:rsidRPr="00D948C1">
              <w:rPr>
                <w:rFonts w:cs="Arial"/>
                <w:szCs w:val="24"/>
              </w:rPr>
              <w:t>1,</w:t>
            </w:r>
            <w:r w:rsidR="00B567FC" w:rsidRPr="00D948C1">
              <w:rPr>
                <w:rFonts w:cs="Arial"/>
                <w:szCs w:val="24"/>
              </w:rPr>
              <w:t>366</w:t>
            </w:r>
            <w:r w:rsidRPr="00D948C1">
              <w:rPr>
                <w:rFonts w:cs="Arial"/>
                <w:szCs w:val="24"/>
              </w:rPr>
              <w:t xml:space="preserve"> </w:t>
            </w:r>
          </w:p>
        </w:tc>
        <w:tc>
          <w:tcPr>
            <w:tcW w:w="491" w:type="pct"/>
            <w:vAlign w:val="center"/>
          </w:tcPr>
          <w:p w14:paraId="2B836629" w14:textId="623099ED" w:rsidR="008F7B73" w:rsidRPr="00D948C1" w:rsidRDefault="008F7B73" w:rsidP="006C0086">
            <w:pPr>
              <w:tabs>
                <w:tab w:val="decimal" w:pos="889"/>
              </w:tabs>
              <w:spacing w:line="276" w:lineRule="auto"/>
              <w:jc w:val="right"/>
              <w:rPr>
                <w:rFonts w:cs="Arial"/>
                <w:szCs w:val="24"/>
              </w:rPr>
            </w:pPr>
          </w:p>
        </w:tc>
        <w:tc>
          <w:tcPr>
            <w:tcW w:w="426" w:type="pct"/>
            <w:vAlign w:val="center"/>
          </w:tcPr>
          <w:p w14:paraId="6AF2F2BB" w14:textId="0A56A592" w:rsidR="008F7B73" w:rsidRPr="00D948C1" w:rsidRDefault="008F7B73" w:rsidP="006C0086">
            <w:pPr>
              <w:tabs>
                <w:tab w:val="decimal" w:pos="885"/>
              </w:tabs>
              <w:spacing w:line="276" w:lineRule="auto"/>
              <w:jc w:val="right"/>
              <w:rPr>
                <w:rFonts w:cs="Arial"/>
                <w:szCs w:val="24"/>
              </w:rPr>
            </w:pPr>
          </w:p>
        </w:tc>
        <w:tc>
          <w:tcPr>
            <w:tcW w:w="492" w:type="pct"/>
            <w:vAlign w:val="center"/>
          </w:tcPr>
          <w:p w14:paraId="71E2D07F" w14:textId="5BC54330" w:rsidR="008F7B73" w:rsidRPr="00D948C1" w:rsidRDefault="008F7B73" w:rsidP="006C0086">
            <w:pPr>
              <w:tabs>
                <w:tab w:val="decimal" w:pos="742"/>
              </w:tabs>
              <w:spacing w:line="276" w:lineRule="auto"/>
              <w:jc w:val="right"/>
              <w:rPr>
                <w:rFonts w:cs="Arial"/>
                <w:szCs w:val="24"/>
              </w:rPr>
            </w:pPr>
            <w:r w:rsidRPr="00D948C1">
              <w:rPr>
                <w:rFonts w:cs="Arial"/>
                <w:szCs w:val="24"/>
              </w:rPr>
              <w:t xml:space="preserve">1,388 </w:t>
            </w:r>
          </w:p>
        </w:tc>
      </w:tr>
      <w:tr w:rsidR="008F7B73" w:rsidRPr="00D948C1" w14:paraId="6D5C6652" w14:textId="77777777" w:rsidTr="00036C34">
        <w:tc>
          <w:tcPr>
            <w:tcW w:w="1822" w:type="pct"/>
          </w:tcPr>
          <w:p w14:paraId="22362E76" w14:textId="77777777" w:rsidR="008F7B73" w:rsidRPr="00D948C1" w:rsidRDefault="008F7B73" w:rsidP="006C0086">
            <w:pPr>
              <w:spacing w:line="276" w:lineRule="auto"/>
              <w:rPr>
                <w:rFonts w:cs="Arial"/>
                <w:szCs w:val="24"/>
              </w:rPr>
            </w:pPr>
            <w:r w:rsidRPr="00D948C1">
              <w:rPr>
                <w:rFonts w:cs="Arial"/>
                <w:szCs w:val="24"/>
              </w:rPr>
              <w:t>Pensions interest cost and expected return on pensions assets</w:t>
            </w:r>
          </w:p>
        </w:tc>
        <w:tc>
          <w:tcPr>
            <w:tcW w:w="361" w:type="pct"/>
            <w:vAlign w:val="center"/>
          </w:tcPr>
          <w:p w14:paraId="17868737" w14:textId="61B6A432" w:rsidR="008F7B73" w:rsidRPr="00D948C1" w:rsidRDefault="008F7B73" w:rsidP="006C0086">
            <w:pPr>
              <w:spacing w:line="276" w:lineRule="auto"/>
              <w:jc w:val="center"/>
              <w:rPr>
                <w:rStyle w:val="Hyperlink"/>
              </w:rPr>
            </w:pPr>
            <w:hyperlink w:anchor="N15" w:history="1">
              <w:r w:rsidRPr="00D948C1">
                <w:rPr>
                  <w:rStyle w:val="Hyperlink"/>
                  <w:szCs w:val="24"/>
                </w:rPr>
                <w:t>15</w:t>
              </w:r>
            </w:hyperlink>
          </w:p>
        </w:tc>
        <w:tc>
          <w:tcPr>
            <w:tcW w:w="491" w:type="pct"/>
            <w:vAlign w:val="center"/>
          </w:tcPr>
          <w:p w14:paraId="17720D39" w14:textId="2B989485" w:rsidR="008F7B73" w:rsidRPr="00D948C1" w:rsidRDefault="008F7B73" w:rsidP="006C0086">
            <w:pPr>
              <w:tabs>
                <w:tab w:val="decimal" w:pos="884"/>
              </w:tabs>
              <w:spacing w:line="276" w:lineRule="auto"/>
              <w:jc w:val="right"/>
              <w:rPr>
                <w:rFonts w:cs="Arial"/>
                <w:szCs w:val="24"/>
              </w:rPr>
            </w:pPr>
          </w:p>
        </w:tc>
        <w:tc>
          <w:tcPr>
            <w:tcW w:w="426" w:type="pct"/>
            <w:vAlign w:val="center"/>
          </w:tcPr>
          <w:p w14:paraId="13A13C29" w14:textId="2859C89E" w:rsidR="008F7B73" w:rsidRPr="00D948C1" w:rsidRDefault="008F7B73" w:rsidP="006C0086">
            <w:pPr>
              <w:tabs>
                <w:tab w:val="decimal" w:pos="884"/>
              </w:tabs>
              <w:spacing w:line="276" w:lineRule="auto"/>
              <w:jc w:val="right"/>
              <w:rPr>
                <w:rFonts w:cs="Arial"/>
                <w:szCs w:val="24"/>
              </w:rPr>
            </w:pPr>
          </w:p>
        </w:tc>
        <w:tc>
          <w:tcPr>
            <w:tcW w:w="491" w:type="pct"/>
            <w:vAlign w:val="center"/>
          </w:tcPr>
          <w:p w14:paraId="2B8DBBD3" w14:textId="78B45296" w:rsidR="008F7B73" w:rsidRPr="00D948C1" w:rsidRDefault="00B567FC" w:rsidP="006C0086">
            <w:pPr>
              <w:tabs>
                <w:tab w:val="decimal" w:pos="884"/>
              </w:tabs>
              <w:spacing w:line="276" w:lineRule="auto"/>
              <w:jc w:val="right"/>
              <w:rPr>
                <w:rFonts w:cs="Arial"/>
                <w:szCs w:val="24"/>
              </w:rPr>
            </w:pPr>
            <w:r w:rsidRPr="00D948C1">
              <w:rPr>
                <w:rFonts w:cs="Arial"/>
                <w:szCs w:val="24"/>
              </w:rPr>
              <w:t>28,750</w:t>
            </w:r>
            <w:r w:rsidR="008F7B73" w:rsidRPr="00D948C1">
              <w:rPr>
                <w:rFonts w:cs="Arial"/>
                <w:szCs w:val="24"/>
              </w:rPr>
              <w:t xml:space="preserve"> </w:t>
            </w:r>
          </w:p>
        </w:tc>
        <w:tc>
          <w:tcPr>
            <w:tcW w:w="491" w:type="pct"/>
            <w:vAlign w:val="center"/>
          </w:tcPr>
          <w:p w14:paraId="776B59B4" w14:textId="7D8DFD20" w:rsidR="008F7B73" w:rsidRPr="00D948C1" w:rsidRDefault="008F7B73" w:rsidP="006C0086">
            <w:pPr>
              <w:tabs>
                <w:tab w:val="decimal" w:pos="889"/>
              </w:tabs>
              <w:spacing w:line="276" w:lineRule="auto"/>
              <w:jc w:val="right"/>
              <w:rPr>
                <w:rFonts w:cs="Arial"/>
                <w:szCs w:val="24"/>
              </w:rPr>
            </w:pPr>
          </w:p>
        </w:tc>
        <w:tc>
          <w:tcPr>
            <w:tcW w:w="426" w:type="pct"/>
            <w:vAlign w:val="center"/>
          </w:tcPr>
          <w:p w14:paraId="6C5D363D" w14:textId="4B58556A" w:rsidR="008F7B73" w:rsidRPr="00D948C1" w:rsidRDefault="008F7B73" w:rsidP="006C0086">
            <w:pPr>
              <w:tabs>
                <w:tab w:val="decimal" w:pos="885"/>
              </w:tabs>
              <w:spacing w:line="276" w:lineRule="auto"/>
              <w:jc w:val="right"/>
              <w:rPr>
                <w:rFonts w:cs="Arial"/>
                <w:szCs w:val="24"/>
              </w:rPr>
            </w:pPr>
          </w:p>
        </w:tc>
        <w:tc>
          <w:tcPr>
            <w:tcW w:w="492" w:type="pct"/>
            <w:vAlign w:val="center"/>
          </w:tcPr>
          <w:p w14:paraId="6A26CB91" w14:textId="1B98CA18" w:rsidR="008F7B73" w:rsidRPr="00D948C1" w:rsidRDefault="008F7B73" w:rsidP="006C0086">
            <w:pPr>
              <w:tabs>
                <w:tab w:val="decimal" w:pos="742"/>
              </w:tabs>
              <w:spacing w:line="276" w:lineRule="auto"/>
              <w:jc w:val="right"/>
              <w:rPr>
                <w:rFonts w:cs="Arial"/>
                <w:szCs w:val="24"/>
              </w:rPr>
            </w:pPr>
            <w:r w:rsidRPr="00D948C1">
              <w:rPr>
                <w:rFonts w:cs="Arial"/>
                <w:szCs w:val="24"/>
              </w:rPr>
              <w:t xml:space="preserve">23,246 </w:t>
            </w:r>
          </w:p>
        </w:tc>
      </w:tr>
      <w:tr w:rsidR="008F7B73" w:rsidRPr="00D948C1" w14:paraId="7706A461" w14:textId="77777777" w:rsidTr="00036C34">
        <w:tc>
          <w:tcPr>
            <w:tcW w:w="1822" w:type="pct"/>
          </w:tcPr>
          <w:p w14:paraId="5F806625" w14:textId="77777777" w:rsidR="008F7B73" w:rsidRPr="00D948C1" w:rsidRDefault="008F7B73" w:rsidP="006C0086">
            <w:pPr>
              <w:spacing w:line="276" w:lineRule="auto"/>
              <w:rPr>
                <w:rFonts w:cs="Arial"/>
                <w:szCs w:val="24"/>
              </w:rPr>
            </w:pPr>
            <w:r w:rsidRPr="00D948C1">
              <w:rPr>
                <w:rFonts w:cs="Arial"/>
                <w:szCs w:val="24"/>
              </w:rPr>
              <w:t>Interest receivable and similar Income</w:t>
            </w:r>
          </w:p>
        </w:tc>
        <w:tc>
          <w:tcPr>
            <w:tcW w:w="361" w:type="pct"/>
            <w:vAlign w:val="center"/>
          </w:tcPr>
          <w:p w14:paraId="0FA2D380" w14:textId="36C60FBF" w:rsidR="008F7B73" w:rsidRPr="00D948C1" w:rsidRDefault="008F7B73" w:rsidP="006C0086">
            <w:pPr>
              <w:spacing w:line="276" w:lineRule="auto"/>
              <w:jc w:val="center"/>
              <w:rPr>
                <w:rStyle w:val="Hyperlink"/>
              </w:rPr>
            </w:pPr>
            <w:hyperlink w:anchor="N8" w:history="1">
              <w:r w:rsidRPr="00D948C1">
                <w:rPr>
                  <w:rStyle w:val="Hyperlink"/>
                  <w:szCs w:val="24"/>
                </w:rPr>
                <w:t>8</w:t>
              </w:r>
            </w:hyperlink>
          </w:p>
        </w:tc>
        <w:tc>
          <w:tcPr>
            <w:tcW w:w="491" w:type="pct"/>
            <w:vAlign w:val="center"/>
          </w:tcPr>
          <w:p w14:paraId="69FEE268" w14:textId="1EFDF4BE" w:rsidR="008F7B73" w:rsidRPr="00D948C1" w:rsidRDefault="008F7B73" w:rsidP="006C0086">
            <w:pPr>
              <w:tabs>
                <w:tab w:val="decimal" w:pos="884"/>
              </w:tabs>
              <w:spacing w:line="276" w:lineRule="auto"/>
              <w:jc w:val="right"/>
              <w:rPr>
                <w:rFonts w:cs="Arial"/>
                <w:szCs w:val="24"/>
              </w:rPr>
            </w:pPr>
          </w:p>
        </w:tc>
        <w:tc>
          <w:tcPr>
            <w:tcW w:w="426" w:type="pct"/>
            <w:vAlign w:val="center"/>
          </w:tcPr>
          <w:p w14:paraId="5BDB7FF1" w14:textId="0D72038D" w:rsidR="008F7B73" w:rsidRPr="00D948C1" w:rsidRDefault="008F7B73" w:rsidP="006C0086">
            <w:pPr>
              <w:tabs>
                <w:tab w:val="decimal" w:pos="884"/>
              </w:tabs>
              <w:spacing w:line="276" w:lineRule="auto"/>
              <w:jc w:val="right"/>
              <w:rPr>
                <w:rFonts w:cs="Arial"/>
                <w:szCs w:val="24"/>
              </w:rPr>
            </w:pPr>
          </w:p>
        </w:tc>
        <w:tc>
          <w:tcPr>
            <w:tcW w:w="491" w:type="pct"/>
            <w:vAlign w:val="center"/>
          </w:tcPr>
          <w:p w14:paraId="0EC82CFA" w14:textId="4155BF98" w:rsidR="008F7B73" w:rsidRPr="00D948C1" w:rsidRDefault="008F7B73" w:rsidP="006C0086">
            <w:pPr>
              <w:tabs>
                <w:tab w:val="decimal" w:pos="884"/>
              </w:tabs>
              <w:spacing w:line="276" w:lineRule="auto"/>
              <w:jc w:val="right"/>
              <w:rPr>
                <w:rFonts w:cs="Arial"/>
                <w:szCs w:val="24"/>
              </w:rPr>
            </w:pPr>
            <w:r w:rsidRPr="00D948C1">
              <w:rPr>
                <w:rFonts w:cs="Arial"/>
                <w:szCs w:val="24"/>
              </w:rPr>
              <w:t>(</w:t>
            </w:r>
            <w:r w:rsidR="00B567FC" w:rsidRPr="00D948C1">
              <w:rPr>
                <w:rFonts w:cs="Arial"/>
                <w:szCs w:val="24"/>
              </w:rPr>
              <w:t>1,574</w:t>
            </w:r>
            <w:r w:rsidRPr="00D948C1">
              <w:rPr>
                <w:rFonts w:cs="Arial"/>
                <w:szCs w:val="24"/>
              </w:rPr>
              <w:t>)</w:t>
            </w:r>
          </w:p>
        </w:tc>
        <w:tc>
          <w:tcPr>
            <w:tcW w:w="491" w:type="pct"/>
            <w:vAlign w:val="center"/>
          </w:tcPr>
          <w:p w14:paraId="30721FEE" w14:textId="4B34A145" w:rsidR="008F7B73" w:rsidRPr="00D948C1" w:rsidRDefault="008F7B73" w:rsidP="006C0086">
            <w:pPr>
              <w:tabs>
                <w:tab w:val="decimal" w:pos="889"/>
              </w:tabs>
              <w:spacing w:line="276" w:lineRule="auto"/>
              <w:jc w:val="right"/>
              <w:rPr>
                <w:rFonts w:cs="Arial"/>
                <w:szCs w:val="24"/>
              </w:rPr>
            </w:pPr>
          </w:p>
        </w:tc>
        <w:tc>
          <w:tcPr>
            <w:tcW w:w="426" w:type="pct"/>
            <w:vAlign w:val="center"/>
          </w:tcPr>
          <w:p w14:paraId="253FAE47" w14:textId="04B05870" w:rsidR="008F7B73" w:rsidRPr="00D948C1" w:rsidRDefault="008F7B73" w:rsidP="006C0086">
            <w:pPr>
              <w:tabs>
                <w:tab w:val="decimal" w:pos="885"/>
              </w:tabs>
              <w:spacing w:line="276" w:lineRule="auto"/>
              <w:jc w:val="right"/>
              <w:rPr>
                <w:rFonts w:cs="Arial"/>
                <w:szCs w:val="24"/>
              </w:rPr>
            </w:pPr>
          </w:p>
        </w:tc>
        <w:tc>
          <w:tcPr>
            <w:tcW w:w="492" w:type="pct"/>
            <w:vAlign w:val="center"/>
          </w:tcPr>
          <w:p w14:paraId="7EA0B9D9" w14:textId="090D2997" w:rsidR="008F7B73" w:rsidRPr="00D948C1" w:rsidRDefault="008F7B73" w:rsidP="006C0086">
            <w:pPr>
              <w:tabs>
                <w:tab w:val="decimal" w:pos="742"/>
              </w:tabs>
              <w:spacing w:line="276" w:lineRule="auto"/>
              <w:jc w:val="right"/>
              <w:rPr>
                <w:rFonts w:cs="Arial"/>
                <w:szCs w:val="24"/>
              </w:rPr>
            </w:pPr>
            <w:r w:rsidRPr="00D948C1">
              <w:rPr>
                <w:rFonts w:cs="Arial"/>
                <w:szCs w:val="24"/>
              </w:rPr>
              <w:t>(837)</w:t>
            </w:r>
          </w:p>
        </w:tc>
      </w:tr>
    </w:tbl>
    <w:p w14:paraId="0415F6FD" w14:textId="77777777" w:rsidR="003127E7" w:rsidRPr="00D948C1" w:rsidRDefault="003127E7" w:rsidP="006C0086">
      <w:pPr>
        <w:spacing w:line="276" w:lineRule="auto"/>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8"/>
        <w:gridCol w:w="1098"/>
        <w:gridCol w:w="1498"/>
        <w:gridCol w:w="1282"/>
        <w:gridCol w:w="1498"/>
        <w:gridCol w:w="1498"/>
        <w:gridCol w:w="1285"/>
        <w:gridCol w:w="1504"/>
      </w:tblGrid>
      <w:tr w:rsidR="0093301C" w:rsidRPr="00D948C1" w14:paraId="7DDF7702" w14:textId="77777777" w:rsidTr="00036C34">
        <w:trPr>
          <w:trHeight w:val="272"/>
        </w:trPr>
        <w:tc>
          <w:tcPr>
            <w:tcW w:w="5000" w:type="pct"/>
            <w:gridSpan w:val="8"/>
            <w:shd w:val="clear" w:color="auto" w:fill="D9D9D9" w:themeFill="background1" w:themeFillShade="D9"/>
          </w:tcPr>
          <w:p w14:paraId="78AC1CF2" w14:textId="58D4920B" w:rsidR="0093301C" w:rsidRPr="00D948C1" w:rsidRDefault="0093301C" w:rsidP="006C0086">
            <w:pPr>
              <w:spacing w:line="276" w:lineRule="auto"/>
              <w:rPr>
                <w:rFonts w:cs="Arial"/>
                <w:b/>
                <w:bCs/>
                <w:szCs w:val="24"/>
              </w:rPr>
            </w:pPr>
            <w:r w:rsidRPr="00D948C1">
              <w:rPr>
                <w:rFonts w:cs="Arial"/>
                <w:b/>
                <w:bCs/>
                <w:szCs w:val="24"/>
              </w:rPr>
              <w:t>Taxation and non-specific grant income</w:t>
            </w:r>
          </w:p>
        </w:tc>
      </w:tr>
      <w:tr w:rsidR="008F7B73" w:rsidRPr="00D948C1" w14:paraId="1301DFD6" w14:textId="77777777" w:rsidTr="00793A3A">
        <w:tc>
          <w:tcPr>
            <w:tcW w:w="1826" w:type="pct"/>
          </w:tcPr>
          <w:p w14:paraId="1ADC4C55" w14:textId="77777777" w:rsidR="008F7B73" w:rsidRPr="00D948C1" w:rsidRDefault="008F7B73" w:rsidP="006C0086">
            <w:pPr>
              <w:spacing w:line="276" w:lineRule="auto"/>
              <w:rPr>
                <w:rFonts w:cs="Arial"/>
                <w:szCs w:val="24"/>
              </w:rPr>
            </w:pPr>
            <w:r w:rsidRPr="00D948C1">
              <w:rPr>
                <w:rFonts w:cs="Arial"/>
                <w:szCs w:val="24"/>
              </w:rPr>
              <w:t>Council tax</w:t>
            </w:r>
          </w:p>
        </w:tc>
        <w:tc>
          <w:tcPr>
            <w:tcW w:w="361" w:type="pct"/>
          </w:tcPr>
          <w:p w14:paraId="63BD858B" w14:textId="77777777" w:rsidR="008F7B73" w:rsidRPr="00D948C1" w:rsidRDefault="008F7B73" w:rsidP="006C0086">
            <w:pPr>
              <w:spacing w:line="276" w:lineRule="auto"/>
              <w:jc w:val="center"/>
              <w:rPr>
                <w:rStyle w:val="Hyperlink"/>
              </w:rPr>
            </w:pPr>
          </w:p>
        </w:tc>
        <w:tc>
          <w:tcPr>
            <w:tcW w:w="492" w:type="pct"/>
          </w:tcPr>
          <w:p w14:paraId="106907B7" w14:textId="05B74ACE" w:rsidR="008F7B73" w:rsidRPr="00D948C1" w:rsidRDefault="008F7B73" w:rsidP="006C0086">
            <w:pPr>
              <w:tabs>
                <w:tab w:val="decimal" w:pos="884"/>
              </w:tabs>
              <w:spacing w:line="276" w:lineRule="auto"/>
              <w:rPr>
                <w:rFonts w:cs="Arial"/>
                <w:szCs w:val="24"/>
              </w:rPr>
            </w:pPr>
          </w:p>
        </w:tc>
        <w:tc>
          <w:tcPr>
            <w:tcW w:w="421" w:type="pct"/>
          </w:tcPr>
          <w:p w14:paraId="2859AFC1" w14:textId="77777777" w:rsidR="008F7B73" w:rsidRPr="00D948C1" w:rsidRDefault="008F7B73" w:rsidP="006C0086">
            <w:pPr>
              <w:tabs>
                <w:tab w:val="decimal" w:pos="884"/>
              </w:tabs>
              <w:spacing w:line="276" w:lineRule="auto"/>
              <w:rPr>
                <w:rFonts w:cs="Arial"/>
                <w:szCs w:val="24"/>
              </w:rPr>
            </w:pPr>
          </w:p>
        </w:tc>
        <w:tc>
          <w:tcPr>
            <w:tcW w:w="492" w:type="pct"/>
          </w:tcPr>
          <w:p w14:paraId="13B84267" w14:textId="473B0328" w:rsidR="008F7B73" w:rsidRPr="00D948C1" w:rsidRDefault="008F7B73" w:rsidP="006C0086">
            <w:pPr>
              <w:tabs>
                <w:tab w:val="decimal" w:pos="889"/>
              </w:tabs>
              <w:spacing w:line="276" w:lineRule="auto"/>
              <w:jc w:val="right"/>
              <w:rPr>
                <w:rFonts w:cs="Arial"/>
                <w:szCs w:val="24"/>
              </w:rPr>
            </w:pPr>
            <w:r w:rsidRPr="00D948C1">
              <w:rPr>
                <w:rFonts w:cs="Arial"/>
                <w:szCs w:val="24"/>
              </w:rPr>
              <w:t>(3</w:t>
            </w:r>
            <w:r w:rsidR="00AF198E" w:rsidRPr="00D948C1">
              <w:rPr>
                <w:rFonts w:cs="Arial"/>
                <w:szCs w:val="24"/>
              </w:rPr>
              <w:t>7</w:t>
            </w:r>
            <w:r w:rsidRPr="00D948C1">
              <w:rPr>
                <w:rFonts w:cs="Arial"/>
                <w:szCs w:val="24"/>
              </w:rPr>
              <w:t>,</w:t>
            </w:r>
            <w:r w:rsidR="00AF198E" w:rsidRPr="00D948C1">
              <w:rPr>
                <w:rFonts w:cs="Arial"/>
                <w:szCs w:val="24"/>
              </w:rPr>
              <w:t>826</w:t>
            </w:r>
            <w:r w:rsidRPr="00D948C1">
              <w:rPr>
                <w:rFonts w:cs="Arial"/>
                <w:szCs w:val="24"/>
              </w:rPr>
              <w:t>)</w:t>
            </w:r>
          </w:p>
        </w:tc>
        <w:tc>
          <w:tcPr>
            <w:tcW w:w="492" w:type="pct"/>
          </w:tcPr>
          <w:p w14:paraId="1ED8213E" w14:textId="0C664947" w:rsidR="008F7B73" w:rsidRPr="00D948C1" w:rsidRDefault="008F7B73" w:rsidP="006C0086">
            <w:pPr>
              <w:tabs>
                <w:tab w:val="decimal" w:pos="885"/>
              </w:tabs>
              <w:spacing w:line="276" w:lineRule="auto"/>
              <w:rPr>
                <w:rFonts w:cs="Arial"/>
                <w:szCs w:val="24"/>
              </w:rPr>
            </w:pPr>
          </w:p>
        </w:tc>
        <w:tc>
          <w:tcPr>
            <w:tcW w:w="422" w:type="pct"/>
          </w:tcPr>
          <w:p w14:paraId="6480075C" w14:textId="77777777" w:rsidR="008F7B73" w:rsidRPr="00D948C1" w:rsidRDefault="008F7B73" w:rsidP="006C0086">
            <w:pPr>
              <w:tabs>
                <w:tab w:val="decimal" w:pos="601"/>
              </w:tabs>
              <w:spacing w:line="276" w:lineRule="auto"/>
              <w:jc w:val="both"/>
              <w:rPr>
                <w:rFonts w:cs="Arial"/>
                <w:szCs w:val="24"/>
              </w:rPr>
            </w:pPr>
          </w:p>
        </w:tc>
        <w:tc>
          <w:tcPr>
            <w:tcW w:w="494" w:type="pct"/>
          </w:tcPr>
          <w:p w14:paraId="1EA74B56" w14:textId="23C1DE15" w:rsidR="008F7B73" w:rsidRPr="00D948C1" w:rsidRDefault="008F7B73" w:rsidP="006C0086">
            <w:pPr>
              <w:spacing w:line="276" w:lineRule="auto"/>
              <w:jc w:val="right"/>
              <w:rPr>
                <w:rFonts w:cs="Arial"/>
                <w:szCs w:val="24"/>
              </w:rPr>
            </w:pPr>
            <w:r w:rsidRPr="00D948C1">
              <w:rPr>
                <w:rFonts w:cs="Arial"/>
                <w:szCs w:val="24"/>
              </w:rPr>
              <w:t>(34,968)</w:t>
            </w:r>
          </w:p>
        </w:tc>
      </w:tr>
      <w:tr w:rsidR="008F7B73" w:rsidRPr="00D948C1" w14:paraId="66B9C3B3" w14:textId="77777777" w:rsidTr="00793A3A">
        <w:tc>
          <w:tcPr>
            <w:tcW w:w="1826" w:type="pct"/>
          </w:tcPr>
          <w:p w14:paraId="50780995" w14:textId="77777777" w:rsidR="008F7B73" w:rsidRPr="00D948C1" w:rsidRDefault="008F7B73" w:rsidP="006C0086">
            <w:pPr>
              <w:spacing w:line="276" w:lineRule="auto"/>
              <w:rPr>
                <w:rFonts w:cs="Arial"/>
                <w:szCs w:val="24"/>
              </w:rPr>
            </w:pPr>
            <w:r w:rsidRPr="00D948C1">
              <w:rPr>
                <w:rFonts w:cs="Arial"/>
                <w:szCs w:val="24"/>
              </w:rPr>
              <w:t>Revenue Support Grant</w:t>
            </w:r>
          </w:p>
        </w:tc>
        <w:tc>
          <w:tcPr>
            <w:tcW w:w="361" w:type="pct"/>
          </w:tcPr>
          <w:p w14:paraId="6F671289" w14:textId="77777777" w:rsidR="008F7B73" w:rsidRPr="00D948C1" w:rsidRDefault="008F7B73" w:rsidP="006C0086">
            <w:pPr>
              <w:spacing w:line="276" w:lineRule="auto"/>
              <w:jc w:val="center"/>
              <w:rPr>
                <w:rStyle w:val="Hyperlink"/>
              </w:rPr>
            </w:pPr>
          </w:p>
        </w:tc>
        <w:tc>
          <w:tcPr>
            <w:tcW w:w="492" w:type="pct"/>
          </w:tcPr>
          <w:p w14:paraId="28147392" w14:textId="78B914FC" w:rsidR="008F7B73" w:rsidRPr="00D948C1" w:rsidRDefault="008F7B73" w:rsidP="006C0086">
            <w:pPr>
              <w:tabs>
                <w:tab w:val="decimal" w:pos="884"/>
              </w:tabs>
              <w:spacing w:line="276" w:lineRule="auto"/>
              <w:rPr>
                <w:rFonts w:cs="Arial"/>
                <w:szCs w:val="24"/>
              </w:rPr>
            </w:pPr>
          </w:p>
        </w:tc>
        <w:tc>
          <w:tcPr>
            <w:tcW w:w="421" w:type="pct"/>
          </w:tcPr>
          <w:p w14:paraId="33A264BB" w14:textId="77777777" w:rsidR="008F7B73" w:rsidRPr="00D948C1" w:rsidRDefault="008F7B73" w:rsidP="006C0086">
            <w:pPr>
              <w:tabs>
                <w:tab w:val="decimal" w:pos="884"/>
              </w:tabs>
              <w:spacing w:line="276" w:lineRule="auto"/>
              <w:rPr>
                <w:rFonts w:cs="Arial"/>
                <w:szCs w:val="24"/>
              </w:rPr>
            </w:pPr>
          </w:p>
        </w:tc>
        <w:tc>
          <w:tcPr>
            <w:tcW w:w="492" w:type="pct"/>
          </w:tcPr>
          <w:p w14:paraId="77FF38B7" w14:textId="3A2C05E4" w:rsidR="008F7B73" w:rsidRPr="00D948C1" w:rsidRDefault="008F7B73" w:rsidP="006C0086">
            <w:pPr>
              <w:tabs>
                <w:tab w:val="decimal" w:pos="889"/>
              </w:tabs>
              <w:spacing w:line="276" w:lineRule="auto"/>
              <w:jc w:val="right"/>
              <w:rPr>
                <w:rFonts w:cs="Arial"/>
                <w:szCs w:val="24"/>
              </w:rPr>
            </w:pPr>
            <w:r w:rsidRPr="00D948C1">
              <w:rPr>
                <w:rFonts w:cs="Arial"/>
                <w:szCs w:val="24"/>
              </w:rPr>
              <w:t>(9,</w:t>
            </w:r>
            <w:r w:rsidR="00AF198E" w:rsidRPr="00D948C1">
              <w:rPr>
                <w:rFonts w:cs="Arial"/>
                <w:szCs w:val="24"/>
              </w:rPr>
              <w:t>727</w:t>
            </w:r>
            <w:r w:rsidRPr="00D948C1">
              <w:rPr>
                <w:rFonts w:cs="Arial"/>
                <w:szCs w:val="24"/>
              </w:rPr>
              <w:t>)</w:t>
            </w:r>
          </w:p>
        </w:tc>
        <w:tc>
          <w:tcPr>
            <w:tcW w:w="492" w:type="pct"/>
          </w:tcPr>
          <w:p w14:paraId="152FBC12" w14:textId="2111D058" w:rsidR="008F7B73" w:rsidRPr="00D948C1" w:rsidRDefault="008F7B73" w:rsidP="006C0086">
            <w:pPr>
              <w:tabs>
                <w:tab w:val="decimal" w:pos="885"/>
              </w:tabs>
              <w:spacing w:line="276" w:lineRule="auto"/>
              <w:rPr>
                <w:rFonts w:cs="Arial"/>
                <w:szCs w:val="24"/>
              </w:rPr>
            </w:pPr>
          </w:p>
        </w:tc>
        <w:tc>
          <w:tcPr>
            <w:tcW w:w="422" w:type="pct"/>
          </w:tcPr>
          <w:p w14:paraId="634EAE1E" w14:textId="77777777" w:rsidR="008F7B73" w:rsidRPr="00D948C1" w:rsidRDefault="008F7B73" w:rsidP="006C0086">
            <w:pPr>
              <w:tabs>
                <w:tab w:val="decimal" w:pos="601"/>
              </w:tabs>
              <w:spacing w:line="276" w:lineRule="auto"/>
              <w:jc w:val="both"/>
              <w:rPr>
                <w:rFonts w:cs="Arial"/>
                <w:szCs w:val="24"/>
              </w:rPr>
            </w:pPr>
          </w:p>
        </w:tc>
        <w:tc>
          <w:tcPr>
            <w:tcW w:w="494" w:type="pct"/>
          </w:tcPr>
          <w:p w14:paraId="5C7A9BD9" w14:textId="227345F9" w:rsidR="008F7B73" w:rsidRPr="00D948C1" w:rsidRDefault="008F7B73" w:rsidP="006C0086">
            <w:pPr>
              <w:spacing w:line="276" w:lineRule="auto"/>
              <w:jc w:val="right"/>
              <w:rPr>
                <w:rFonts w:cs="Arial"/>
                <w:szCs w:val="24"/>
              </w:rPr>
            </w:pPr>
            <w:r w:rsidRPr="00D948C1">
              <w:rPr>
                <w:rFonts w:cs="Arial"/>
                <w:szCs w:val="24"/>
              </w:rPr>
              <w:t>(9,642)</w:t>
            </w:r>
          </w:p>
        </w:tc>
      </w:tr>
      <w:tr w:rsidR="008F7B73" w:rsidRPr="00D948C1" w14:paraId="461825CA" w14:textId="77777777" w:rsidTr="00793A3A">
        <w:tc>
          <w:tcPr>
            <w:tcW w:w="1826" w:type="pct"/>
          </w:tcPr>
          <w:p w14:paraId="270780C7" w14:textId="77777777" w:rsidR="008F7B73" w:rsidRPr="00D948C1" w:rsidRDefault="008F7B73" w:rsidP="006C0086">
            <w:pPr>
              <w:spacing w:line="276" w:lineRule="auto"/>
              <w:rPr>
                <w:rFonts w:cs="Arial"/>
                <w:szCs w:val="24"/>
              </w:rPr>
            </w:pPr>
            <w:r w:rsidRPr="00D948C1">
              <w:rPr>
                <w:rFonts w:cs="Arial"/>
                <w:szCs w:val="24"/>
              </w:rPr>
              <w:t>Non-domestic rates redistribution</w:t>
            </w:r>
          </w:p>
        </w:tc>
        <w:tc>
          <w:tcPr>
            <w:tcW w:w="361" w:type="pct"/>
          </w:tcPr>
          <w:p w14:paraId="6E50D2D3" w14:textId="77777777" w:rsidR="008F7B73" w:rsidRPr="00D948C1" w:rsidRDefault="008F7B73" w:rsidP="006C0086">
            <w:pPr>
              <w:spacing w:line="276" w:lineRule="auto"/>
              <w:jc w:val="center"/>
              <w:rPr>
                <w:rStyle w:val="Hyperlink"/>
              </w:rPr>
            </w:pPr>
          </w:p>
        </w:tc>
        <w:tc>
          <w:tcPr>
            <w:tcW w:w="492" w:type="pct"/>
          </w:tcPr>
          <w:p w14:paraId="65E41BA5" w14:textId="603F0FDF" w:rsidR="008F7B73" w:rsidRPr="00D948C1" w:rsidRDefault="008F7B73" w:rsidP="006C0086">
            <w:pPr>
              <w:tabs>
                <w:tab w:val="decimal" w:pos="884"/>
              </w:tabs>
              <w:spacing w:line="276" w:lineRule="auto"/>
              <w:rPr>
                <w:rFonts w:cs="Arial"/>
                <w:szCs w:val="24"/>
              </w:rPr>
            </w:pPr>
          </w:p>
        </w:tc>
        <w:tc>
          <w:tcPr>
            <w:tcW w:w="421" w:type="pct"/>
          </w:tcPr>
          <w:p w14:paraId="7B058279" w14:textId="77777777" w:rsidR="008F7B73" w:rsidRPr="00D948C1" w:rsidRDefault="008F7B73" w:rsidP="006C0086">
            <w:pPr>
              <w:tabs>
                <w:tab w:val="decimal" w:pos="884"/>
              </w:tabs>
              <w:spacing w:line="276" w:lineRule="auto"/>
              <w:rPr>
                <w:rFonts w:cs="Arial"/>
                <w:szCs w:val="24"/>
              </w:rPr>
            </w:pPr>
          </w:p>
        </w:tc>
        <w:tc>
          <w:tcPr>
            <w:tcW w:w="492" w:type="pct"/>
          </w:tcPr>
          <w:p w14:paraId="1D6B4DA0" w14:textId="45CBC6B3" w:rsidR="008F7B73" w:rsidRPr="00D948C1" w:rsidRDefault="008F7B73" w:rsidP="006C0086">
            <w:pPr>
              <w:tabs>
                <w:tab w:val="decimal" w:pos="889"/>
              </w:tabs>
              <w:spacing w:line="276" w:lineRule="auto"/>
              <w:jc w:val="right"/>
              <w:rPr>
                <w:rFonts w:cs="Arial"/>
                <w:szCs w:val="24"/>
              </w:rPr>
            </w:pPr>
            <w:r w:rsidRPr="00D948C1">
              <w:rPr>
                <w:rFonts w:cs="Arial"/>
                <w:szCs w:val="24"/>
              </w:rPr>
              <w:t>(</w:t>
            </w:r>
            <w:r w:rsidR="00AF198E" w:rsidRPr="00D948C1">
              <w:rPr>
                <w:rFonts w:cs="Arial"/>
                <w:szCs w:val="24"/>
              </w:rPr>
              <w:t>16,080</w:t>
            </w:r>
            <w:r w:rsidRPr="00D948C1">
              <w:rPr>
                <w:rFonts w:cs="Arial"/>
                <w:szCs w:val="24"/>
              </w:rPr>
              <w:t>)</w:t>
            </w:r>
          </w:p>
        </w:tc>
        <w:tc>
          <w:tcPr>
            <w:tcW w:w="492" w:type="pct"/>
          </w:tcPr>
          <w:p w14:paraId="388DBBBB" w14:textId="1AB217D8" w:rsidR="008F7B73" w:rsidRPr="00D948C1" w:rsidRDefault="008F7B73" w:rsidP="006C0086">
            <w:pPr>
              <w:tabs>
                <w:tab w:val="decimal" w:pos="885"/>
              </w:tabs>
              <w:spacing w:line="276" w:lineRule="auto"/>
              <w:rPr>
                <w:rFonts w:cs="Arial"/>
                <w:szCs w:val="24"/>
              </w:rPr>
            </w:pPr>
          </w:p>
        </w:tc>
        <w:tc>
          <w:tcPr>
            <w:tcW w:w="422" w:type="pct"/>
          </w:tcPr>
          <w:p w14:paraId="3067CF26" w14:textId="77777777" w:rsidR="008F7B73" w:rsidRPr="00D948C1" w:rsidRDefault="008F7B73" w:rsidP="006C0086">
            <w:pPr>
              <w:tabs>
                <w:tab w:val="decimal" w:pos="601"/>
              </w:tabs>
              <w:spacing w:line="276" w:lineRule="auto"/>
              <w:jc w:val="both"/>
              <w:rPr>
                <w:rFonts w:cs="Arial"/>
                <w:szCs w:val="24"/>
              </w:rPr>
            </w:pPr>
          </w:p>
        </w:tc>
        <w:tc>
          <w:tcPr>
            <w:tcW w:w="494" w:type="pct"/>
          </w:tcPr>
          <w:p w14:paraId="1982B2F5" w14:textId="0A0F08B3" w:rsidR="008F7B73" w:rsidRPr="00D948C1" w:rsidRDefault="008F7B73" w:rsidP="006C0086">
            <w:pPr>
              <w:spacing w:line="276" w:lineRule="auto"/>
              <w:jc w:val="right"/>
              <w:rPr>
                <w:rFonts w:cs="Arial"/>
                <w:szCs w:val="24"/>
              </w:rPr>
            </w:pPr>
            <w:r w:rsidRPr="00D948C1">
              <w:rPr>
                <w:rFonts w:cs="Arial"/>
                <w:szCs w:val="24"/>
              </w:rPr>
              <w:t>(15,559)</w:t>
            </w:r>
          </w:p>
        </w:tc>
      </w:tr>
      <w:tr w:rsidR="008F7B73" w:rsidRPr="00D948C1" w14:paraId="6989E789" w14:textId="77777777" w:rsidTr="00793A3A">
        <w:tc>
          <w:tcPr>
            <w:tcW w:w="1826" w:type="pct"/>
          </w:tcPr>
          <w:p w14:paraId="74A75A6A" w14:textId="77777777" w:rsidR="008F7B73" w:rsidRPr="00D948C1" w:rsidRDefault="008F7B73" w:rsidP="006C0086">
            <w:pPr>
              <w:spacing w:line="276" w:lineRule="auto"/>
              <w:rPr>
                <w:rFonts w:cs="Arial"/>
                <w:szCs w:val="24"/>
              </w:rPr>
            </w:pPr>
            <w:r w:rsidRPr="00D948C1">
              <w:rPr>
                <w:rFonts w:cs="Arial"/>
                <w:szCs w:val="24"/>
              </w:rPr>
              <w:t>Business rates S31 grant</w:t>
            </w:r>
          </w:p>
        </w:tc>
        <w:tc>
          <w:tcPr>
            <w:tcW w:w="361" w:type="pct"/>
          </w:tcPr>
          <w:p w14:paraId="0B9BC1D4" w14:textId="77777777" w:rsidR="008F7B73" w:rsidRPr="00D948C1" w:rsidRDefault="008F7B73" w:rsidP="006C0086">
            <w:pPr>
              <w:spacing w:line="276" w:lineRule="auto"/>
              <w:jc w:val="center"/>
              <w:rPr>
                <w:rStyle w:val="Hyperlink"/>
              </w:rPr>
            </w:pPr>
          </w:p>
        </w:tc>
        <w:tc>
          <w:tcPr>
            <w:tcW w:w="492" w:type="pct"/>
          </w:tcPr>
          <w:p w14:paraId="53448B6B" w14:textId="2DB4C950" w:rsidR="008F7B73" w:rsidRPr="00D948C1" w:rsidRDefault="008F7B73" w:rsidP="006C0086">
            <w:pPr>
              <w:tabs>
                <w:tab w:val="decimal" w:pos="884"/>
              </w:tabs>
              <w:spacing w:line="276" w:lineRule="auto"/>
              <w:rPr>
                <w:rFonts w:cs="Arial"/>
                <w:szCs w:val="24"/>
              </w:rPr>
            </w:pPr>
          </w:p>
        </w:tc>
        <w:tc>
          <w:tcPr>
            <w:tcW w:w="421" w:type="pct"/>
          </w:tcPr>
          <w:p w14:paraId="07A56BE7" w14:textId="77777777" w:rsidR="008F7B73" w:rsidRPr="00D948C1" w:rsidRDefault="008F7B73" w:rsidP="006C0086">
            <w:pPr>
              <w:tabs>
                <w:tab w:val="decimal" w:pos="884"/>
              </w:tabs>
              <w:spacing w:line="276" w:lineRule="auto"/>
              <w:rPr>
                <w:rFonts w:cs="Arial"/>
                <w:szCs w:val="24"/>
              </w:rPr>
            </w:pPr>
          </w:p>
        </w:tc>
        <w:tc>
          <w:tcPr>
            <w:tcW w:w="492" w:type="pct"/>
          </w:tcPr>
          <w:p w14:paraId="70294333" w14:textId="71C9152C" w:rsidR="008F7B73" w:rsidRPr="00D948C1" w:rsidRDefault="008F7B73" w:rsidP="006C0086">
            <w:pPr>
              <w:tabs>
                <w:tab w:val="decimal" w:pos="889"/>
              </w:tabs>
              <w:spacing w:line="276" w:lineRule="auto"/>
              <w:jc w:val="right"/>
              <w:rPr>
                <w:rFonts w:cs="Arial"/>
                <w:szCs w:val="24"/>
              </w:rPr>
            </w:pPr>
            <w:r w:rsidRPr="00D948C1">
              <w:rPr>
                <w:rFonts w:cs="Arial"/>
                <w:szCs w:val="24"/>
              </w:rPr>
              <w:t>(</w:t>
            </w:r>
            <w:r w:rsidR="00AF198E" w:rsidRPr="00D948C1">
              <w:rPr>
                <w:rFonts w:cs="Arial"/>
                <w:szCs w:val="24"/>
              </w:rPr>
              <w:t>4,872</w:t>
            </w:r>
            <w:r w:rsidRPr="00D948C1">
              <w:rPr>
                <w:rFonts w:cs="Arial"/>
                <w:szCs w:val="24"/>
              </w:rPr>
              <w:t>)</w:t>
            </w:r>
          </w:p>
        </w:tc>
        <w:tc>
          <w:tcPr>
            <w:tcW w:w="492" w:type="pct"/>
          </w:tcPr>
          <w:p w14:paraId="7A03E3E6" w14:textId="69498173" w:rsidR="008F7B73" w:rsidRPr="00D948C1" w:rsidRDefault="008F7B73" w:rsidP="006C0086">
            <w:pPr>
              <w:tabs>
                <w:tab w:val="decimal" w:pos="885"/>
              </w:tabs>
              <w:spacing w:line="276" w:lineRule="auto"/>
              <w:rPr>
                <w:rFonts w:cs="Arial"/>
                <w:szCs w:val="24"/>
              </w:rPr>
            </w:pPr>
          </w:p>
        </w:tc>
        <w:tc>
          <w:tcPr>
            <w:tcW w:w="422" w:type="pct"/>
          </w:tcPr>
          <w:p w14:paraId="024AEFCF" w14:textId="77777777" w:rsidR="008F7B73" w:rsidRPr="00D948C1" w:rsidRDefault="008F7B73" w:rsidP="006C0086">
            <w:pPr>
              <w:tabs>
                <w:tab w:val="decimal" w:pos="601"/>
              </w:tabs>
              <w:spacing w:line="276" w:lineRule="auto"/>
              <w:jc w:val="both"/>
              <w:rPr>
                <w:rFonts w:cs="Arial"/>
                <w:szCs w:val="24"/>
              </w:rPr>
            </w:pPr>
          </w:p>
        </w:tc>
        <w:tc>
          <w:tcPr>
            <w:tcW w:w="494" w:type="pct"/>
          </w:tcPr>
          <w:p w14:paraId="0FDE986B" w14:textId="4C0408D2" w:rsidR="008F7B73" w:rsidRPr="00D948C1" w:rsidRDefault="008F7B73" w:rsidP="006C0086">
            <w:pPr>
              <w:spacing w:line="276" w:lineRule="auto"/>
              <w:jc w:val="right"/>
              <w:rPr>
                <w:rFonts w:cs="Arial"/>
                <w:szCs w:val="24"/>
              </w:rPr>
            </w:pPr>
            <w:r w:rsidRPr="00D948C1">
              <w:rPr>
                <w:rFonts w:cs="Arial"/>
                <w:szCs w:val="24"/>
              </w:rPr>
              <w:t>(2,951)</w:t>
            </w:r>
          </w:p>
        </w:tc>
      </w:tr>
      <w:tr w:rsidR="008F7B73" w:rsidRPr="00D948C1" w14:paraId="3F3A28BC" w14:textId="77777777" w:rsidTr="00793A3A">
        <w:tc>
          <w:tcPr>
            <w:tcW w:w="1826" w:type="pct"/>
          </w:tcPr>
          <w:p w14:paraId="529159F7" w14:textId="347CCCC6" w:rsidR="008F7B73" w:rsidRPr="00D948C1" w:rsidRDefault="008F7B73" w:rsidP="006C0086">
            <w:pPr>
              <w:spacing w:line="276" w:lineRule="auto"/>
              <w:rPr>
                <w:rFonts w:cs="Arial"/>
                <w:szCs w:val="24"/>
              </w:rPr>
            </w:pPr>
            <w:r w:rsidRPr="00D948C1">
              <w:rPr>
                <w:rFonts w:cs="Arial"/>
                <w:szCs w:val="24"/>
              </w:rPr>
              <w:t>Capital grant income</w:t>
            </w:r>
          </w:p>
        </w:tc>
        <w:tc>
          <w:tcPr>
            <w:tcW w:w="361" w:type="pct"/>
          </w:tcPr>
          <w:p w14:paraId="76D14C41" w14:textId="77777777" w:rsidR="008F7B73" w:rsidRPr="00D948C1" w:rsidRDefault="008F7B73" w:rsidP="006C0086">
            <w:pPr>
              <w:spacing w:line="276" w:lineRule="auto"/>
              <w:jc w:val="center"/>
              <w:rPr>
                <w:rStyle w:val="Hyperlink"/>
              </w:rPr>
            </w:pPr>
          </w:p>
        </w:tc>
        <w:tc>
          <w:tcPr>
            <w:tcW w:w="492" w:type="pct"/>
          </w:tcPr>
          <w:p w14:paraId="2D353126" w14:textId="3369A44F" w:rsidR="008F7B73" w:rsidRPr="00D948C1" w:rsidRDefault="008F7B73" w:rsidP="006C0086">
            <w:pPr>
              <w:tabs>
                <w:tab w:val="decimal" w:pos="884"/>
              </w:tabs>
              <w:spacing w:line="276" w:lineRule="auto"/>
              <w:rPr>
                <w:rFonts w:cs="Arial"/>
                <w:szCs w:val="24"/>
              </w:rPr>
            </w:pPr>
          </w:p>
        </w:tc>
        <w:tc>
          <w:tcPr>
            <w:tcW w:w="421" w:type="pct"/>
          </w:tcPr>
          <w:p w14:paraId="6CAB3F2A" w14:textId="77777777" w:rsidR="008F7B73" w:rsidRPr="00D948C1" w:rsidRDefault="008F7B73" w:rsidP="006C0086">
            <w:pPr>
              <w:tabs>
                <w:tab w:val="decimal" w:pos="884"/>
              </w:tabs>
              <w:spacing w:line="276" w:lineRule="auto"/>
              <w:rPr>
                <w:rFonts w:cs="Arial"/>
                <w:szCs w:val="24"/>
              </w:rPr>
            </w:pPr>
          </w:p>
        </w:tc>
        <w:tc>
          <w:tcPr>
            <w:tcW w:w="492" w:type="pct"/>
          </w:tcPr>
          <w:p w14:paraId="00A32F97" w14:textId="3DB08738" w:rsidR="008F7B73" w:rsidRPr="00D948C1" w:rsidRDefault="008F7B73" w:rsidP="006C0086">
            <w:pPr>
              <w:tabs>
                <w:tab w:val="decimal" w:pos="889"/>
              </w:tabs>
              <w:spacing w:line="276" w:lineRule="auto"/>
              <w:jc w:val="right"/>
              <w:rPr>
                <w:rFonts w:cs="Arial"/>
                <w:szCs w:val="24"/>
              </w:rPr>
            </w:pPr>
            <w:r w:rsidRPr="00D948C1">
              <w:rPr>
                <w:rFonts w:cs="Arial"/>
                <w:szCs w:val="24"/>
              </w:rPr>
              <w:t>(2</w:t>
            </w:r>
            <w:r w:rsidR="00AF198E" w:rsidRPr="00D948C1">
              <w:rPr>
                <w:rFonts w:cs="Arial"/>
                <w:szCs w:val="24"/>
              </w:rPr>
              <w:t>77</w:t>
            </w:r>
            <w:r w:rsidRPr="00D948C1">
              <w:rPr>
                <w:rFonts w:cs="Arial"/>
                <w:szCs w:val="24"/>
              </w:rPr>
              <w:t>)</w:t>
            </w:r>
          </w:p>
        </w:tc>
        <w:tc>
          <w:tcPr>
            <w:tcW w:w="492" w:type="pct"/>
          </w:tcPr>
          <w:p w14:paraId="3D7119A0" w14:textId="77777777" w:rsidR="008F7B73" w:rsidRPr="00D948C1" w:rsidRDefault="008F7B73" w:rsidP="006C0086">
            <w:pPr>
              <w:tabs>
                <w:tab w:val="decimal" w:pos="885"/>
              </w:tabs>
              <w:spacing w:line="276" w:lineRule="auto"/>
              <w:rPr>
                <w:rFonts w:cs="Arial"/>
                <w:szCs w:val="24"/>
              </w:rPr>
            </w:pPr>
          </w:p>
        </w:tc>
        <w:tc>
          <w:tcPr>
            <w:tcW w:w="422" w:type="pct"/>
          </w:tcPr>
          <w:p w14:paraId="36F0E63B" w14:textId="77777777" w:rsidR="008F7B73" w:rsidRPr="00D948C1" w:rsidRDefault="008F7B73" w:rsidP="006C0086">
            <w:pPr>
              <w:tabs>
                <w:tab w:val="decimal" w:pos="601"/>
              </w:tabs>
              <w:spacing w:line="276" w:lineRule="auto"/>
              <w:jc w:val="both"/>
              <w:rPr>
                <w:rFonts w:cs="Arial"/>
                <w:szCs w:val="24"/>
              </w:rPr>
            </w:pPr>
          </w:p>
        </w:tc>
        <w:tc>
          <w:tcPr>
            <w:tcW w:w="494" w:type="pct"/>
          </w:tcPr>
          <w:p w14:paraId="52BD3229" w14:textId="67F92433" w:rsidR="008F7B73" w:rsidRPr="00D948C1" w:rsidRDefault="008F7B73" w:rsidP="006C0086">
            <w:pPr>
              <w:spacing w:line="276" w:lineRule="auto"/>
              <w:jc w:val="right"/>
              <w:rPr>
                <w:rFonts w:cs="Arial"/>
                <w:szCs w:val="24"/>
              </w:rPr>
            </w:pPr>
            <w:r w:rsidRPr="00D948C1">
              <w:rPr>
                <w:rFonts w:cs="Arial"/>
                <w:szCs w:val="24"/>
              </w:rPr>
              <w:t>(253)</w:t>
            </w:r>
          </w:p>
        </w:tc>
      </w:tr>
      <w:tr w:rsidR="008F7B73" w:rsidRPr="00D948C1" w14:paraId="5E51D07D" w14:textId="77777777" w:rsidTr="00793A3A">
        <w:tc>
          <w:tcPr>
            <w:tcW w:w="1826" w:type="pct"/>
          </w:tcPr>
          <w:p w14:paraId="230444E4" w14:textId="0EA895B1" w:rsidR="008F7B73" w:rsidRPr="00D948C1" w:rsidRDefault="008F7B73" w:rsidP="006C0086">
            <w:pPr>
              <w:spacing w:line="276" w:lineRule="auto"/>
              <w:rPr>
                <w:rFonts w:cs="Arial"/>
                <w:b/>
                <w:bCs/>
                <w:szCs w:val="24"/>
              </w:rPr>
            </w:pPr>
            <w:r w:rsidRPr="00D948C1">
              <w:rPr>
                <w:rFonts w:cs="Arial"/>
                <w:b/>
                <w:bCs/>
                <w:szCs w:val="24"/>
              </w:rPr>
              <w:lastRenderedPageBreak/>
              <w:t>Deficit on the provision of services</w:t>
            </w:r>
          </w:p>
        </w:tc>
        <w:tc>
          <w:tcPr>
            <w:tcW w:w="361" w:type="pct"/>
          </w:tcPr>
          <w:p w14:paraId="5307DA0A" w14:textId="77777777" w:rsidR="008F7B73" w:rsidRPr="00D948C1" w:rsidRDefault="008F7B73" w:rsidP="006C0086">
            <w:pPr>
              <w:spacing w:line="276" w:lineRule="auto"/>
              <w:jc w:val="center"/>
              <w:rPr>
                <w:rStyle w:val="Hyperlink"/>
              </w:rPr>
            </w:pPr>
          </w:p>
        </w:tc>
        <w:tc>
          <w:tcPr>
            <w:tcW w:w="492" w:type="pct"/>
          </w:tcPr>
          <w:p w14:paraId="75D395D3" w14:textId="5667467C" w:rsidR="008F7B73" w:rsidRPr="00D948C1" w:rsidRDefault="008F7B73" w:rsidP="006C0086">
            <w:pPr>
              <w:tabs>
                <w:tab w:val="decimal" w:pos="884"/>
              </w:tabs>
              <w:spacing w:line="276" w:lineRule="auto"/>
              <w:rPr>
                <w:rFonts w:cs="Arial"/>
                <w:szCs w:val="24"/>
              </w:rPr>
            </w:pPr>
          </w:p>
        </w:tc>
        <w:tc>
          <w:tcPr>
            <w:tcW w:w="421" w:type="pct"/>
          </w:tcPr>
          <w:p w14:paraId="5127A5EE" w14:textId="77777777" w:rsidR="008F7B73" w:rsidRPr="00D948C1" w:rsidRDefault="008F7B73" w:rsidP="006C0086">
            <w:pPr>
              <w:tabs>
                <w:tab w:val="decimal" w:pos="884"/>
              </w:tabs>
              <w:spacing w:line="276" w:lineRule="auto"/>
              <w:rPr>
                <w:rFonts w:cs="Arial"/>
                <w:szCs w:val="24"/>
              </w:rPr>
            </w:pPr>
          </w:p>
        </w:tc>
        <w:tc>
          <w:tcPr>
            <w:tcW w:w="492" w:type="pct"/>
          </w:tcPr>
          <w:p w14:paraId="7915730D" w14:textId="0725E05C" w:rsidR="008F7B73" w:rsidRPr="00D948C1" w:rsidRDefault="00AF198E" w:rsidP="006C0086">
            <w:pPr>
              <w:tabs>
                <w:tab w:val="decimal" w:pos="889"/>
              </w:tabs>
              <w:spacing w:line="276" w:lineRule="auto"/>
              <w:jc w:val="right"/>
              <w:rPr>
                <w:rFonts w:cs="Arial"/>
                <w:b/>
                <w:bCs/>
                <w:szCs w:val="24"/>
              </w:rPr>
            </w:pPr>
            <w:r w:rsidRPr="00D948C1">
              <w:rPr>
                <w:rFonts w:cs="Arial"/>
                <w:b/>
                <w:bCs/>
                <w:szCs w:val="24"/>
              </w:rPr>
              <w:t>5</w:t>
            </w:r>
            <w:r w:rsidR="00D87D99" w:rsidRPr="00D948C1">
              <w:rPr>
                <w:rFonts w:cs="Arial"/>
                <w:b/>
                <w:bCs/>
                <w:szCs w:val="24"/>
              </w:rPr>
              <w:t>,</w:t>
            </w:r>
            <w:r w:rsidRPr="00D948C1">
              <w:rPr>
                <w:rFonts w:cs="Arial"/>
                <w:b/>
                <w:bCs/>
                <w:szCs w:val="24"/>
              </w:rPr>
              <w:t>838</w:t>
            </w:r>
            <w:r w:rsidR="008F7B73" w:rsidRPr="00D948C1">
              <w:rPr>
                <w:rFonts w:cs="Arial"/>
                <w:b/>
                <w:bCs/>
                <w:szCs w:val="24"/>
              </w:rPr>
              <w:t xml:space="preserve"> </w:t>
            </w:r>
          </w:p>
        </w:tc>
        <w:tc>
          <w:tcPr>
            <w:tcW w:w="492" w:type="pct"/>
          </w:tcPr>
          <w:p w14:paraId="46EBA086" w14:textId="6E652173" w:rsidR="008F7B73" w:rsidRPr="00D948C1" w:rsidRDefault="008F7B73" w:rsidP="006C0086">
            <w:pPr>
              <w:tabs>
                <w:tab w:val="decimal" w:pos="885"/>
              </w:tabs>
              <w:spacing w:line="276" w:lineRule="auto"/>
              <w:rPr>
                <w:rFonts w:cs="Arial"/>
                <w:b/>
                <w:bCs/>
                <w:szCs w:val="24"/>
              </w:rPr>
            </w:pPr>
          </w:p>
        </w:tc>
        <w:tc>
          <w:tcPr>
            <w:tcW w:w="422" w:type="pct"/>
          </w:tcPr>
          <w:p w14:paraId="587A169C" w14:textId="77777777" w:rsidR="008F7B73" w:rsidRPr="00D948C1" w:rsidRDefault="008F7B73" w:rsidP="006C0086">
            <w:pPr>
              <w:tabs>
                <w:tab w:val="decimal" w:pos="601"/>
              </w:tabs>
              <w:spacing w:line="276" w:lineRule="auto"/>
              <w:jc w:val="both"/>
              <w:rPr>
                <w:rFonts w:cs="Arial"/>
                <w:b/>
                <w:bCs/>
                <w:szCs w:val="24"/>
              </w:rPr>
            </w:pPr>
          </w:p>
        </w:tc>
        <w:tc>
          <w:tcPr>
            <w:tcW w:w="494" w:type="pct"/>
          </w:tcPr>
          <w:p w14:paraId="5EC24805" w14:textId="6AD96D2A" w:rsidR="008F7B73" w:rsidRPr="00D948C1" w:rsidRDefault="008F7B73" w:rsidP="006C0086">
            <w:pPr>
              <w:spacing w:line="276" w:lineRule="auto"/>
              <w:jc w:val="right"/>
              <w:rPr>
                <w:rFonts w:cs="Arial"/>
                <w:b/>
                <w:bCs/>
                <w:szCs w:val="24"/>
              </w:rPr>
            </w:pPr>
            <w:r w:rsidRPr="00D948C1">
              <w:rPr>
                <w:rFonts w:cs="Arial"/>
                <w:b/>
                <w:bCs/>
                <w:szCs w:val="24"/>
              </w:rPr>
              <w:t xml:space="preserve">15,347 </w:t>
            </w:r>
          </w:p>
        </w:tc>
      </w:tr>
    </w:tbl>
    <w:p w14:paraId="6F51079E" w14:textId="77777777" w:rsidR="001A6245" w:rsidRDefault="001A6245" w:rsidP="006C0086">
      <w:pPr>
        <w:spacing w:line="276" w:lineRule="auto"/>
      </w:pPr>
      <w:r>
        <w:br w:type="page"/>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8"/>
        <w:gridCol w:w="1098"/>
        <w:gridCol w:w="1498"/>
        <w:gridCol w:w="1282"/>
        <w:gridCol w:w="1498"/>
        <w:gridCol w:w="1498"/>
        <w:gridCol w:w="1285"/>
        <w:gridCol w:w="1504"/>
      </w:tblGrid>
      <w:tr w:rsidR="008F7B73" w:rsidRPr="00D948C1" w14:paraId="501950CF" w14:textId="77777777" w:rsidTr="00BD79B2">
        <w:tc>
          <w:tcPr>
            <w:tcW w:w="2186" w:type="pct"/>
            <w:gridSpan w:val="2"/>
            <w:shd w:val="clear" w:color="auto" w:fill="BD2716"/>
          </w:tcPr>
          <w:p w14:paraId="755D1766" w14:textId="77777777" w:rsidR="008F7B73" w:rsidRPr="00D948C1" w:rsidRDefault="008F7B73" w:rsidP="006C0086">
            <w:pPr>
              <w:tabs>
                <w:tab w:val="decimal" w:pos="884"/>
              </w:tabs>
              <w:spacing w:line="276" w:lineRule="auto"/>
              <w:rPr>
                <w:color w:val="FFFFFF" w:themeColor="background1"/>
              </w:rPr>
            </w:pPr>
          </w:p>
        </w:tc>
        <w:tc>
          <w:tcPr>
            <w:tcW w:w="492" w:type="pct"/>
            <w:shd w:val="clear" w:color="auto" w:fill="BD2716"/>
            <w:vAlign w:val="center"/>
          </w:tcPr>
          <w:p w14:paraId="0F579101" w14:textId="46F3FFCF"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2023/24</w:t>
            </w:r>
          </w:p>
        </w:tc>
        <w:tc>
          <w:tcPr>
            <w:tcW w:w="421" w:type="pct"/>
            <w:shd w:val="clear" w:color="auto" w:fill="BD2716"/>
            <w:vAlign w:val="center"/>
          </w:tcPr>
          <w:p w14:paraId="2D628B09" w14:textId="151177C7"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2023/24</w:t>
            </w:r>
          </w:p>
        </w:tc>
        <w:tc>
          <w:tcPr>
            <w:tcW w:w="492" w:type="pct"/>
            <w:shd w:val="clear" w:color="auto" w:fill="BD2716"/>
            <w:vAlign w:val="center"/>
          </w:tcPr>
          <w:p w14:paraId="387CB089" w14:textId="05479093" w:rsidR="008F7B73" w:rsidRPr="00D948C1" w:rsidRDefault="008F7B73" w:rsidP="006C0086">
            <w:pPr>
              <w:tabs>
                <w:tab w:val="decimal" w:pos="742"/>
              </w:tabs>
              <w:spacing w:line="276" w:lineRule="auto"/>
              <w:ind w:right="177"/>
              <w:jc w:val="center"/>
              <w:rPr>
                <w:rFonts w:cs="Arial"/>
                <w:color w:val="FFFFFF" w:themeColor="background1"/>
                <w:szCs w:val="24"/>
              </w:rPr>
            </w:pPr>
            <w:r w:rsidRPr="00D948C1">
              <w:rPr>
                <w:rFonts w:cs="Arial"/>
                <w:color w:val="FFFFFF" w:themeColor="background1"/>
                <w:szCs w:val="24"/>
              </w:rPr>
              <w:t>2023/24</w:t>
            </w:r>
          </w:p>
        </w:tc>
        <w:tc>
          <w:tcPr>
            <w:tcW w:w="492" w:type="pct"/>
            <w:shd w:val="clear" w:color="auto" w:fill="BD2716"/>
            <w:vAlign w:val="center"/>
          </w:tcPr>
          <w:p w14:paraId="228D5090" w14:textId="08279414"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2022/23</w:t>
            </w:r>
          </w:p>
        </w:tc>
        <w:tc>
          <w:tcPr>
            <w:tcW w:w="422" w:type="pct"/>
            <w:shd w:val="clear" w:color="auto" w:fill="BD2716"/>
            <w:vAlign w:val="center"/>
          </w:tcPr>
          <w:p w14:paraId="22586128" w14:textId="50B13C69" w:rsidR="008F7B73" w:rsidRPr="00D948C1" w:rsidRDefault="008F7B73" w:rsidP="006C0086">
            <w:pPr>
              <w:tabs>
                <w:tab w:val="decimal" w:pos="601"/>
              </w:tabs>
              <w:spacing w:line="276" w:lineRule="auto"/>
              <w:jc w:val="center"/>
              <w:rPr>
                <w:rFonts w:cs="Arial"/>
                <w:color w:val="FFFFFF" w:themeColor="background1"/>
                <w:szCs w:val="24"/>
              </w:rPr>
            </w:pPr>
            <w:r w:rsidRPr="00D948C1">
              <w:rPr>
                <w:rFonts w:cs="Arial"/>
                <w:color w:val="FFFFFF" w:themeColor="background1"/>
                <w:szCs w:val="24"/>
              </w:rPr>
              <w:t>2022/23</w:t>
            </w:r>
          </w:p>
        </w:tc>
        <w:tc>
          <w:tcPr>
            <w:tcW w:w="494" w:type="pct"/>
            <w:shd w:val="clear" w:color="auto" w:fill="BD2716"/>
            <w:vAlign w:val="center"/>
          </w:tcPr>
          <w:p w14:paraId="339401E4" w14:textId="29EAA072" w:rsidR="008F7B73" w:rsidRPr="00D948C1" w:rsidRDefault="008F7B73" w:rsidP="006C0086">
            <w:pPr>
              <w:spacing w:line="276" w:lineRule="auto"/>
              <w:jc w:val="center"/>
              <w:rPr>
                <w:rFonts w:cs="Arial"/>
                <w:color w:val="FFFFFF" w:themeColor="background1"/>
                <w:szCs w:val="24"/>
              </w:rPr>
            </w:pPr>
            <w:r w:rsidRPr="00D948C1">
              <w:rPr>
                <w:rFonts w:cs="Arial"/>
                <w:color w:val="FFFFFF" w:themeColor="background1"/>
                <w:szCs w:val="24"/>
              </w:rPr>
              <w:t>2022/23</w:t>
            </w:r>
          </w:p>
        </w:tc>
      </w:tr>
      <w:tr w:rsidR="00793A3A" w:rsidRPr="00D948C1" w14:paraId="0D4A8030" w14:textId="77777777" w:rsidTr="00611673">
        <w:tc>
          <w:tcPr>
            <w:tcW w:w="1826" w:type="pct"/>
            <w:shd w:val="clear" w:color="auto" w:fill="BD2716"/>
            <w:vAlign w:val="bottom"/>
          </w:tcPr>
          <w:p w14:paraId="1E8A2C43" w14:textId="77777777" w:rsidR="00793A3A" w:rsidRPr="00D948C1" w:rsidRDefault="00793A3A" w:rsidP="006C0086">
            <w:pPr>
              <w:spacing w:line="276" w:lineRule="auto"/>
              <w:rPr>
                <w:rFonts w:cs="Arial"/>
                <w:color w:val="FFFFFF" w:themeColor="background1"/>
                <w:szCs w:val="24"/>
              </w:rPr>
            </w:pPr>
          </w:p>
        </w:tc>
        <w:tc>
          <w:tcPr>
            <w:tcW w:w="361" w:type="pct"/>
            <w:shd w:val="clear" w:color="auto" w:fill="BD2716"/>
            <w:vAlign w:val="center"/>
          </w:tcPr>
          <w:p w14:paraId="35D0CE6C" w14:textId="1CE0F515" w:rsidR="00793A3A" w:rsidRPr="00D948C1" w:rsidRDefault="00793A3A" w:rsidP="006C0086">
            <w:pPr>
              <w:spacing w:line="276" w:lineRule="auto"/>
              <w:rPr>
                <w:rFonts w:cs="Arial"/>
                <w:color w:val="FFFFFF" w:themeColor="background1"/>
                <w:szCs w:val="24"/>
              </w:rPr>
            </w:pPr>
            <w:r w:rsidRPr="00D948C1">
              <w:rPr>
                <w:rFonts w:cs="Arial"/>
                <w:color w:val="FFFFFF" w:themeColor="background1"/>
                <w:szCs w:val="24"/>
              </w:rPr>
              <w:t>Notes</w:t>
            </w:r>
          </w:p>
        </w:tc>
        <w:tc>
          <w:tcPr>
            <w:tcW w:w="492" w:type="pct"/>
            <w:shd w:val="clear" w:color="auto" w:fill="BD2716"/>
            <w:vAlign w:val="center"/>
          </w:tcPr>
          <w:p w14:paraId="7D26DA7A"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56986ED5"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268BD509" w14:textId="30E0CC9A" w:rsidR="00793A3A" w:rsidRPr="00D948C1" w:rsidRDefault="00793A3A" w:rsidP="006C0086">
            <w:pPr>
              <w:tabs>
                <w:tab w:val="decimal" w:pos="884"/>
              </w:tabs>
              <w:spacing w:line="276" w:lineRule="auto"/>
              <w:jc w:val="right"/>
              <w:rPr>
                <w:rFonts w:cs="Arial"/>
                <w:color w:val="FFFFFF" w:themeColor="background1"/>
                <w:szCs w:val="24"/>
              </w:rPr>
            </w:pPr>
            <w:r w:rsidRPr="00D948C1">
              <w:rPr>
                <w:rFonts w:cs="Arial"/>
                <w:color w:val="FFFFFF" w:themeColor="background1"/>
                <w:szCs w:val="24"/>
              </w:rPr>
              <w:t>£000</w:t>
            </w:r>
          </w:p>
        </w:tc>
        <w:tc>
          <w:tcPr>
            <w:tcW w:w="421" w:type="pct"/>
            <w:shd w:val="clear" w:color="auto" w:fill="BD2716"/>
            <w:vAlign w:val="center"/>
          </w:tcPr>
          <w:p w14:paraId="3B160703"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5717DA7A"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Income</w:t>
            </w:r>
          </w:p>
          <w:p w14:paraId="5D787EE7" w14:textId="492552BC" w:rsidR="00793A3A" w:rsidRPr="00D948C1" w:rsidRDefault="00793A3A" w:rsidP="006C0086">
            <w:pPr>
              <w:tabs>
                <w:tab w:val="decimal" w:pos="884"/>
              </w:tabs>
              <w:spacing w:line="276" w:lineRule="auto"/>
              <w:jc w:val="right"/>
              <w:rPr>
                <w:rFonts w:cs="Arial"/>
                <w:color w:val="FFFFFF" w:themeColor="background1"/>
                <w:szCs w:val="24"/>
              </w:rPr>
            </w:pPr>
            <w:r w:rsidRPr="00D948C1">
              <w:rPr>
                <w:rFonts w:cs="Arial"/>
                <w:color w:val="FFFFFF" w:themeColor="background1"/>
                <w:szCs w:val="24"/>
              </w:rPr>
              <w:t>£000</w:t>
            </w:r>
          </w:p>
        </w:tc>
        <w:tc>
          <w:tcPr>
            <w:tcW w:w="492" w:type="pct"/>
            <w:shd w:val="clear" w:color="auto" w:fill="BD2716"/>
            <w:vAlign w:val="center"/>
          </w:tcPr>
          <w:p w14:paraId="37E3DD06"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Net</w:t>
            </w:r>
          </w:p>
          <w:p w14:paraId="3C49C426"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72A94C71" w14:textId="4E916E85"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92" w:type="pct"/>
            <w:shd w:val="clear" w:color="auto" w:fill="BD2716"/>
            <w:vAlign w:val="center"/>
          </w:tcPr>
          <w:p w14:paraId="505A8729"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3C0003BD"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63E673CC" w14:textId="679C4D50" w:rsidR="00793A3A" w:rsidRPr="00D948C1" w:rsidRDefault="00793A3A" w:rsidP="006C0086">
            <w:pPr>
              <w:tabs>
                <w:tab w:val="decimal" w:pos="885"/>
              </w:tabs>
              <w:spacing w:line="276" w:lineRule="auto"/>
              <w:jc w:val="right"/>
              <w:rPr>
                <w:rFonts w:cs="Arial"/>
                <w:color w:val="FFFFFF" w:themeColor="background1"/>
                <w:szCs w:val="24"/>
              </w:rPr>
            </w:pPr>
            <w:r w:rsidRPr="00D948C1">
              <w:rPr>
                <w:rFonts w:cs="Arial"/>
                <w:color w:val="FFFFFF" w:themeColor="background1"/>
                <w:szCs w:val="24"/>
              </w:rPr>
              <w:t>£000</w:t>
            </w:r>
          </w:p>
        </w:tc>
        <w:tc>
          <w:tcPr>
            <w:tcW w:w="422" w:type="pct"/>
            <w:shd w:val="clear" w:color="auto" w:fill="BD2716"/>
            <w:vAlign w:val="center"/>
          </w:tcPr>
          <w:p w14:paraId="724EE63A"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Gross</w:t>
            </w:r>
          </w:p>
          <w:p w14:paraId="1E1776B7"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Income</w:t>
            </w:r>
          </w:p>
          <w:p w14:paraId="1AF556EB" w14:textId="4AB1B271"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94" w:type="pct"/>
            <w:shd w:val="clear" w:color="auto" w:fill="BD2716"/>
            <w:vAlign w:val="center"/>
          </w:tcPr>
          <w:p w14:paraId="2A5E1F8A"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Net</w:t>
            </w:r>
          </w:p>
          <w:p w14:paraId="42FE42AE" w14:textId="77777777"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Expenditure</w:t>
            </w:r>
          </w:p>
          <w:p w14:paraId="511427DF" w14:textId="3AF77989" w:rsidR="00793A3A" w:rsidRPr="00D948C1" w:rsidRDefault="00793A3A"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1A6245" w:rsidRPr="00D948C1" w14:paraId="38749423" w14:textId="77777777" w:rsidTr="00322F91">
        <w:tc>
          <w:tcPr>
            <w:tcW w:w="1826" w:type="pct"/>
          </w:tcPr>
          <w:p w14:paraId="493AEFF2" w14:textId="05EF55DD" w:rsidR="001A6245" w:rsidRPr="00D948C1" w:rsidRDefault="001A6245" w:rsidP="006C0086">
            <w:pPr>
              <w:spacing w:line="276" w:lineRule="auto"/>
              <w:rPr>
                <w:rFonts w:cs="Arial"/>
                <w:szCs w:val="24"/>
              </w:rPr>
            </w:pPr>
            <w:r w:rsidRPr="00D948C1">
              <w:rPr>
                <w:rFonts w:cs="Arial"/>
                <w:szCs w:val="24"/>
              </w:rPr>
              <w:t>Surplus on revaluation of non-current assets</w:t>
            </w:r>
          </w:p>
        </w:tc>
        <w:tc>
          <w:tcPr>
            <w:tcW w:w="361" w:type="pct"/>
          </w:tcPr>
          <w:p w14:paraId="7513FD57" w14:textId="77777777" w:rsidR="001A6245" w:rsidRDefault="001A6245" w:rsidP="006C0086">
            <w:pPr>
              <w:spacing w:line="276" w:lineRule="auto"/>
              <w:jc w:val="center"/>
            </w:pPr>
          </w:p>
        </w:tc>
        <w:tc>
          <w:tcPr>
            <w:tcW w:w="492" w:type="pct"/>
          </w:tcPr>
          <w:p w14:paraId="1AEAD810" w14:textId="77777777" w:rsidR="001A6245" w:rsidRPr="00D948C1" w:rsidRDefault="001A6245" w:rsidP="006C0086">
            <w:pPr>
              <w:tabs>
                <w:tab w:val="decimal" w:pos="884"/>
              </w:tabs>
              <w:spacing w:line="276" w:lineRule="auto"/>
              <w:rPr>
                <w:rFonts w:cs="Arial"/>
                <w:szCs w:val="24"/>
              </w:rPr>
            </w:pPr>
          </w:p>
        </w:tc>
        <w:tc>
          <w:tcPr>
            <w:tcW w:w="421" w:type="pct"/>
          </w:tcPr>
          <w:p w14:paraId="3E6F8F31" w14:textId="77777777" w:rsidR="001A6245" w:rsidRPr="00D948C1" w:rsidRDefault="001A6245" w:rsidP="006C0086">
            <w:pPr>
              <w:tabs>
                <w:tab w:val="decimal" w:pos="884"/>
              </w:tabs>
              <w:spacing w:line="276" w:lineRule="auto"/>
              <w:rPr>
                <w:rFonts w:cs="Arial"/>
                <w:szCs w:val="24"/>
              </w:rPr>
            </w:pPr>
          </w:p>
        </w:tc>
        <w:tc>
          <w:tcPr>
            <w:tcW w:w="492" w:type="pct"/>
            <w:vAlign w:val="center"/>
          </w:tcPr>
          <w:p w14:paraId="58D5192D" w14:textId="49BDC45E" w:rsidR="001A6245" w:rsidRPr="00D948C1" w:rsidRDefault="001A6245" w:rsidP="006C0086">
            <w:pPr>
              <w:tabs>
                <w:tab w:val="decimal" w:pos="889"/>
              </w:tabs>
              <w:spacing w:line="276" w:lineRule="auto"/>
              <w:jc w:val="right"/>
              <w:rPr>
                <w:rFonts w:cs="Arial"/>
                <w:szCs w:val="24"/>
              </w:rPr>
            </w:pPr>
            <w:r w:rsidRPr="00D948C1">
              <w:rPr>
                <w:rFonts w:cs="Arial"/>
                <w:szCs w:val="24"/>
              </w:rPr>
              <w:t>(1,206)</w:t>
            </w:r>
          </w:p>
        </w:tc>
        <w:tc>
          <w:tcPr>
            <w:tcW w:w="492" w:type="pct"/>
            <w:vAlign w:val="center"/>
          </w:tcPr>
          <w:p w14:paraId="0233AD0A" w14:textId="77777777" w:rsidR="001A6245" w:rsidRPr="00D948C1" w:rsidRDefault="001A6245" w:rsidP="006C0086">
            <w:pPr>
              <w:tabs>
                <w:tab w:val="decimal" w:pos="885"/>
              </w:tabs>
              <w:spacing w:line="276" w:lineRule="auto"/>
              <w:jc w:val="right"/>
              <w:rPr>
                <w:rFonts w:cs="Arial"/>
                <w:szCs w:val="24"/>
              </w:rPr>
            </w:pPr>
          </w:p>
        </w:tc>
        <w:tc>
          <w:tcPr>
            <w:tcW w:w="422" w:type="pct"/>
            <w:vAlign w:val="center"/>
          </w:tcPr>
          <w:p w14:paraId="13821C5F" w14:textId="77777777" w:rsidR="001A6245" w:rsidRPr="00D948C1" w:rsidRDefault="001A6245" w:rsidP="006C0086">
            <w:pPr>
              <w:tabs>
                <w:tab w:val="decimal" w:pos="601"/>
              </w:tabs>
              <w:spacing w:line="276" w:lineRule="auto"/>
              <w:jc w:val="right"/>
              <w:rPr>
                <w:rFonts w:cs="Arial"/>
                <w:szCs w:val="24"/>
              </w:rPr>
            </w:pPr>
          </w:p>
        </w:tc>
        <w:tc>
          <w:tcPr>
            <w:tcW w:w="494" w:type="pct"/>
            <w:vAlign w:val="center"/>
          </w:tcPr>
          <w:p w14:paraId="018723C9" w14:textId="10233620" w:rsidR="001A6245" w:rsidRPr="00D948C1" w:rsidRDefault="001A6245" w:rsidP="006C0086">
            <w:pPr>
              <w:tabs>
                <w:tab w:val="decimal" w:pos="889"/>
              </w:tabs>
              <w:spacing w:line="276" w:lineRule="auto"/>
              <w:jc w:val="right"/>
              <w:rPr>
                <w:rFonts w:cs="Arial"/>
                <w:szCs w:val="24"/>
              </w:rPr>
            </w:pPr>
            <w:r w:rsidRPr="00D948C1">
              <w:rPr>
                <w:rFonts w:cs="Arial"/>
                <w:szCs w:val="24"/>
              </w:rPr>
              <w:t>(21,735)</w:t>
            </w:r>
          </w:p>
        </w:tc>
      </w:tr>
      <w:tr w:rsidR="001A6245" w:rsidRPr="00D948C1" w14:paraId="3B437605" w14:textId="77777777" w:rsidTr="00A066AE">
        <w:tc>
          <w:tcPr>
            <w:tcW w:w="1826" w:type="pct"/>
          </w:tcPr>
          <w:p w14:paraId="086826D1" w14:textId="77777777" w:rsidR="001A6245" w:rsidRPr="00D948C1" w:rsidRDefault="001A6245" w:rsidP="006C0086">
            <w:pPr>
              <w:spacing w:line="276" w:lineRule="auto"/>
              <w:rPr>
                <w:rFonts w:cs="Arial"/>
                <w:szCs w:val="24"/>
              </w:rPr>
            </w:pPr>
            <w:r w:rsidRPr="00D948C1">
              <w:rPr>
                <w:rFonts w:cs="Arial"/>
                <w:szCs w:val="24"/>
              </w:rPr>
              <w:t>Actuarial (gains)/losses on pensions assets and liabilities</w:t>
            </w:r>
          </w:p>
        </w:tc>
        <w:tc>
          <w:tcPr>
            <w:tcW w:w="361" w:type="pct"/>
            <w:vAlign w:val="center"/>
          </w:tcPr>
          <w:p w14:paraId="6DA1E0DE" w14:textId="50ADFB34" w:rsidR="001A6245" w:rsidRPr="00D948C1" w:rsidRDefault="001A6245" w:rsidP="006C0086">
            <w:pPr>
              <w:spacing w:line="276" w:lineRule="auto"/>
              <w:jc w:val="center"/>
              <w:rPr>
                <w:rStyle w:val="Hyperlink"/>
              </w:rPr>
            </w:pPr>
            <w:hyperlink w:anchor="N18" w:history="1">
              <w:r w:rsidRPr="00D948C1">
                <w:rPr>
                  <w:rStyle w:val="Hyperlink"/>
                </w:rPr>
                <w:t>18</w:t>
              </w:r>
            </w:hyperlink>
          </w:p>
        </w:tc>
        <w:tc>
          <w:tcPr>
            <w:tcW w:w="492" w:type="pct"/>
          </w:tcPr>
          <w:p w14:paraId="1EA5DF64" w14:textId="4FAAFC67" w:rsidR="001A6245" w:rsidRPr="00D948C1" w:rsidRDefault="001A6245" w:rsidP="006C0086">
            <w:pPr>
              <w:tabs>
                <w:tab w:val="decimal" w:pos="884"/>
              </w:tabs>
              <w:spacing w:line="276" w:lineRule="auto"/>
              <w:rPr>
                <w:rFonts w:cs="Arial"/>
                <w:szCs w:val="24"/>
              </w:rPr>
            </w:pPr>
          </w:p>
        </w:tc>
        <w:tc>
          <w:tcPr>
            <w:tcW w:w="421" w:type="pct"/>
          </w:tcPr>
          <w:p w14:paraId="5C77D365" w14:textId="77777777" w:rsidR="001A6245" w:rsidRPr="00D948C1" w:rsidRDefault="001A6245" w:rsidP="006C0086">
            <w:pPr>
              <w:tabs>
                <w:tab w:val="decimal" w:pos="884"/>
              </w:tabs>
              <w:spacing w:line="276" w:lineRule="auto"/>
              <w:rPr>
                <w:rFonts w:cs="Arial"/>
                <w:szCs w:val="24"/>
              </w:rPr>
            </w:pPr>
          </w:p>
        </w:tc>
        <w:tc>
          <w:tcPr>
            <w:tcW w:w="492" w:type="pct"/>
            <w:vAlign w:val="center"/>
          </w:tcPr>
          <w:p w14:paraId="7BF5C23F" w14:textId="4BE70198" w:rsidR="001A6245" w:rsidRPr="00D948C1" w:rsidRDefault="001A6245" w:rsidP="006C0086">
            <w:pPr>
              <w:tabs>
                <w:tab w:val="decimal" w:pos="889"/>
              </w:tabs>
              <w:spacing w:line="276" w:lineRule="auto"/>
              <w:jc w:val="right"/>
              <w:rPr>
                <w:rFonts w:cs="Arial"/>
                <w:szCs w:val="24"/>
              </w:rPr>
            </w:pPr>
            <w:r w:rsidRPr="00D948C1">
              <w:rPr>
                <w:rFonts w:cs="Arial"/>
                <w:szCs w:val="24"/>
              </w:rPr>
              <w:t>(4,170)</w:t>
            </w:r>
          </w:p>
        </w:tc>
        <w:tc>
          <w:tcPr>
            <w:tcW w:w="492" w:type="pct"/>
            <w:vAlign w:val="center"/>
          </w:tcPr>
          <w:p w14:paraId="1E29F50F" w14:textId="18D38FD5" w:rsidR="001A6245" w:rsidRPr="00D948C1" w:rsidRDefault="001A6245" w:rsidP="006C0086">
            <w:pPr>
              <w:tabs>
                <w:tab w:val="decimal" w:pos="885"/>
              </w:tabs>
              <w:spacing w:line="276" w:lineRule="auto"/>
              <w:jc w:val="right"/>
              <w:rPr>
                <w:rFonts w:cs="Arial"/>
                <w:szCs w:val="24"/>
              </w:rPr>
            </w:pPr>
          </w:p>
        </w:tc>
        <w:tc>
          <w:tcPr>
            <w:tcW w:w="422" w:type="pct"/>
            <w:vAlign w:val="center"/>
          </w:tcPr>
          <w:p w14:paraId="4AAAF1D4" w14:textId="77777777" w:rsidR="001A6245" w:rsidRPr="00D948C1" w:rsidRDefault="001A6245" w:rsidP="006C0086">
            <w:pPr>
              <w:tabs>
                <w:tab w:val="decimal" w:pos="601"/>
              </w:tabs>
              <w:spacing w:line="276" w:lineRule="auto"/>
              <w:jc w:val="right"/>
              <w:rPr>
                <w:rFonts w:cs="Arial"/>
                <w:szCs w:val="24"/>
              </w:rPr>
            </w:pPr>
          </w:p>
        </w:tc>
        <w:tc>
          <w:tcPr>
            <w:tcW w:w="494" w:type="pct"/>
            <w:vAlign w:val="center"/>
          </w:tcPr>
          <w:p w14:paraId="1B0C2065" w14:textId="3822C2A5" w:rsidR="001A6245" w:rsidRPr="00D948C1" w:rsidRDefault="001A6245" w:rsidP="006C0086">
            <w:pPr>
              <w:tabs>
                <w:tab w:val="decimal" w:pos="889"/>
              </w:tabs>
              <w:spacing w:line="276" w:lineRule="auto"/>
              <w:jc w:val="right"/>
              <w:rPr>
                <w:rFonts w:cs="Arial"/>
                <w:szCs w:val="24"/>
              </w:rPr>
            </w:pPr>
            <w:r w:rsidRPr="00D948C1">
              <w:rPr>
                <w:rFonts w:cs="Arial"/>
                <w:szCs w:val="24"/>
              </w:rPr>
              <w:t>(244,777)</w:t>
            </w:r>
          </w:p>
        </w:tc>
      </w:tr>
      <w:tr w:rsidR="001A6245" w:rsidRPr="00D948C1" w14:paraId="19E3407C" w14:textId="77777777" w:rsidTr="00793A3A">
        <w:tc>
          <w:tcPr>
            <w:tcW w:w="1826" w:type="pct"/>
          </w:tcPr>
          <w:p w14:paraId="50923FDB" w14:textId="77777777" w:rsidR="001A6245" w:rsidRPr="00D948C1" w:rsidRDefault="001A6245" w:rsidP="006C0086">
            <w:pPr>
              <w:spacing w:line="276" w:lineRule="auto"/>
              <w:rPr>
                <w:rFonts w:cs="Arial"/>
                <w:szCs w:val="24"/>
              </w:rPr>
            </w:pPr>
            <w:r w:rsidRPr="00D948C1">
              <w:rPr>
                <w:rFonts w:cs="Arial"/>
                <w:szCs w:val="24"/>
              </w:rPr>
              <w:t>Other comprehensive income &amp; expenditure</w:t>
            </w:r>
          </w:p>
        </w:tc>
        <w:tc>
          <w:tcPr>
            <w:tcW w:w="361" w:type="pct"/>
          </w:tcPr>
          <w:p w14:paraId="0F36D4D3" w14:textId="77777777" w:rsidR="001A6245" w:rsidRPr="00D948C1" w:rsidRDefault="001A6245" w:rsidP="006C0086">
            <w:pPr>
              <w:spacing w:line="276" w:lineRule="auto"/>
              <w:jc w:val="center"/>
              <w:rPr>
                <w:rStyle w:val="Hyperlink"/>
              </w:rPr>
            </w:pPr>
          </w:p>
        </w:tc>
        <w:tc>
          <w:tcPr>
            <w:tcW w:w="492" w:type="pct"/>
          </w:tcPr>
          <w:p w14:paraId="15A8820A" w14:textId="763CA29A" w:rsidR="001A6245" w:rsidRPr="00D948C1" w:rsidRDefault="001A6245" w:rsidP="006C0086">
            <w:pPr>
              <w:tabs>
                <w:tab w:val="decimal" w:pos="884"/>
              </w:tabs>
              <w:spacing w:line="276" w:lineRule="auto"/>
              <w:rPr>
                <w:rFonts w:cs="Arial"/>
                <w:szCs w:val="24"/>
              </w:rPr>
            </w:pPr>
          </w:p>
        </w:tc>
        <w:tc>
          <w:tcPr>
            <w:tcW w:w="421" w:type="pct"/>
          </w:tcPr>
          <w:p w14:paraId="7C916610" w14:textId="77777777" w:rsidR="001A6245" w:rsidRPr="00D948C1" w:rsidRDefault="001A6245" w:rsidP="006C0086">
            <w:pPr>
              <w:tabs>
                <w:tab w:val="decimal" w:pos="884"/>
              </w:tabs>
              <w:spacing w:line="276" w:lineRule="auto"/>
              <w:rPr>
                <w:rFonts w:cs="Arial"/>
                <w:szCs w:val="24"/>
              </w:rPr>
            </w:pPr>
          </w:p>
        </w:tc>
        <w:tc>
          <w:tcPr>
            <w:tcW w:w="492" w:type="pct"/>
          </w:tcPr>
          <w:p w14:paraId="710568FF" w14:textId="46C4D2A7" w:rsidR="001A6245" w:rsidRPr="00D948C1" w:rsidRDefault="001A6245" w:rsidP="006C0086">
            <w:pPr>
              <w:tabs>
                <w:tab w:val="decimal" w:pos="889"/>
              </w:tabs>
              <w:spacing w:line="276" w:lineRule="auto"/>
              <w:jc w:val="right"/>
              <w:rPr>
                <w:rFonts w:cs="Arial"/>
                <w:szCs w:val="24"/>
              </w:rPr>
            </w:pPr>
            <w:r w:rsidRPr="00D948C1">
              <w:rPr>
                <w:rFonts w:cs="Arial"/>
                <w:szCs w:val="24"/>
              </w:rPr>
              <w:t>(5,377)</w:t>
            </w:r>
          </w:p>
        </w:tc>
        <w:tc>
          <w:tcPr>
            <w:tcW w:w="492" w:type="pct"/>
          </w:tcPr>
          <w:p w14:paraId="779A0222" w14:textId="7D7642D5" w:rsidR="001A6245" w:rsidRPr="00D948C1" w:rsidRDefault="001A6245" w:rsidP="006C0086">
            <w:pPr>
              <w:tabs>
                <w:tab w:val="decimal" w:pos="885"/>
              </w:tabs>
              <w:spacing w:line="276" w:lineRule="auto"/>
              <w:rPr>
                <w:rFonts w:cs="Arial"/>
                <w:szCs w:val="24"/>
              </w:rPr>
            </w:pPr>
          </w:p>
        </w:tc>
        <w:tc>
          <w:tcPr>
            <w:tcW w:w="422" w:type="pct"/>
          </w:tcPr>
          <w:p w14:paraId="6A50CA29" w14:textId="77777777" w:rsidR="001A6245" w:rsidRPr="00D948C1" w:rsidRDefault="001A6245" w:rsidP="006C0086">
            <w:pPr>
              <w:tabs>
                <w:tab w:val="decimal" w:pos="601"/>
              </w:tabs>
              <w:spacing w:line="276" w:lineRule="auto"/>
              <w:jc w:val="both"/>
              <w:rPr>
                <w:rFonts w:cs="Arial"/>
                <w:szCs w:val="24"/>
              </w:rPr>
            </w:pPr>
          </w:p>
        </w:tc>
        <w:tc>
          <w:tcPr>
            <w:tcW w:w="494" w:type="pct"/>
          </w:tcPr>
          <w:p w14:paraId="386871D1" w14:textId="051F0F3B" w:rsidR="001A6245" w:rsidRPr="00D948C1" w:rsidRDefault="001A6245" w:rsidP="006C0086">
            <w:pPr>
              <w:tabs>
                <w:tab w:val="decimal" w:pos="889"/>
              </w:tabs>
              <w:spacing w:line="276" w:lineRule="auto"/>
              <w:jc w:val="right"/>
              <w:rPr>
                <w:rFonts w:cs="Arial"/>
                <w:szCs w:val="24"/>
              </w:rPr>
            </w:pPr>
            <w:r w:rsidRPr="00D948C1">
              <w:rPr>
                <w:rFonts w:cs="Arial"/>
                <w:szCs w:val="24"/>
              </w:rPr>
              <w:t>(266,512)</w:t>
            </w:r>
          </w:p>
        </w:tc>
      </w:tr>
      <w:tr w:rsidR="001A6245" w:rsidRPr="00D948C1" w14:paraId="436605F0" w14:textId="77777777" w:rsidTr="00793A3A">
        <w:tc>
          <w:tcPr>
            <w:tcW w:w="1826" w:type="pct"/>
          </w:tcPr>
          <w:p w14:paraId="1F797848" w14:textId="77777777" w:rsidR="001A6245" w:rsidRPr="00D948C1" w:rsidRDefault="001A6245" w:rsidP="006C0086">
            <w:pPr>
              <w:spacing w:line="276" w:lineRule="auto"/>
              <w:rPr>
                <w:rFonts w:cs="Arial"/>
                <w:szCs w:val="24"/>
              </w:rPr>
            </w:pPr>
            <w:r w:rsidRPr="00D948C1">
              <w:rPr>
                <w:rFonts w:cs="Arial"/>
                <w:szCs w:val="24"/>
              </w:rPr>
              <w:t>Total Comprehensive Income and Expenditure</w:t>
            </w:r>
          </w:p>
        </w:tc>
        <w:tc>
          <w:tcPr>
            <w:tcW w:w="361" w:type="pct"/>
          </w:tcPr>
          <w:p w14:paraId="292CA78A" w14:textId="77777777" w:rsidR="001A6245" w:rsidRPr="00D948C1" w:rsidRDefault="001A6245" w:rsidP="006C0086">
            <w:pPr>
              <w:spacing w:line="276" w:lineRule="auto"/>
              <w:jc w:val="center"/>
              <w:rPr>
                <w:rStyle w:val="Hyperlink"/>
              </w:rPr>
            </w:pPr>
          </w:p>
        </w:tc>
        <w:tc>
          <w:tcPr>
            <w:tcW w:w="492" w:type="pct"/>
          </w:tcPr>
          <w:p w14:paraId="1208351B" w14:textId="458F6543" w:rsidR="001A6245" w:rsidRPr="00D948C1" w:rsidRDefault="001A6245" w:rsidP="006C0086">
            <w:pPr>
              <w:tabs>
                <w:tab w:val="decimal" w:pos="884"/>
              </w:tabs>
              <w:spacing w:line="276" w:lineRule="auto"/>
              <w:rPr>
                <w:rFonts w:cs="Arial"/>
                <w:szCs w:val="24"/>
              </w:rPr>
            </w:pPr>
          </w:p>
        </w:tc>
        <w:tc>
          <w:tcPr>
            <w:tcW w:w="421" w:type="pct"/>
          </w:tcPr>
          <w:p w14:paraId="5FEA0334" w14:textId="77777777" w:rsidR="001A6245" w:rsidRPr="00D948C1" w:rsidRDefault="001A6245" w:rsidP="006C0086">
            <w:pPr>
              <w:tabs>
                <w:tab w:val="decimal" w:pos="884"/>
              </w:tabs>
              <w:spacing w:line="276" w:lineRule="auto"/>
              <w:rPr>
                <w:rFonts w:cs="Arial"/>
                <w:szCs w:val="24"/>
              </w:rPr>
            </w:pPr>
          </w:p>
        </w:tc>
        <w:tc>
          <w:tcPr>
            <w:tcW w:w="492" w:type="pct"/>
          </w:tcPr>
          <w:p w14:paraId="2F89DD26" w14:textId="04761B4B" w:rsidR="001A6245" w:rsidRPr="00D948C1" w:rsidRDefault="001A6245" w:rsidP="006C0086">
            <w:pPr>
              <w:tabs>
                <w:tab w:val="decimal" w:pos="742"/>
              </w:tabs>
              <w:spacing w:line="276" w:lineRule="auto"/>
              <w:jc w:val="right"/>
              <w:rPr>
                <w:rFonts w:cs="Arial"/>
                <w:b/>
                <w:szCs w:val="24"/>
              </w:rPr>
            </w:pPr>
            <w:r w:rsidRPr="00D948C1">
              <w:rPr>
                <w:rFonts w:cs="Arial"/>
                <w:b/>
                <w:szCs w:val="24"/>
              </w:rPr>
              <w:t>461</w:t>
            </w:r>
          </w:p>
        </w:tc>
        <w:tc>
          <w:tcPr>
            <w:tcW w:w="492" w:type="pct"/>
          </w:tcPr>
          <w:p w14:paraId="56F5CCED" w14:textId="3E3C8CE9" w:rsidR="001A6245" w:rsidRPr="00D948C1" w:rsidRDefault="001A6245" w:rsidP="006C0086">
            <w:pPr>
              <w:tabs>
                <w:tab w:val="decimal" w:pos="885"/>
              </w:tabs>
              <w:spacing w:line="276" w:lineRule="auto"/>
              <w:rPr>
                <w:rFonts w:cs="Arial"/>
                <w:b/>
                <w:szCs w:val="24"/>
              </w:rPr>
            </w:pPr>
          </w:p>
        </w:tc>
        <w:tc>
          <w:tcPr>
            <w:tcW w:w="422" w:type="pct"/>
          </w:tcPr>
          <w:p w14:paraId="2EC37CEF" w14:textId="77777777" w:rsidR="001A6245" w:rsidRPr="00D948C1" w:rsidRDefault="001A6245" w:rsidP="006C0086">
            <w:pPr>
              <w:tabs>
                <w:tab w:val="decimal" w:pos="601"/>
              </w:tabs>
              <w:spacing w:line="276" w:lineRule="auto"/>
              <w:jc w:val="both"/>
              <w:rPr>
                <w:rFonts w:cs="Arial"/>
                <w:szCs w:val="24"/>
              </w:rPr>
            </w:pPr>
          </w:p>
        </w:tc>
        <w:tc>
          <w:tcPr>
            <w:tcW w:w="494" w:type="pct"/>
          </w:tcPr>
          <w:p w14:paraId="1C9CB8B0" w14:textId="4836EDDA" w:rsidR="001A6245" w:rsidRPr="00D948C1" w:rsidRDefault="001A6245" w:rsidP="006C0086">
            <w:pPr>
              <w:tabs>
                <w:tab w:val="decimal" w:pos="742"/>
              </w:tabs>
              <w:spacing w:line="276" w:lineRule="auto"/>
              <w:jc w:val="right"/>
              <w:rPr>
                <w:rFonts w:cs="Arial"/>
                <w:b/>
                <w:szCs w:val="24"/>
              </w:rPr>
            </w:pPr>
            <w:r w:rsidRPr="00D948C1">
              <w:rPr>
                <w:rFonts w:cs="Arial"/>
                <w:b/>
                <w:szCs w:val="24"/>
              </w:rPr>
              <w:t>(251,165)</w:t>
            </w:r>
          </w:p>
        </w:tc>
      </w:tr>
    </w:tbl>
    <w:p w14:paraId="74DB2AFC" w14:textId="77777777" w:rsidR="00E216EE" w:rsidRPr="00D948C1" w:rsidRDefault="00E216EE" w:rsidP="006C0086">
      <w:pPr>
        <w:spacing w:line="276" w:lineRule="auto"/>
        <w:sectPr w:rsidR="00E216EE" w:rsidRPr="00D948C1" w:rsidSect="001C1966">
          <w:pgSz w:w="16840" w:h="11907" w:orient="landscape" w:code="9"/>
          <w:pgMar w:top="1134" w:right="851" w:bottom="851" w:left="737" w:header="720" w:footer="720" w:gutter="0"/>
          <w:cols w:space="720"/>
          <w:docGrid w:linePitch="326"/>
        </w:sectPr>
      </w:pPr>
    </w:p>
    <w:p w14:paraId="331C1265" w14:textId="7B28F06D" w:rsidR="00BC0AFA" w:rsidRPr="00D948C1" w:rsidRDefault="002618EE" w:rsidP="006C0086">
      <w:pPr>
        <w:pStyle w:val="Heading1"/>
        <w:spacing w:line="276" w:lineRule="auto"/>
        <w:rPr>
          <w:szCs w:val="24"/>
        </w:rPr>
      </w:pPr>
      <w:bookmarkStart w:id="14" w:name="MIRS"/>
      <w:bookmarkStart w:id="15" w:name="_Toc171068780"/>
      <w:bookmarkEnd w:id="14"/>
      <w:r w:rsidRPr="00D948C1">
        <w:rPr>
          <w:szCs w:val="24"/>
        </w:rPr>
        <w:lastRenderedPageBreak/>
        <w:t>Movement in Reserves Statement 202</w:t>
      </w:r>
      <w:r w:rsidR="008F7B73" w:rsidRPr="00D948C1">
        <w:rPr>
          <w:szCs w:val="24"/>
        </w:rPr>
        <w:t>3/24</w:t>
      </w:r>
      <w:bookmarkEnd w:id="15"/>
    </w:p>
    <w:p w14:paraId="56FA8C73" w14:textId="77777777" w:rsidR="001C2B3D" w:rsidRPr="00D948C1" w:rsidRDefault="001C2B3D" w:rsidP="006C0086">
      <w:pPr>
        <w:tabs>
          <w:tab w:val="left" w:pos="720"/>
          <w:tab w:val="right" w:pos="5760"/>
        </w:tabs>
        <w:spacing w:line="276" w:lineRule="auto"/>
        <w:rPr>
          <w:b/>
          <w:szCs w:val="24"/>
        </w:rPr>
      </w:pP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F67BAF" w:rsidRPr="00D948C1" w14:paraId="60E4372C" w14:textId="77777777" w:rsidTr="00611673">
        <w:trPr>
          <w:tblHeader/>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08D0DC47" w14:textId="19CEAB30" w:rsidR="00F67BAF" w:rsidRPr="00D948C1" w:rsidRDefault="00F67BAF" w:rsidP="006C0086">
            <w:pPr>
              <w:spacing w:line="276" w:lineRule="auto"/>
              <w:rPr>
                <w:rFonts w:cs="Arial"/>
                <w:color w:val="FFFFFF" w:themeColor="background1"/>
                <w:szCs w:val="24"/>
              </w:rPr>
            </w:pPr>
            <w:bookmarkStart w:id="16" w:name="_Hlk68095853"/>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33D8BDE9"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General fund</w:t>
            </w:r>
          </w:p>
          <w:p w14:paraId="4F9F51E1" w14:textId="3430C0A5"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4314780E"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Earmarked reserves</w:t>
            </w:r>
          </w:p>
          <w:p w14:paraId="2E150685" w14:textId="1199E508"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7D58B5F7" w14:textId="77777777" w:rsidR="0089432E" w:rsidRPr="00D948C1" w:rsidRDefault="002165FA" w:rsidP="006C0086">
            <w:pPr>
              <w:spacing w:line="276" w:lineRule="auto"/>
              <w:jc w:val="right"/>
              <w:rPr>
                <w:rFonts w:cs="Arial"/>
                <w:color w:val="FFFFFF" w:themeColor="background1"/>
                <w:szCs w:val="24"/>
              </w:rPr>
            </w:pPr>
            <w:r w:rsidRPr="00D948C1">
              <w:rPr>
                <w:rFonts w:cs="Arial"/>
                <w:color w:val="FFFFFF" w:themeColor="background1"/>
                <w:szCs w:val="24"/>
              </w:rPr>
              <w:t>Total General Fund Balance</w:t>
            </w:r>
          </w:p>
          <w:p w14:paraId="77A7F7BA" w14:textId="6D9D120C" w:rsidR="00F67BAF"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245D3A8"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Capital funding reserve</w:t>
            </w:r>
          </w:p>
          <w:p w14:paraId="01D78B7E" w14:textId="02C0821F"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48CBE3AC"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Capital grant unapplied reserve</w:t>
            </w:r>
          </w:p>
          <w:p w14:paraId="450F0A0F" w14:textId="7A13A8A9"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06E931CE"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Capital receipts reserve</w:t>
            </w:r>
          </w:p>
          <w:p w14:paraId="6D01BE83" w14:textId="3B28678E"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25D6F2A9"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Total usable reserves</w:t>
            </w:r>
          </w:p>
          <w:p w14:paraId="76F688FE" w14:textId="42280E78"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7C0BB1C6"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Unusable reserves</w:t>
            </w:r>
          </w:p>
          <w:p w14:paraId="6AF27D92" w14:textId="67AFE80C"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7D97D35D" w14:textId="77777777" w:rsidR="00F67BAF" w:rsidRPr="00D948C1" w:rsidRDefault="00F67BAF" w:rsidP="006C0086">
            <w:pPr>
              <w:spacing w:line="276" w:lineRule="auto"/>
              <w:jc w:val="right"/>
              <w:rPr>
                <w:rFonts w:cs="Arial"/>
                <w:color w:val="FFFFFF" w:themeColor="background1"/>
                <w:szCs w:val="24"/>
              </w:rPr>
            </w:pPr>
            <w:r w:rsidRPr="00D948C1">
              <w:rPr>
                <w:rFonts w:cs="Arial"/>
                <w:color w:val="FFFFFF" w:themeColor="background1"/>
                <w:szCs w:val="24"/>
              </w:rPr>
              <w:t>Total Authority reserves</w:t>
            </w:r>
          </w:p>
          <w:p w14:paraId="73C82945" w14:textId="4494A4ED"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8B111E" w:rsidRPr="00D948C1" w14:paraId="471E4A0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59493BB" w14:textId="073C19C8" w:rsidR="008B111E" w:rsidRPr="00D948C1" w:rsidRDefault="008B111E" w:rsidP="006C0086">
            <w:pPr>
              <w:spacing w:line="276" w:lineRule="auto"/>
              <w:rPr>
                <w:rFonts w:cs="Arial"/>
                <w:b/>
                <w:bCs/>
                <w:szCs w:val="24"/>
              </w:rPr>
            </w:pPr>
            <w:bookmarkStart w:id="17" w:name="_Hlk96092102"/>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2023 carried forwards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FF45B4E" w14:textId="4EB8AA79" w:rsidR="008B111E" w:rsidRPr="00D948C1" w:rsidRDefault="008B111E" w:rsidP="006C0086">
            <w:pPr>
              <w:spacing w:line="276" w:lineRule="auto"/>
              <w:jc w:val="right"/>
              <w:rPr>
                <w:rFonts w:cs="Arial"/>
                <w:b/>
                <w:bCs/>
                <w:szCs w:val="24"/>
              </w:rPr>
            </w:pPr>
            <w:r w:rsidRPr="00D948C1">
              <w:rPr>
                <w:rFonts w:cs="Arial"/>
                <w:b/>
                <w:bCs/>
                <w:szCs w:val="24"/>
              </w:rPr>
              <w:t>4,887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C5F882B" w14:textId="0B787267" w:rsidR="008B111E" w:rsidRPr="00D948C1" w:rsidRDefault="008B111E" w:rsidP="006C0086">
            <w:pPr>
              <w:spacing w:line="276" w:lineRule="auto"/>
              <w:jc w:val="right"/>
              <w:rPr>
                <w:rFonts w:cs="Arial"/>
                <w:b/>
                <w:bCs/>
                <w:szCs w:val="24"/>
              </w:rPr>
            </w:pPr>
            <w:r w:rsidRPr="00D948C1">
              <w:rPr>
                <w:rFonts w:cs="Arial"/>
                <w:b/>
                <w:bCs/>
                <w:szCs w:val="24"/>
              </w:rPr>
              <w:t>9,258</w:t>
            </w:r>
          </w:p>
        </w:tc>
        <w:tc>
          <w:tcPr>
            <w:tcW w:w="396" w:type="pct"/>
            <w:tcBorders>
              <w:top w:val="single" w:sz="4" w:space="0" w:color="auto"/>
              <w:left w:val="single" w:sz="4" w:space="0" w:color="auto"/>
              <w:bottom w:val="single" w:sz="4" w:space="0" w:color="auto"/>
              <w:right w:val="single" w:sz="4" w:space="0" w:color="auto"/>
            </w:tcBorders>
            <w:vAlign w:val="center"/>
          </w:tcPr>
          <w:p w14:paraId="17F7A261" w14:textId="1D9C39F4" w:rsidR="008B111E" w:rsidRPr="00D948C1" w:rsidRDefault="008B111E" w:rsidP="006C0086">
            <w:pPr>
              <w:spacing w:line="276" w:lineRule="auto"/>
              <w:jc w:val="right"/>
              <w:rPr>
                <w:rFonts w:cs="Arial"/>
                <w:b/>
                <w:bCs/>
                <w:szCs w:val="24"/>
              </w:rPr>
            </w:pPr>
            <w:r w:rsidRPr="00D948C1">
              <w:rPr>
                <w:rFonts w:cs="Arial"/>
                <w:b/>
                <w:bCs/>
                <w:szCs w:val="24"/>
              </w:rPr>
              <w:t>14,145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21D2507" w14:textId="6842CBC7" w:rsidR="008B111E" w:rsidRPr="00D948C1" w:rsidRDefault="008B111E" w:rsidP="006C0086">
            <w:pPr>
              <w:spacing w:line="276" w:lineRule="auto"/>
              <w:jc w:val="right"/>
              <w:rPr>
                <w:rFonts w:cs="Arial"/>
                <w:b/>
                <w:bCs/>
                <w:szCs w:val="24"/>
              </w:rPr>
            </w:pPr>
            <w:r w:rsidRPr="00D948C1">
              <w:rPr>
                <w:rFonts w:cs="Arial"/>
                <w:b/>
                <w:bCs/>
                <w:szCs w:val="24"/>
              </w:rPr>
              <w:t>20,344</w:t>
            </w:r>
          </w:p>
        </w:tc>
        <w:tc>
          <w:tcPr>
            <w:tcW w:w="412" w:type="pct"/>
            <w:tcBorders>
              <w:top w:val="single" w:sz="4" w:space="0" w:color="auto"/>
              <w:left w:val="single" w:sz="4" w:space="0" w:color="auto"/>
              <w:bottom w:val="single" w:sz="4" w:space="0" w:color="auto"/>
              <w:right w:val="single" w:sz="4" w:space="0" w:color="auto"/>
            </w:tcBorders>
            <w:vAlign w:val="center"/>
          </w:tcPr>
          <w:p w14:paraId="03224375" w14:textId="713F7F73" w:rsidR="008B111E" w:rsidRPr="00D948C1" w:rsidRDefault="008B111E" w:rsidP="006C0086">
            <w:pPr>
              <w:spacing w:line="276" w:lineRule="auto"/>
              <w:jc w:val="right"/>
              <w:rPr>
                <w:rFonts w:cs="Arial"/>
                <w:b/>
                <w:bCs/>
                <w:szCs w:val="24"/>
              </w:rPr>
            </w:pPr>
            <w:r w:rsidRPr="00D948C1">
              <w:rPr>
                <w:rFonts w:cs="Arial"/>
                <w:b/>
                <w:bCs/>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4827EAC" w14:textId="7EC71257" w:rsidR="008B111E" w:rsidRPr="00D948C1" w:rsidRDefault="008B111E" w:rsidP="006C0086">
            <w:pPr>
              <w:spacing w:line="276" w:lineRule="auto"/>
              <w:jc w:val="right"/>
              <w:rPr>
                <w:rFonts w:cs="Arial"/>
                <w:b/>
                <w:bCs/>
                <w:szCs w:val="24"/>
              </w:rPr>
            </w:pPr>
            <w:r w:rsidRPr="00D948C1">
              <w:rPr>
                <w:rFonts w:cs="Arial"/>
                <w:b/>
                <w:bCs/>
                <w:szCs w:val="24"/>
              </w:rPr>
              <w:t>1,692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D427BE8" w14:textId="41ADDC99" w:rsidR="008B111E" w:rsidRPr="00D948C1" w:rsidRDefault="008B111E" w:rsidP="006C0086">
            <w:pPr>
              <w:spacing w:line="276" w:lineRule="auto"/>
              <w:jc w:val="right"/>
              <w:rPr>
                <w:rFonts w:cs="Arial"/>
                <w:b/>
                <w:bCs/>
                <w:szCs w:val="24"/>
              </w:rPr>
            </w:pPr>
            <w:r w:rsidRPr="00D948C1">
              <w:rPr>
                <w:rFonts w:cs="Arial"/>
                <w:b/>
                <w:bCs/>
                <w:szCs w:val="24"/>
              </w:rPr>
              <w:t>36,208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A984194" w14:textId="588E1CA7" w:rsidR="008B111E" w:rsidRPr="00D948C1" w:rsidRDefault="008B111E" w:rsidP="006C0086">
            <w:pPr>
              <w:spacing w:line="276" w:lineRule="auto"/>
              <w:jc w:val="right"/>
              <w:rPr>
                <w:rFonts w:cs="Arial"/>
                <w:b/>
                <w:bCs/>
                <w:szCs w:val="24"/>
              </w:rPr>
            </w:pPr>
            <w:r w:rsidRPr="00D948C1">
              <w:rPr>
                <w:rFonts w:cs="Arial"/>
                <w:b/>
                <w:bCs/>
                <w:szCs w:val="24"/>
              </w:rPr>
              <w:t>(538,699)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E18C3D9" w14:textId="71145E59" w:rsidR="008B111E" w:rsidRPr="00D948C1" w:rsidRDefault="008B111E" w:rsidP="006C0086">
            <w:pPr>
              <w:spacing w:line="276" w:lineRule="auto"/>
              <w:jc w:val="right"/>
              <w:rPr>
                <w:rFonts w:cs="Arial"/>
                <w:b/>
                <w:bCs/>
                <w:szCs w:val="24"/>
              </w:rPr>
            </w:pPr>
            <w:r w:rsidRPr="00D948C1">
              <w:rPr>
                <w:rFonts w:cs="Arial"/>
                <w:b/>
                <w:bCs/>
                <w:szCs w:val="24"/>
              </w:rPr>
              <w:t>(502,491)</w:t>
            </w:r>
          </w:p>
        </w:tc>
      </w:tr>
    </w:tbl>
    <w:p w14:paraId="6A8DD33C" w14:textId="77777777" w:rsidR="005F5C59" w:rsidRPr="00D948C1" w:rsidRDefault="005F5C59" w:rsidP="006C0086">
      <w:pPr>
        <w:spacing w:line="276" w:lineRule="auto"/>
      </w:pPr>
    </w:p>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D948C1" w14:paraId="2D06ACCF" w14:textId="77777777" w:rsidTr="00036C34">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B7866" w14:textId="6EB0D218" w:rsidR="005F5C59" w:rsidRPr="00D948C1" w:rsidRDefault="005F5C59" w:rsidP="006C0086">
            <w:pPr>
              <w:spacing w:line="276" w:lineRule="auto"/>
              <w:rPr>
                <w:rFonts w:cs="Arial"/>
                <w:b/>
                <w:bCs/>
                <w:szCs w:val="24"/>
              </w:rPr>
            </w:pPr>
            <w:r w:rsidRPr="00D948C1">
              <w:rPr>
                <w:rFonts w:cs="Arial"/>
                <w:b/>
                <w:bCs/>
                <w:szCs w:val="24"/>
              </w:rPr>
              <w:t>Movement in reserves during 202</w:t>
            </w:r>
            <w:r w:rsidR="001824D9" w:rsidRPr="00D948C1">
              <w:rPr>
                <w:rFonts w:cs="Arial"/>
                <w:b/>
                <w:bCs/>
                <w:szCs w:val="24"/>
              </w:rPr>
              <w:t>3</w:t>
            </w:r>
            <w:r w:rsidRPr="00D948C1">
              <w:rPr>
                <w:rFonts w:cs="Arial"/>
                <w:b/>
                <w:bCs/>
                <w:szCs w:val="24"/>
              </w:rPr>
              <w:t>/2</w:t>
            </w:r>
            <w:r w:rsidR="001824D9" w:rsidRPr="00D948C1">
              <w:rPr>
                <w:rFonts w:cs="Arial"/>
                <w:b/>
                <w:bCs/>
                <w:szCs w:val="24"/>
              </w:rPr>
              <w:t>4</w:t>
            </w:r>
          </w:p>
        </w:tc>
      </w:tr>
      <w:tr w:rsidR="00B16E84" w:rsidRPr="00D948C1" w14:paraId="2946426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74204D2C" w14:textId="77777777" w:rsidR="00B16E84" w:rsidRPr="00D948C1" w:rsidRDefault="00B16E84" w:rsidP="006C0086">
            <w:pPr>
              <w:spacing w:line="276" w:lineRule="auto"/>
              <w:rPr>
                <w:rFonts w:cs="Arial"/>
                <w:szCs w:val="24"/>
              </w:rPr>
            </w:pPr>
            <w:r w:rsidRPr="00D948C1">
              <w:rPr>
                <w:rFonts w:cs="Arial"/>
                <w:szCs w:val="24"/>
              </w:rPr>
              <w:t>Surplus/(Deficit) on provision of services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63D983C" w14:textId="1AC54397" w:rsidR="00B16E84" w:rsidRPr="00D948C1" w:rsidRDefault="008B111E" w:rsidP="006C0086">
            <w:pPr>
              <w:spacing w:line="276" w:lineRule="auto"/>
              <w:jc w:val="right"/>
              <w:rPr>
                <w:rFonts w:cs="Arial"/>
                <w:szCs w:val="24"/>
              </w:rPr>
            </w:pPr>
            <w:r w:rsidRPr="00D948C1">
              <w:rPr>
                <w:rFonts w:cs="Arial"/>
                <w:szCs w:val="24"/>
              </w:rPr>
              <w:t>(5,838</w:t>
            </w:r>
            <w:r w:rsidR="00B16E84" w:rsidRPr="00D948C1">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405E407" w14:textId="60A276F2"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109BD29" w14:textId="63A62282" w:rsidR="00B16E84" w:rsidRPr="00D948C1" w:rsidRDefault="008B111E" w:rsidP="006C0086">
            <w:pPr>
              <w:spacing w:line="276" w:lineRule="auto"/>
              <w:jc w:val="right"/>
              <w:rPr>
                <w:rFonts w:cs="Arial"/>
                <w:szCs w:val="24"/>
              </w:rPr>
            </w:pPr>
            <w:r w:rsidRPr="00D948C1">
              <w:rPr>
                <w:rFonts w:cs="Arial"/>
                <w:szCs w:val="24"/>
              </w:rPr>
              <w:t>(5,838)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DAA6E7C" w14:textId="53BA19BA"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E5D8BC6" w14:textId="2579C485"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5C8128F" w14:textId="4B74F4E3"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77CB372" w14:textId="6A1DA8A2" w:rsidR="00B16E84" w:rsidRPr="00D948C1" w:rsidRDefault="008B111E" w:rsidP="006C0086">
            <w:pPr>
              <w:spacing w:line="276" w:lineRule="auto"/>
              <w:jc w:val="right"/>
              <w:rPr>
                <w:rFonts w:cs="Arial"/>
                <w:szCs w:val="24"/>
              </w:rPr>
            </w:pPr>
            <w:r w:rsidRPr="00D948C1">
              <w:rPr>
                <w:rFonts w:cs="Arial"/>
                <w:szCs w:val="24"/>
              </w:rPr>
              <w:t>(5,838)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5FCD86E" w14:textId="4A9F8560" w:rsidR="00B16E84" w:rsidRPr="00D948C1" w:rsidRDefault="00B16E84"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007E0C1" w14:textId="78870116" w:rsidR="00B16E84" w:rsidRPr="00D948C1" w:rsidRDefault="008B111E" w:rsidP="006C0086">
            <w:pPr>
              <w:spacing w:line="276" w:lineRule="auto"/>
              <w:jc w:val="right"/>
              <w:rPr>
                <w:rFonts w:cs="Arial"/>
                <w:szCs w:val="24"/>
              </w:rPr>
            </w:pPr>
            <w:r w:rsidRPr="00D948C1">
              <w:rPr>
                <w:rFonts w:cs="Arial"/>
                <w:szCs w:val="24"/>
              </w:rPr>
              <w:t>(5,838)</w:t>
            </w:r>
          </w:p>
        </w:tc>
      </w:tr>
      <w:tr w:rsidR="00B16E84" w:rsidRPr="00D948C1" w14:paraId="4E6865FE"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76F222C" w14:textId="77777777" w:rsidR="00B16E84" w:rsidRPr="00D948C1" w:rsidRDefault="00B16E84" w:rsidP="006C0086">
            <w:pPr>
              <w:spacing w:line="276" w:lineRule="auto"/>
              <w:rPr>
                <w:rFonts w:cs="Arial"/>
                <w:szCs w:val="24"/>
              </w:rPr>
            </w:pPr>
            <w:r w:rsidRPr="00D948C1">
              <w:rPr>
                <w:rFonts w:cs="Arial"/>
                <w:szCs w:val="24"/>
              </w:rPr>
              <w:t>Other comprehensive income and expenditure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D7EABE7" w14:textId="0598965B" w:rsidR="00B16E84" w:rsidRPr="00D948C1" w:rsidRDefault="001A0D2C" w:rsidP="006C0086">
            <w:pPr>
              <w:spacing w:line="276" w:lineRule="auto"/>
              <w:jc w:val="right"/>
              <w:rPr>
                <w:rFonts w:cs="Arial"/>
                <w:szCs w:val="24"/>
              </w:rPr>
            </w:pPr>
            <w:r w:rsidRPr="00D948C1">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F95A66C" w14:textId="49CCC4F3" w:rsidR="00B16E84" w:rsidRPr="00D948C1" w:rsidRDefault="001A0D2C"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B1E271E" w14:textId="2691882F" w:rsidR="00B16E84" w:rsidRPr="00D948C1" w:rsidRDefault="001A0D2C" w:rsidP="006C0086">
            <w:pPr>
              <w:spacing w:line="276" w:lineRule="auto"/>
              <w:jc w:val="right"/>
              <w:rPr>
                <w:rFonts w:cs="Arial"/>
                <w:szCs w:val="24"/>
              </w:rPr>
            </w:pPr>
            <w:r w:rsidRPr="00D948C1">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ECF9858" w14:textId="3822401A" w:rsidR="00B16E84" w:rsidRPr="00D948C1" w:rsidRDefault="001A0D2C"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D1437EC" w14:textId="1501F4CC" w:rsidR="00B16E84" w:rsidRPr="00D948C1" w:rsidRDefault="001A0D2C"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BB204F1" w14:textId="0718F74D" w:rsidR="00B16E84" w:rsidRPr="00D948C1" w:rsidRDefault="001A0D2C"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77471D5" w14:textId="561763A3" w:rsidR="00B16E84" w:rsidRPr="00D948C1" w:rsidRDefault="001A0D2C" w:rsidP="006C0086">
            <w:pPr>
              <w:spacing w:line="276" w:lineRule="auto"/>
              <w:jc w:val="right"/>
              <w:rPr>
                <w:rFonts w:cs="Arial"/>
                <w:szCs w:val="24"/>
              </w:rPr>
            </w:pP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93FE1E1" w14:textId="62E2CC39" w:rsidR="00B16E84" w:rsidRPr="00D948C1" w:rsidRDefault="008B111E" w:rsidP="006C0086">
            <w:pPr>
              <w:spacing w:line="276" w:lineRule="auto"/>
              <w:jc w:val="right"/>
              <w:rPr>
                <w:rFonts w:cs="Arial"/>
                <w:szCs w:val="24"/>
              </w:rPr>
            </w:pPr>
            <w:r w:rsidRPr="00D948C1">
              <w:rPr>
                <w:rFonts w:cs="Arial"/>
                <w:szCs w:val="24"/>
              </w:rPr>
              <w:t>5,377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C944FD" w14:textId="362644C5" w:rsidR="00B16E84" w:rsidRPr="00D948C1" w:rsidRDefault="008B111E" w:rsidP="006C0086">
            <w:pPr>
              <w:spacing w:line="276" w:lineRule="auto"/>
              <w:jc w:val="right"/>
              <w:rPr>
                <w:rFonts w:cs="Arial"/>
                <w:szCs w:val="24"/>
              </w:rPr>
            </w:pPr>
            <w:r w:rsidRPr="00D948C1">
              <w:rPr>
                <w:rFonts w:cs="Arial"/>
                <w:szCs w:val="24"/>
              </w:rPr>
              <w:t>5,377</w:t>
            </w:r>
          </w:p>
        </w:tc>
      </w:tr>
      <w:tr w:rsidR="00B16E84" w:rsidRPr="00D948C1" w14:paraId="5BA82A1C"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61D9113" w14:textId="77777777" w:rsidR="00B16E84" w:rsidRPr="00D948C1" w:rsidRDefault="00B16E84" w:rsidP="006C0086">
            <w:pPr>
              <w:spacing w:line="276" w:lineRule="auto"/>
              <w:rPr>
                <w:rFonts w:cs="Arial"/>
                <w:b/>
                <w:bCs/>
                <w:szCs w:val="24"/>
              </w:rPr>
            </w:pPr>
            <w:r w:rsidRPr="00D948C1">
              <w:rPr>
                <w:rFonts w:cs="Arial"/>
                <w:b/>
                <w:bCs/>
                <w:szCs w:val="24"/>
              </w:rPr>
              <w:t>Total comprehensive income and expenditure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7534A8A" w14:textId="597FA247" w:rsidR="00B16E84" w:rsidRPr="00D948C1" w:rsidRDefault="008B111E" w:rsidP="006C0086">
            <w:pPr>
              <w:spacing w:line="276" w:lineRule="auto"/>
              <w:jc w:val="right"/>
              <w:rPr>
                <w:rFonts w:cs="Arial"/>
                <w:b/>
                <w:bCs/>
                <w:szCs w:val="24"/>
              </w:rPr>
            </w:pPr>
            <w:r w:rsidRPr="00D948C1">
              <w:rPr>
                <w:rFonts w:cs="Arial"/>
                <w:b/>
                <w:bCs/>
                <w:szCs w:val="24"/>
              </w:rPr>
              <w:t>(5,838)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15F524C" w14:textId="54C8322F" w:rsidR="00B16E84" w:rsidRPr="00D948C1" w:rsidRDefault="00B16E84" w:rsidP="006C0086">
            <w:pPr>
              <w:spacing w:line="276" w:lineRule="auto"/>
              <w:jc w:val="right"/>
              <w:rPr>
                <w:rFonts w:cs="Arial"/>
                <w:b/>
                <w:bCs/>
                <w:szCs w:val="24"/>
              </w:rPr>
            </w:pPr>
            <w:r w:rsidRPr="00D948C1">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0E4EFFF" w14:textId="49128B07" w:rsidR="00B16E84" w:rsidRPr="00D948C1" w:rsidRDefault="008B111E" w:rsidP="006C0086">
            <w:pPr>
              <w:spacing w:line="276" w:lineRule="auto"/>
              <w:jc w:val="right"/>
              <w:rPr>
                <w:rFonts w:cs="Arial"/>
                <w:b/>
                <w:bCs/>
                <w:szCs w:val="24"/>
              </w:rPr>
            </w:pPr>
            <w:r w:rsidRPr="00D948C1">
              <w:rPr>
                <w:rFonts w:cs="Arial"/>
                <w:b/>
                <w:bCs/>
                <w:szCs w:val="24"/>
              </w:rPr>
              <w:t>(5,838)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9D7E0EE" w14:textId="7D7F7432" w:rsidR="00B16E84" w:rsidRPr="00D948C1" w:rsidRDefault="00B16E84" w:rsidP="006C0086">
            <w:pPr>
              <w:spacing w:line="276" w:lineRule="auto"/>
              <w:jc w:val="right"/>
              <w:rPr>
                <w:rFonts w:cs="Arial"/>
                <w:b/>
                <w:bCs/>
                <w:szCs w:val="24"/>
              </w:rPr>
            </w:pPr>
            <w:r w:rsidRPr="00D948C1">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9DCD563" w14:textId="2EC0C5EE" w:rsidR="00B16E84" w:rsidRPr="00D948C1" w:rsidRDefault="00B16E84" w:rsidP="006C0086">
            <w:pPr>
              <w:spacing w:line="276" w:lineRule="auto"/>
              <w:jc w:val="right"/>
              <w:rPr>
                <w:rFonts w:cs="Arial"/>
                <w:b/>
                <w:bCs/>
                <w:szCs w:val="24"/>
              </w:rPr>
            </w:pPr>
            <w:r w:rsidRPr="00D948C1">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7F32962" w14:textId="1A611481" w:rsidR="00B16E84" w:rsidRPr="00D948C1" w:rsidRDefault="00B16E84" w:rsidP="006C0086">
            <w:pPr>
              <w:spacing w:line="276" w:lineRule="auto"/>
              <w:jc w:val="right"/>
              <w:rPr>
                <w:rFonts w:cs="Arial"/>
                <w:b/>
                <w:bCs/>
                <w:szCs w:val="24"/>
              </w:rPr>
            </w:pPr>
            <w:r w:rsidRPr="00D948C1">
              <w:rPr>
                <w:rFonts w:cs="Arial"/>
                <w:b/>
                <w:bCs/>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687562A" w14:textId="29E75ACD" w:rsidR="00B16E84" w:rsidRPr="00D948C1" w:rsidRDefault="008B111E" w:rsidP="006C0086">
            <w:pPr>
              <w:spacing w:line="276" w:lineRule="auto"/>
              <w:jc w:val="right"/>
              <w:rPr>
                <w:rFonts w:cs="Arial"/>
                <w:b/>
                <w:bCs/>
                <w:szCs w:val="24"/>
              </w:rPr>
            </w:pPr>
            <w:r w:rsidRPr="00D948C1">
              <w:rPr>
                <w:rFonts w:cs="Arial"/>
                <w:b/>
                <w:bCs/>
                <w:szCs w:val="24"/>
              </w:rPr>
              <w:t>(5,838)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10160A1" w14:textId="06106790" w:rsidR="00B16E84" w:rsidRPr="00D948C1" w:rsidRDefault="008B111E" w:rsidP="006C0086">
            <w:pPr>
              <w:spacing w:line="276" w:lineRule="auto"/>
              <w:jc w:val="right"/>
              <w:rPr>
                <w:rFonts w:cs="Arial"/>
                <w:b/>
                <w:bCs/>
                <w:szCs w:val="24"/>
              </w:rPr>
            </w:pPr>
            <w:r w:rsidRPr="00D948C1">
              <w:rPr>
                <w:rFonts w:cs="Arial"/>
                <w:b/>
                <w:bCs/>
                <w:szCs w:val="24"/>
              </w:rPr>
              <w:t>5,377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CE4AC06" w14:textId="7BAB236C" w:rsidR="00B16E84" w:rsidRPr="00D948C1" w:rsidRDefault="008B111E" w:rsidP="006C0086">
            <w:pPr>
              <w:spacing w:line="276" w:lineRule="auto"/>
              <w:jc w:val="right"/>
              <w:rPr>
                <w:rFonts w:cs="Arial"/>
                <w:b/>
                <w:bCs/>
                <w:szCs w:val="24"/>
              </w:rPr>
            </w:pPr>
            <w:r w:rsidRPr="00D948C1">
              <w:rPr>
                <w:rFonts w:cs="Arial"/>
                <w:b/>
                <w:bCs/>
                <w:szCs w:val="24"/>
              </w:rPr>
              <w:t>(461)</w:t>
            </w:r>
          </w:p>
        </w:tc>
      </w:tr>
    </w:tbl>
    <w:p w14:paraId="1565F23A" w14:textId="77777777" w:rsidR="005F5C59" w:rsidRPr="00D948C1" w:rsidRDefault="005F5C59" w:rsidP="006C0086">
      <w:pPr>
        <w:spacing w:line="276" w:lineRule="auto"/>
      </w:pPr>
    </w:p>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D948C1" w14:paraId="02EAAC60" w14:textId="77777777" w:rsidTr="00036C34">
        <w:trPr>
          <w:trHeight w:val="231"/>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FC4B9" w14:textId="3CD3A99F" w:rsidR="005F5C59" w:rsidRPr="00D948C1" w:rsidRDefault="005F5C59" w:rsidP="006C0086">
            <w:pPr>
              <w:spacing w:line="276" w:lineRule="auto"/>
              <w:rPr>
                <w:rFonts w:cs="Arial"/>
                <w:b/>
                <w:bCs/>
                <w:szCs w:val="24"/>
              </w:rPr>
            </w:pPr>
            <w:r w:rsidRPr="00D948C1">
              <w:rPr>
                <w:rFonts w:cs="Arial"/>
                <w:b/>
                <w:bCs/>
                <w:szCs w:val="24"/>
              </w:rPr>
              <w:t>Adjustments between accounting basis and funding basis under regulations</w:t>
            </w:r>
          </w:p>
        </w:tc>
      </w:tr>
      <w:tr w:rsidR="00B16E84" w:rsidRPr="00D948C1" w14:paraId="70B24B03"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7FE39711" w14:textId="77777777" w:rsidR="00B16E84" w:rsidRPr="00D948C1" w:rsidRDefault="00B16E84" w:rsidP="006C0086">
            <w:pPr>
              <w:spacing w:line="276" w:lineRule="auto"/>
              <w:rPr>
                <w:rFonts w:cs="Arial"/>
                <w:szCs w:val="24"/>
              </w:rPr>
            </w:pPr>
            <w:r w:rsidRPr="00D948C1">
              <w:rPr>
                <w:rFonts w:cs="Arial"/>
                <w:szCs w:val="24"/>
              </w:rPr>
              <w:t>Charges for depreciation and impairment of non-current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9277039" w14:textId="0C07D072" w:rsidR="00B16E84" w:rsidRPr="00D948C1" w:rsidRDefault="00B61CAB" w:rsidP="006C0086">
            <w:pPr>
              <w:spacing w:line="276" w:lineRule="auto"/>
              <w:jc w:val="right"/>
              <w:rPr>
                <w:rFonts w:cs="Arial"/>
                <w:szCs w:val="24"/>
              </w:rPr>
            </w:pPr>
            <w:r>
              <w:rPr>
                <w:rFonts w:cs="Arial"/>
                <w:szCs w:val="24"/>
              </w:rPr>
              <w:t>5,865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9090DA7" w14:textId="60E388BF"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B5D9C6E" w14:textId="2CA0449B" w:rsidR="00B16E84" w:rsidRPr="00D948C1" w:rsidRDefault="00B61CAB" w:rsidP="006C0086">
            <w:pPr>
              <w:spacing w:line="276" w:lineRule="auto"/>
              <w:jc w:val="right"/>
              <w:rPr>
                <w:rFonts w:cs="Arial"/>
                <w:szCs w:val="24"/>
              </w:rPr>
            </w:pPr>
            <w:r>
              <w:rPr>
                <w:rFonts w:cs="Arial"/>
                <w:szCs w:val="24"/>
              </w:rPr>
              <w:t>5,865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146FCDA" w14:textId="4164BA18"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B5F2FAD" w14:textId="423D4270"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DB5030D" w14:textId="73DCBB0B"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442BF4B" w14:textId="44ADDA96" w:rsidR="00B16E84" w:rsidRPr="00D948C1" w:rsidRDefault="00B61CAB" w:rsidP="006C0086">
            <w:pPr>
              <w:spacing w:line="276" w:lineRule="auto"/>
              <w:jc w:val="right"/>
              <w:rPr>
                <w:rFonts w:cs="Arial"/>
                <w:szCs w:val="24"/>
              </w:rPr>
            </w:pPr>
            <w:r>
              <w:rPr>
                <w:rFonts w:cs="Arial"/>
                <w:szCs w:val="24"/>
              </w:rPr>
              <w:t>5,865</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FB19B94" w14:textId="7BEB5124" w:rsidR="00B16E84" w:rsidRPr="00D948C1" w:rsidRDefault="00B61CAB" w:rsidP="006C0086">
            <w:pPr>
              <w:spacing w:line="276" w:lineRule="auto"/>
              <w:jc w:val="right"/>
              <w:rPr>
                <w:rFonts w:cs="Arial"/>
                <w:szCs w:val="24"/>
              </w:rPr>
            </w:pPr>
            <w:r>
              <w:rPr>
                <w:rFonts w:cs="Arial"/>
                <w:szCs w:val="24"/>
              </w:rPr>
              <w:t>(5,865)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BAA5602" w14:textId="2141903C"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46D287E0"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2F4AC74" w14:textId="77777777" w:rsidR="00B16E84" w:rsidRPr="00D948C1" w:rsidRDefault="00B16E84" w:rsidP="006C0086">
            <w:pPr>
              <w:spacing w:line="276" w:lineRule="auto"/>
              <w:rPr>
                <w:rFonts w:cs="Arial"/>
                <w:szCs w:val="24"/>
              </w:rPr>
            </w:pPr>
            <w:r w:rsidRPr="00D948C1">
              <w:rPr>
                <w:rFonts w:cs="Arial"/>
                <w:szCs w:val="24"/>
              </w:rPr>
              <w:t>Amortisation of intangible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F888314" w14:textId="5A76D47A" w:rsidR="00B16E84" w:rsidRPr="00D948C1" w:rsidRDefault="00B61CAB" w:rsidP="006C0086">
            <w:pPr>
              <w:spacing w:line="276" w:lineRule="auto"/>
              <w:jc w:val="right"/>
              <w:rPr>
                <w:rFonts w:cs="Arial"/>
                <w:szCs w:val="24"/>
              </w:rPr>
            </w:pPr>
            <w:r>
              <w:rPr>
                <w:rFonts w:cs="Arial"/>
                <w:szCs w:val="24"/>
              </w:rPr>
              <w:t>188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319852A" w14:textId="1401F0E4"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5166037" w14:textId="0A0ABB2E" w:rsidR="00B16E84" w:rsidRPr="00D948C1" w:rsidRDefault="00B61CAB" w:rsidP="006C0086">
            <w:pPr>
              <w:spacing w:line="276" w:lineRule="auto"/>
              <w:jc w:val="right"/>
              <w:rPr>
                <w:rFonts w:cs="Arial"/>
                <w:szCs w:val="24"/>
              </w:rPr>
            </w:pPr>
            <w:r>
              <w:rPr>
                <w:rFonts w:cs="Arial"/>
                <w:szCs w:val="24"/>
              </w:rPr>
              <w:t>188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6761484" w14:textId="5043F5A5"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AFDF395" w14:textId="432AA8AA"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7656B2" w14:textId="188CFD43"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5E8D404" w14:textId="1E7DF3D0" w:rsidR="00B16E84" w:rsidRPr="00D948C1" w:rsidRDefault="00B61CAB" w:rsidP="006C0086">
            <w:pPr>
              <w:spacing w:line="276" w:lineRule="auto"/>
              <w:jc w:val="right"/>
              <w:rPr>
                <w:rFonts w:cs="Arial"/>
                <w:szCs w:val="24"/>
              </w:rPr>
            </w:pPr>
            <w:r>
              <w:rPr>
                <w:rFonts w:cs="Arial"/>
                <w:szCs w:val="24"/>
              </w:rPr>
              <w:t>188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01A5FEA" w14:textId="15627DDF" w:rsidR="00B16E84" w:rsidRPr="00D948C1" w:rsidRDefault="00B61CAB" w:rsidP="006C0086">
            <w:pPr>
              <w:spacing w:line="276" w:lineRule="auto"/>
              <w:jc w:val="right"/>
              <w:rPr>
                <w:rFonts w:cs="Arial"/>
                <w:szCs w:val="24"/>
              </w:rPr>
            </w:pPr>
            <w:r>
              <w:rPr>
                <w:rFonts w:cs="Arial"/>
                <w:szCs w:val="24"/>
              </w:rPr>
              <w:t>(188)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EDE7244" w14:textId="4D0D0B64"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3F28A79C"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5B368CE" w14:textId="77777777" w:rsidR="00B16E84" w:rsidRPr="00D948C1" w:rsidRDefault="00B16E84" w:rsidP="006C0086">
            <w:pPr>
              <w:spacing w:line="276" w:lineRule="auto"/>
              <w:rPr>
                <w:rFonts w:cs="Arial"/>
                <w:szCs w:val="24"/>
              </w:rPr>
            </w:pPr>
            <w:r w:rsidRPr="00D948C1">
              <w:rPr>
                <w:rFonts w:cs="Arial"/>
                <w:szCs w:val="24"/>
              </w:rPr>
              <w:t>Disposal of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EC864CE" w14:textId="24AE6462" w:rsidR="00B16E84" w:rsidRPr="00D948C1" w:rsidRDefault="000B1DF5" w:rsidP="006C0086">
            <w:pPr>
              <w:spacing w:line="276" w:lineRule="auto"/>
              <w:jc w:val="right"/>
              <w:rPr>
                <w:rFonts w:cs="Arial"/>
                <w:szCs w:val="24"/>
              </w:rPr>
            </w:pPr>
            <w:r w:rsidRPr="00D948C1">
              <w:rPr>
                <w:rFonts w:cs="Arial"/>
                <w:szCs w:val="24"/>
              </w:rPr>
              <w:t>32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8CFEEA2" w14:textId="298304B7"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C026E61" w14:textId="26D9C507" w:rsidR="00B16E84" w:rsidRPr="00D948C1" w:rsidRDefault="000B1DF5" w:rsidP="006C0086">
            <w:pPr>
              <w:spacing w:line="276" w:lineRule="auto"/>
              <w:jc w:val="right"/>
              <w:rPr>
                <w:rFonts w:cs="Arial"/>
                <w:szCs w:val="24"/>
              </w:rPr>
            </w:pPr>
            <w:r w:rsidRPr="00D948C1">
              <w:rPr>
                <w:rFonts w:cs="Arial"/>
                <w:szCs w:val="24"/>
              </w:rPr>
              <w:t>32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4515B8C" w14:textId="5A33AD5B"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03201AB" w14:textId="569563C3"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76E80B" w14:textId="1693B8F5" w:rsidR="00B16E84" w:rsidRPr="00D948C1" w:rsidRDefault="000B1DF5" w:rsidP="006C0086">
            <w:pPr>
              <w:spacing w:line="276" w:lineRule="auto"/>
              <w:jc w:val="right"/>
              <w:rPr>
                <w:rFonts w:cs="Arial"/>
                <w:szCs w:val="24"/>
              </w:rPr>
            </w:pPr>
            <w:r w:rsidRPr="00D948C1">
              <w:rPr>
                <w:rFonts w:cs="Arial"/>
                <w:szCs w:val="24"/>
              </w:rPr>
              <w:t>16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1B0CFA0" w14:textId="4703701E" w:rsidR="00B16E84" w:rsidRPr="00D948C1" w:rsidRDefault="000B1DF5" w:rsidP="006C0086">
            <w:pPr>
              <w:spacing w:line="276" w:lineRule="auto"/>
              <w:jc w:val="right"/>
              <w:rPr>
                <w:rFonts w:cs="Arial"/>
                <w:szCs w:val="24"/>
              </w:rPr>
            </w:pPr>
            <w:r w:rsidRPr="00D948C1">
              <w:rPr>
                <w:rFonts w:cs="Arial"/>
                <w:szCs w:val="24"/>
              </w:rPr>
              <w:t>48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71A20F7" w14:textId="24BAB05A" w:rsidR="00B16E84" w:rsidRPr="00D948C1" w:rsidRDefault="000B1DF5" w:rsidP="006C0086">
            <w:pPr>
              <w:spacing w:line="276" w:lineRule="auto"/>
              <w:jc w:val="right"/>
              <w:rPr>
                <w:rFonts w:cs="Arial"/>
                <w:szCs w:val="24"/>
              </w:rPr>
            </w:pPr>
            <w:r w:rsidRPr="00D948C1">
              <w:rPr>
                <w:rFonts w:cs="Arial"/>
                <w:szCs w:val="24"/>
              </w:rPr>
              <w:t>(48)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06F76AD" w14:textId="256CEE3D"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2AD01712"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5B2E092" w14:textId="77777777" w:rsidR="00B16E84" w:rsidRPr="00D948C1" w:rsidRDefault="00B16E84" w:rsidP="006C0086">
            <w:pPr>
              <w:spacing w:line="276" w:lineRule="auto"/>
              <w:rPr>
                <w:rFonts w:cs="Arial"/>
                <w:szCs w:val="24"/>
              </w:rPr>
            </w:pPr>
            <w:r w:rsidRPr="00D948C1">
              <w:rPr>
                <w:rFonts w:cs="Arial"/>
                <w:szCs w:val="24"/>
              </w:rPr>
              <w:t>Capital grants unapplied</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A5DECCD" w14:textId="157F7C38" w:rsidR="00B16E84" w:rsidRPr="00D948C1" w:rsidRDefault="000B1DF5" w:rsidP="006C0086">
            <w:pPr>
              <w:spacing w:line="276" w:lineRule="auto"/>
              <w:jc w:val="right"/>
              <w:rPr>
                <w:rFonts w:cs="Arial"/>
                <w:szCs w:val="24"/>
              </w:rPr>
            </w:pPr>
            <w:r w:rsidRPr="00D948C1">
              <w:rPr>
                <w:rFonts w:cs="Arial"/>
                <w:szCs w:val="24"/>
              </w:rPr>
              <w:t>27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0522AF2" w14:textId="2258A890"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B4661C6" w14:textId="5FBE359C" w:rsidR="00B16E84" w:rsidRPr="00D948C1" w:rsidRDefault="000B1DF5" w:rsidP="006C0086">
            <w:pPr>
              <w:spacing w:line="276" w:lineRule="auto"/>
              <w:jc w:val="right"/>
              <w:rPr>
                <w:rFonts w:cs="Arial"/>
                <w:szCs w:val="24"/>
              </w:rPr>
            </w:pPr>
            <w:r w:rsidRPr="00D948C1">
              <w:rPr>
                <w:rFonts w:cs="Arial"/>
                <w:szCs w:val="24"/>
              </w:rPr>
              <w:t>27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621DD4B" w14:textId="0B8E63EA"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C336388" w14:textId="11DC405E" w:rsidR="00B16E84" w:rsidRPr="00D948C1" w:rsidRDefault="000B1DF5" w:rsidP="006C0086">
            <w:pPr>
              <w:spacing w:line="276" w:lineRule="auto"/>
              <w:jc w:val="right"/>
              <w:rPr>
                <w:rFonts w:cs="Arial"/>
                <w:szCs w:val="24"/>
              </w:rPr>
            </w:pPr>
            <w:r w:rsidRPr="00D948C1">
              <w:rPr>
                <w:rFonts w:cs="Arial"/>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A7E37B8" w14:textId="1B57F635"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72C431F" w14:textId="5DDF3967" w:rsidR="00B16E84" w:rsidRPr="00D948C1" w:rsidRDefault="00B16E84" w:rsidP="006C0086">
            <w:pPr>
              <w:spacing w:line="276" w:lineRule="auto"/>
              <w:jc w:val="right"/>
              <w:rPr>
                <w:rFonts w:cs="Arial"/>
                <w:szCs w:val="24"/>
              </w:rPr>
            </w:pP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817B55B" w14:textId="5490EF7A" w:rsidR="00B16E84" w:rsidRPr="00D948C1" w:rsidRDefault="00B16E84"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0954DA1" w14:textId="0AFAA4FB"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743B9017"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C11D181" w14:textId="77777777" w:rsidR="00B16E84" w:rsidRPr="00D948C1" w:rsidRDefault="00B16E84" w:rsidP="006C0086">
            <w:pPr>
              <w:spacing w:line="276" w:lineRule="auto"/>
              <w:rPr>
                <w:rFonts w:cs="Arial"/>
                <w:szCs w:val="24"/>
              </w:rPr>
            </w:pPr>
            <w:r w:rsidRPr="00D948C1">
              <w:rPr>
                <w:rFonts w:cs="Arial"/>
                <w:szCs w:val="24"/>
              </w:rPr>
              <w:t>Provision for the repayment of debt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29EEBAD" w14:textId="5F8CC73E" w:rsidR="00B16E84" w:rsidRPr="00D948C1" w:rsidRDefault="00B16E84" w:rsidP="006C0086">
            <w:pPr>
              <w:spacing w:line="276" w:lineRule="auto"/>
              <w:jc w:val="right"/>
              <w:rPr>
                <w:rFonts w:cs="Arial"/>
                <w:szCs w:val="24"/>
              </w:rPr>
            </w:pPr>
            <w:r w:rsidRPr="00D948C1">
              <w:rPr>
                <w:rFonts w:cs="Arial"/>
                <w:szCs w:val="24"/>
              </w:rPr>
              <w:t>(</w:t>
            </w:r>
            <w:r w:rsidR="000B1DF5" w:rsidRPr="00D948C1">
              <w:rPr>
                <w:rFonts w:cs="Arial"/>
                <w:szCs w:val="24"/>
              </w:rPr>
              <w:t>51</w:t>
            </w:r>
            <w:r w:rsidRPr="00D948C1">
              <w:rPr>
                <w:rFonts w:cs="Arial"/>
                <w:szCs w:val="24"/>
              </w:rPr>
              <w:t>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5C40CF6" w14:textId="3E476C1D"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D320D4A" w14:textId="7BB01E4B" w:rsidR="00B16E84" w:rsidRPr="00D948C1" w:rsidRDefault="00B16E84" w:rsidP="006C0086">
            <w:pPr>
              <w:spacing w:line="276" w:lineRule="auto"/>
              <w:jc w:val="right"/>
              <w:rPr>
                <w:rFonts w:cs="Arial"/>
                <w:szCs w:val="24"/>
              </w:rPr>
            </w:pPr>
            <w:r w:rsidRPr="00D948C1">
              <w:rPr>
                <w:rFonts w:cs="Arial"/>
                <w:szCs w:val="24"/>
              </w:rPr>
              <w:t>(</w:t>
            </w:r>
            <w:r w:rsidR="000B1DF5" w:rsidRPr="00D948C1">
              <w:rPr>
                <w:rFonts w:cs="Arial"/>
                <w:szCs w:val="24"/>
              </w:rPr>
              <w:t>51</w:t>
            </w:r>
            <w:r w:rsidRPr="00D948C1">
              <w:rPr>
                <w:rFonts w:cs="Arial"/>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4349424" w14:textId="709BB20A"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0241521" w14:textId="3C212028"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34B439F" w14:textId="26014F9D"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96DD9D1" w14:textId="27D19637" w:rsidR="00B16E84" w:rsidRPr="00D948C1" w:rsidRDefault="00B16E84" w:rsidP="006C0086">
            <w:pPr>
              <w:spacing w:line="276" w:lineRule="auto"/>
              <w:jc w:val="right"/>
              <w:rPr>
                <w:rFonts w:cs="Arial"/>
                <w:szCs w:val="24"/>
              </w:rPr>
            </w:pPr>
            <w:r w:rsidRPr="00D948C1">
              <w:rPr>
                <w:rFonts w:cs="Arial"/>
                <w:szCs w:val="24"/>
              </w:rPr>
              <w:t>(</w:t>
            </w:r>
            <w:r w:rsidR="000B1DF5" w:rsidRPr="00D948C1">
              <w:rPr>
                <w:rFonts w:cs="Arial"/>
                <w:szCs w:val="24"/>
              </w:rPr>
              <w:t>51</w:t>
            </w:r>
            <w:r w:rsidRPr="00D948C1">
              <w:rPr>
                <w:rFonts w:cs="Arial"/>
                <w:szCs w:val="24"/>
              </w:rPr>
              <w:t>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64A11D7" w14:textId="1EBA5526" w:rsidR="00B16E84" w:rsidRPr="00D948C1" w:rsidRDefault="000B1DF5" w:rsidP="006C0086">
            <w:pPr>
              <w:spacing w:line="276" w:lineRule="auto"/>
              <w:jc w:val="right"/>
              <w:rPr>
                <w:rFonts w:cs="Arial"/>
                <w:szCs w:val="24"/>
              </w:rPr>
            </w:pPr>
            <w:r w:rsidRPr="00D948C1">
              <w:rPr>
                <w:rFonts w:cs="Arial"/>
                <w:szCs w:val="24"/>
              </w:rPr>
              <w:t>51</w:t>
            </w:r>
            <w:r w:rsidR="00B16E84" w:rsidRPr="00D948C1">
              <w:rPr>
                <w:rFonts w:cs="Arial"/>
                <w:szCs w:val="24"/>
              </w:rPr>
              <w:t>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29B2086" w14:textId="190E294D"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5744B3B6"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C13B346" w14:textId="77777777" w:rsidR="00B16E84" w:rsidRPr="00D948C1" w:rsidRDefault="00B16E84" w:rsidP="006C0086">
            <w:pPr>
              <w:spacing w:line="276" w:lineRule="auto"/>
              <w:rPr>
                <w:rFonts w:cs="Arial"/>
                <w:szCs w:val="24"/>
              </w:rPr>
            </w:pPr>
            <w:r w:rsidRPr="00D948C1">
              <w:rPr>
                <w:rFonts w:cs="Arial"/>
                <w:szCs w:val="24"/>
              </w:rPr>
              <w:t>Capital expenditure charged against General Fund Balance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AD15415" w14:textId="6BF4A930" w:rsidR="00B16E84" w:rsidRPr="00D948C1" w:rsidRDefault="000B1DF5" w:rsidP="006C0086">
            <w:pPr>
              <w:spacing w:line="276" w:lineRule="auto"/>
              <w:jc w:val="right"/>
              <w:rPr>
                <w:rFonts w:cs="Arial"/>
                <w:szCs w:val="24"/>
              </w:rPr>
            </w:pPr>
            <w:r w:rsidRPr="00D948C1">
              <w:rPr>
                <w:rFonts w:cs="Arial"/>
                <w:szCs w:val="24"/>
              </w:rPr>
              <w:t>(4,171)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B936054" w14:textId="4C05F072" w:rsidR="00B16E84" w:rsidRPr="00D948C1" w:rsidRDefault="000B1DF5" w:rsidP="006C0086">
            <w:pPr>
              <w:spacing w:line="276" w:lineRule="auto"/>
              <w:jc w:val="right"/>
              <w:rPr>
                <w:rFonts w:cs="Arial"/>
                <w:szCs w:val="24"/>
              </w:rPr>
            </w:pPr>
            <w:r w:rsidRPr="00D948C1">
              <w:rPr>
                <w:rFonts w:cs="Arial"/>
                <w:szCs w:val="24"/>
              </w:rPr>
              <w:t>(266)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FE340EA" w14:textId="50FAB245" w:rsidR="00B16E84" w:rsidRPr="00D948C1" w:rsidRDefault="000B1DF5" w:rsidP="006C0086">
            <w:pPr>
              <w:spacing w:line="276" w:lineRule="auto"/>
              <w:jc w:val="right"/>
              <w:rPr>
                <w:rFonts w:cs="Arial"/>
                <w:szCs w:val="24"/>
              </w:rPr>
            </w:pPr>
            <w:r w:rsidRPr="00D948C1">
              <w:rPr>
                <w:rFonts w:cs="Arial"/>
                <w:szCs w:val="24"/>
              </w:rPr>
              <w:t>(4,437)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C3E5F5F" w14:textId="097B7F76" w:rsidR="00B16E84" w:rsidRPr="00D948C1" w:rsidRDefault="007713FF" w:rsidP="006C0086">
            <w:pPr>
              <w:spacing w:line="276" w:lineRule="auto"/>
              <w:jc w:val="right"/>
              <w:rPr>
                <w:rFonts w:cs="Arial"/>
                <w:szCs w:val="24"/>
              </w:rPr>
            </w:pPr>
            <w:r>
              <w:rPr>
                <w:rFonts w:cs="Arial"/>
                <w:szCs w:val="24"/>
              </w:rPr>
              <w:t>(751)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FDD9DDA" w14:textId="5DDB8315"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3FD5B9C" w14:textId="0E1A9293" w:rsidR="00B16E84" w:rsidRPr="00D948C1" w:rsidRDefault="000B1DF5" w:rsidP="006C0086">
            <w:pPr>
              <w:spacing w:line="276" w:lineRule="auto"/>
              <w:jc w:val="right"/>
              <w:rPr>
                <w:rFonts w:cs="Arial"/>
                <w:szCs w:val="24"/>
              </w:rPr>
            </w:pPr>
            <w:r w:rsidRPr="00D948C1">
              <w:rPr>
                <w:rFonts w:cs="Arial"/>
                <w:szCs w:val="24"/>
              </w:rPr>
              <w:t>(</w:t>
            </w:r>
            <w:r w:rsidR="00EC11E7" w:rsidRPr="00D948C1">
              <w:rPr>
                <w:rFonts w:cs="Arial"/>
                <w:szCs w:val="24"/>
              </w:rPr>
              <w:t>1,637</w:t>
            </w: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9B037FA" w14:textId="6DBAA174" w:rsidR="00B16E84" w:rsidRPr="00D948C1" w:rsidRDefault="000B1DF5" w:rsidP="006C0086">
            <w:pPr>
              <w:spacing w:line="276" w:lineRule="auto"/>
              <w:jc w:val="right"/>
              <w:rPr>
                <w:rFonts w:cs="Arial"/>
                <w:szCs w:val="24"/>
              </w:rPr>
            </w:pPr>
            <w:r w:rsidRPr="00D948C1">
              <w:rPr>
                <w:rFonts w:cs="Arial"/>
                <w:szCs w:val="24"/>
              </w:rPr>
              <w:t>(6,</w:t>
            </w:r>
            <w:r w:rsidR="007713FF">
              <w:rPr>
                <w:rFonts w:cs="Arial"/>
                <w:szCs w:val="24"/>
              </w:rPr>
              <w:t>825</w:t>
            </w: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8605687" w14:textId="6F07CE24" w:rsidR="00B16E84" w:rsidRPr="00D948C1" w:rsidRDefault="000B1DF5" w:rsidP="006C0086">
            <w:pPr>
              <w:spacing w:line="276" w:lineRule="auto"/>
              <w:jc w:val="right"/>
              <w:rPr>
                <w:rFonts w:cs="Arial"/>
                <w:szCs w:val="24"/>
              </w:rPr>
            </w:pPr>
            <w:r w:rsidRPr="00D948C1">
              <w:rPr>
                <w:rFonts w:cs="Arial"/>
                <w:szCs w:val="24"/>
              </w:rPr>
              <w:t>6,</w:t>
            </w:r>
            <w:r w:rsidR="007713FF">
              <w:rPr>
                <w:rFonts w:cs="Arial"/>
                <w:szCs w:val="24"/>
              </w:rPr>
              <w:t>825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E43151" w14:textId="4E9EF05D" w:rsidR="00B16E84" w:rsidRPr="00D948C1" w:rsidRDefault="00B16E84" w:rsidP="006C0086">
            <w:pPr>
              <w:spacing w:line="276" w:lineRule="auto"/>
              <w:jc w:val="right"/>
              <w:rPr>
                <w:rFonts w:cs="Arial"/>
                <w:szCs w:val="24"/>
              </w:rPr>
            </w:pPr>
            <w:r w:rsidRPr="00D948C1">
              <w:rPr>
                <w:rFonts w:cs="Arial"/>
                <w:szCs w:val="24"/>
              </w:rPr>
              <w:t>-</w:t>
            </w:r>
          </w:p>
        </w:tc>
      </w:tr>
      <w:tr w:rsidR="00B16E84" w:rsidRPr="00D948C1" w14:paraId="67A1C7F6" w14:textId="77777777" w:rsidTr="00BC3251">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1AF2B4E" w14:textId="77777777" w:rsidR="00B16E84" w:rsidRPr="00D948C1" w:rsidRDefault="00B16E84" w:rsidP="006C0086">
            <w:pPr>
              <w:spacing w:line="276" w:lineRule="auto"/>
              <w:rPr>
                <w:rFonts w:cs="Arial"/>
                <w:szCs w:val="24"/>
              </w:rPr>
            </w:pPr>
            <w:r w:rsidRPr="00D948C1">
              <w:rPr>
                <w:rFonts w:cs="Arial"/>
                <w:szCs w:val="24"/>
              </w:rPr>
              <w:t>Amount by which the Code and the statutory pension costs differ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81D0F2D" w14:textId="0BD23896" w:rsidR="00B16E84" w:rsidRPr="00D948C1" w:rsidRDefault="000B1DF5" w:rsidP="006C0086">
            <w:pPr>
              <w:spacing w:line="276" w:lineRule="auto"/>
              <w:jc w:val="right"/>
              <w:rPr>
                <w:rFonts w:cs="Arial"/>
                <w:szCs w:val="24"/>
              </w:rPr>
            </w:pPr>
            <w:r w:rsidRPr="00D948C1">
              <w:rPr>
                <w:rFonts w:cs="Arial"/>
                <w:szCs w:val="24"/>
              </w:rPr>
              <w:t>4,554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DDC01E6" w14:textId="2F68AF26"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C41A927" w14:textId="1F531220" w:rsidR="00B16E84" w:rsidRPr="00D948C1" w:rsidRDefault="000B1DF5" w:rsidP="006C0086">
            <w:pPr>
              <w:spacing w:line="276" w:lineRule="auto"/>
              <w:jc w:val="right"/>
              <w:rPr>
                <w:rFonts w:cs="Arial"/>
                <w:szCs w:val="24"/>
              </w:rPr>
            </w:pPr>
            <w:r w:rsidRPr="00D948C1">
              <w:rPr>
                <w:rFonts w:cs="Arial"/>
                <w:szCs w:val="24"/>
              </w:rPr>
              <w:t>4,554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E02F36A" w14:textId="40612F03" w:rsidR="00B16E84" w:rsidRPr="00D948C1" w:rsidRDefault="00FF4100"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24116D4" w14:textId="4940B3B1" w:rsidR="00B16E84" w:rsidRPr="00D948C1" w:rsidRDefault="00FF4100"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6159D60" w14:textId="65281B05" w:rsidR="00B16E84" w:rsidRPr="00D948C1" w:rsidRDefault="00FF4100"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6436E53" w14:textId="73B4BCFB" w:rsidR="00B16E84" w:rsidRPr="00D948C1" w:rsidRDefault="000B1DF5" w:rsidP="006C0086">
            <w:pPr>
              <w:spacing w:line="276" w:lineRule="auto"/>
              <w:jc w:val="right"/>
              <w:rPr>
                <w:rFonts w:cs="Arial"/>
                <w:szCs w:val="24"/>
              </w:rPr>
            </w:pPr>
            <w:r w:rsidRPr="00D948C1">
              <w:rPr>
                <w:rFonts w:cs="Arial"/>
                <w:szCs w:val="24"/>
              </w:rPr>
              <w:t>4,554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3EC4922" w14:textId="62F22BF6" w:rsidR="00B16E84" w:rsidRPr="00D948C1" w:rsidRDefault="000B1DF5" w:rsidP="006C0086">
            <w:pPr>
              <w:spacing w:line="276" w:lineRule="auto"/>
              <w:jc w:val="right"/>
              <w:rPr>
                <w:rFonts w:cs="Arial"/>
                <w:szCs w:val="24"/>
              </w:rPr>
            </w:pPr>
            <w:r w:rsidRPr="00D948C1">
              <w:rPr>
                <w:rFonts w:cs="Arial"/>
                <w:szCs w:val="24"/>
              </w:rPr>
              <w:t>(4,554)</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ABE752B" w14:textId="491D7977" w:rsidR="00B16E84" w:rsidRPr="00D948C1" w:rsidRDefault="00B16E84" w:rsidP="006C0086">
            <w:pPr>
              <w:spacing w:line="276" w:lineRule="auto"/>
              <w:jc w:val="right"/>
              <w:rPr>
                <w:rFonts w:cs="Arial"/>
                <w:szCs w:val="24"/>
              </w:rPr>
            </w:pPr>
            <w:r w:rsidRPr="00D948C1">
              <w:rPr>
                <w:rFonts w:cs="Arial"/>
                <w:szCs w:val="24"/>
              </w:rPr>
              <w:t>-</w:t>
            </w:r>
          </w:p>
        </w:tc>
      </w:tr>
    </w:tbl>
    <w:p w14:paraId="596C7F8A" w14:textId="1AACD546" w:rsidR="002C5DD1" w:rsidRPr="00D948C1" w:rsidRDefault="002C5DD1" w:rsidP="006C0086">
      <w:pPr>
        <w:spacing w:line="276" w:lineRule="auto"/>
      </w:pPr>
    </w:p>
    <w:p w14:paraId="737E9E1E" w14:textId="77777777" w:rsidR="002C5DD1" w:rsidRPr="00D948C1" w:rsidRDefault="002C5DD1" w:rsidP="006C0086">
      <w:pPr>
        <w:spacing w:line="276" w:lineRule="auto"/>
      </w:pPr>
      <w:r w:rsidRPr="00D948C1">
        <w:br w:type="page"/>
      </w: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2C5DD1" w:rsidRPr="00D948C1" w14:paraId="4A0CABEF" w14:textId="77777777" w:rsidTr="00611673">
        <w:trPr>
          <w:trHeight w:val="287"/>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280347FD" w14:textId="77777777" w:rsidR="002C5DD1" w:rsidRPr="00D948C1" w:rsidRDefault="002C5DD1" w:rsidP="006C0086">
            <w:pPr>
              <w:spacing w:line="276" w:lineRule="auto"/>
              <w:rPr>
                <w:rFonts w:cs="Arial"/>
                <w:color w:val="FFFFFF" w:themeColor="background1"/>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46B3698E"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General fund</w:t>
            </w:r>
          </w:p>
          <w:p w14:paraId="20ED74D4" w14:textId="7D15C1A9"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6B3449C9"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Earmarked reserves</w:t>
            </w:r>
          </w:p>
          <w:p w14:paraId="50A79A2B" w14:textId="4FFFA712"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1DB92B8B"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Total General Fund Balance</w:t>
            </w:r>
          </w:p>
          <w:p w14:paraId="48D24374" w14:textId="63C82A5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10D4A50"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Capital funding reserve</w:t>
            </w:r>
          </w:p>
          <w:p w14:paraId="45729F31" w14:textId="45E89875"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072D9F97"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Capital grant unapplied reserve</w:t>
            </w:r>
          </w:p>
          <w:p w14:paraId="595203C6" w14:textId="7C502A96"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2A7EA851"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Capital receipts reserve</w:t>
            </w:r>
          </w:p>
          <w:p w14:paraId="3A67AF20" w14:textId="580BED96"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5CA67C3E"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Total usable reserves</w:t>
            </w:r>
          </w:p>
          <w:p w14:paraId="36B6438E" w14:textId="79F92DD0"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675F75DA"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Unusable reserves</w:t>
            </w:r>
          </w:p>
          <w:p w14:paraId="094A6BC4" w14:textId="54391E9C"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2E582E86" w14:textId="77777777"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Total Authority reserves</w:t>
            </w:r>
          </w:p>
          <w:p w14:paraId="0714F521" w14:textId="07FD9B15" w:rsidR="002C5DD1" w:rsidRPr="00D948C1" w:rsidRDefault="002C5DD1"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2C5DD1" w:rsidRPr="00D948C1" w14:paraId="6963C0DD" w14:textId="77777777" w:rsidTr="00233A66">
        <w:trPr>
          <w:trHeight w:val="287"/>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4481244C" w14:textId="77777777" w:rsidR="002C5DD1" w:rsidRPr="00D948C1" w:rsidRDefault="002C5DD1" w:rsidP="006C0086">
            <w:pPr>
              <w:spacing w:line="276" w:lineRule="auto"/>
              <w:rPr>
                <w:rFonts w:cs="Arial"/>
                <w:szCs w:val="24"/>
              </w:rPr>
            </w:pPr>
            <w:r w:rsidRPr="00D948C1">
              <w:rPr>
                <w:rFonts w:cs="Arial"/>
                <w:szCs w:val="24"/>
              </w:rPr>
              <w:t>Amount by which the Code and the statutory collection fund income differ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95A6216" w14:textId="2DF9F0BB" w:rsidR="002C5DD1" w:rsidRPr="00D948C1" w:rsidRDefault="000B1DF5" w:rsidP="006C0086">
            <w:pPr>
              <w:spacing w:line="276" w:lineRule="auto"/>
              <w:jc w:val="right"/>
              <w:rPr>
                <w:rFonts w:cs="Arial"/>
                <w:szCs w:val="24"/>
              </w:rPr>
            </w:pPr>
            <w:r w:rsidRPr="00D948C1">
              <w:rPr>
                <w:rFonts w:cs="Arial"/>
                <w:szCs w:val="24"/>
              </w:rPr>
              <w:t>87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0BD3AE5" w14:textId="5E140731"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68937DD" w14:textId="722C8F13" w:rsidR="002C5DD1" w:rsidRPr="00D948C1" w:rsidRDefault="00D723B5" w:rsidP="006C0086">
            <w:pPr>
              <w:spacing w:line="276" w:lineRule="auto"/>
              <w:jc w:val="right"/>
              <w:rPr>
                <w:rFonts w:cs="Arial"/>
                <w:szCs w:val="24"/>
              </w:rPr>
            </w:pPr>
            <w:r w:rsidRPr="00D948C1">
              <w:rPr>
                <w:rFonts w:cs="Arial"/>
                <w:szCs w:val="24"/>
              </w:rPr>
              <w:t>87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1A1D5B3" w14:textId="6B554B79" w:rsidR="002C5DD1" w:rsidRPr="00D948C1" w:rsidRDefault="002C5DD1"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59934DC4" w14:textId="523A58D4"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60B35E" w14:textId="236E9A74" w:rsidR="002C5DD1" w:rsidRPr="00D948C1" w:rsidRDefault="002C5DD1"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DCE0B5F" w14:textId="01B84640" w:rsidR="002C5DD1" w:rsidRPr="00D948C1" w:rsidRDefault="00D723B5" w:rsidP="006C0086">
            <w:pPr>
              <w:spacing w:line="276" w:lineRule="auto"/>
              <w:jc w:val="right"/>
              <w:rPr>
                <w:rFonts w:cs="Arial"/>
                <w:szCs w:val="24"/>
              </w:rPr>
            </w:pPr>
            <w:r w:rsidRPr="00D948C1">
              <w:rPr>
                <w:rFonts w:cs="Arial"/>
                <w:szCs w:val="24"/>
              </w:rPr>
              <w:t>87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4970D6A" w14:textId="0DDB73D8" w:rsidR="002C5DD1" w:rsidRPr="00D948C1" w:rsidRDefault="00D723B5" w:rsidP="006C0086">
            <w:pPr>
              <w:spacing w:line="276" w:lineRule="auto"/>
              <w:jc w:val="right"/>
              <w:rPr>
                <w:rFonts w:cs="Arial"/>
                <w:szCs w:val="24"/>
              </w:rPr>
            </w:pPr>
            <w:r w:rsidRPr="00D948C1">
              <w:rPr>
                <w:rFonts w:cs="Arial"/>
                <w:szCs w:val="24"/>
              </w:rPr>
              <w:t>(87)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235EA22" w14:textId="14A18730" w:rsidR="002C5DD1" w:rsidRPr="00D948C1" w:rsidRDefault="002C5DD1" w:rsidP="006C0086">
            <w:pPr>
              <w:spacing w:line="276" w:lineRule="auto"/>
              <w:jc w:val="right"/>
              <w:rPr>
                <w:rFonts w:cs="Arial"/>
                <w:szCs w:val="24"/>
              </w:rPr>
            </w:pPr>
            <w:r w:rsidRPr="00D948C1">
              <w:rPr>
                <w:rFonts w:cs="Arial"/>
                <w:szCs w:val="24"/>
              </w:rPr>
              <w:t>-</w:t>
            </w:r>
          </w:p>
        </w:tc>
      </w:tr>
      <w:tr w:rsidR="002C5DD1" w:rsidRPr="00D948C1" w14:paraId="57544245" w14:textId="77777777" w:rsidTr="00233A66">
        <w:trPr>
          <w:trHeight w:val="269"/>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32EAC610" w14:textId="49EE3817" w:rsidR="002C5DD1" w:rsidRPr="00D948C1" w:rsidRDefault="002C5DD1" w:rsidP="006C0086">
            <w:pPr>
              <w:spacing w:line="276" w:lineRule="auto"/>
              <w:rPr>
                <w:rFonts w:cs="Arial"/>
                <w:b/>
                <w:bCs/>
                <w:szCs w:val="24"/>
              </w:rPr>
            </w:pPr>
            <w:r w:rsidRPr="00D948C1">
              <w:rPr>
                <w:rFonts w:cs="Arial"/>
                <w:b/>
                <w:bCs/>
                <w:szCs w:val="24"/>
              </w:rPr>
              <w:t>Adjustments total</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3BD343E" w14:textId="514A682B" w:rsidR="002C5DD1" w:rsidRPr="00D948C1" w:rsidRDefault="000B1DF5" w:rsidP="006C0086">
            <w:pPr>
              <w:spacing w:line="276" w:lineRule="auto"/>
              <w:jc w:val="right"/>
              <w:rPr>
                <w:rFonts w:cs="Arial"/>
                <w:b/>
                <w:bCs/>
                <w:szCs w:val="24"/>
              </w:rPr>
            </w:pPr>
            <w:r w:rsidRPr="00D948C1">
              <w:rPr>
                <w:rFonts w:cs="Arial"/>
                <w:b/>
                <w:bCs/>
                <w:szCs w:val="24"/>
              </w:rPr>
              <w:t>6,066</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C8A25F6" w14:textId="73A0A917" w:rsidR="002C5DD1" w:rsidRPr="00D948C1" w:rsidRDefault="000B1DF5" w:rsidP="006C0086">
            <w:pPr>
              <w:spacing w:line="276" w:lineRule="auto"/>
              <w:jc w:val="right"/>
              <w:rPr>
                <w:rFonts w:cs="Arial"/>
                <w:b/>
                <w:bCs/>
                <w:szCs w:val="24"/>
              </w:rPr>
            </w:pPr>
            <w:r w:rsidRPr="00D948C1">
              <w:rPr>
                <w:rFonts w:cs="Arial"/>
                <w:b/>
                <w:bCs/>
                <w:szCs w:val="24"/>
              </w:rPr>
              <w:t>(266)</w:t>
            </w:r>
          </w:p>
        </w:tc>
        <w:tc>
          <w:tcPr>
            <w:tcW w:w="396" w:type="pct"/>
            <w:tcBorders>
              <w:top w:val="single" w:sz="4" w:space="0" w:color="auto"/>
              <w:left w:val="single" w:sz="4" w:space="0" w:color="auto"/>
              <w:bottom w:val="single" w:sz="4" w:space="0" w:color="auto"/>
              <w:right w:val="single" w:sz="4" w:space="0" w:color="auto"/>
            </w:tcBorders>
            <w:vAlign w:val="center"/>
          </w:tcPr>
          <w:p w14:paraId="1ADF1687" w14:textId="0564768A" w:rsidR="002C5DD1" w:rsidRPr="00D948C1" w:rsidRDefault="000B1DF5" w:rsidP="006C0086">
            <w:pPr>
              <w:spacing w:line="276" w:lineRule="auto"/>
              <w:jc w:val="right"/>
              <w:rPr>
                <w:rFonts w:cs="Arial"/>
                <w:b/>
                <w:bCs/>
                <w:szCs w:val="24"/>
              </w:rPr>
            </w:pPr>
            <w:r w:rsidRPr="00D948C1">
              <w:rPr>
                <w:rFonts w:cs="Arial"/>
                <w:b/>
                <w:bCs/>
                <w:szCs w:val="24"/>
              </w:rPr>
              <w:t>5,800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B6FE971" w14:textId="576D48F9" w:rsidR="002C5DD1" w:rsidRPr="00D948C1" w:rsidRDefault="007713FF" w:rsidP="006C0086">
            <w:pPr>
              <w:spacing w:line="276" w:lineRule="auto"/>
              <w:jc w:val="right"/>
              <w:rPr>
                <w:rFonts w:cs="Arial"/>
                <w:b/>
                <w:bCs/>
                <w:szCs w:val="24"/>
              </w:rPr>
            </w:pPr>
            <w:r>
              <w:rPr>
                <w:rFonts w:cs="Arial"/>
                <w:b/>
                <w:bCs/>
                <w:szCs w:val="24"/>
              </w:rPr>
              <w:t>(751)</w:t>
            </w:r>
          </w:p>
        </w:tc>
        <w:tc>
          <w:tcPr>
            <w:tcW w:w="412" w:type="pct"/>
            <w:tcBorders>
              <w:top w:val="single" w:sz="4" w:space="0" w:color="auto"/>
              <w:left w:val="single" w:sz="4" w:space="0" w:color="auto"/>
              <w:bottom w:val="single" w:sz="4" w:space="0" w:color="auto"/>
              <w:right w:val="single" w:sz="4" w:space="0" w:color="auto"/>
            </w:tcBorders>
            <w:vAlign w:val="center"/>
          </w:tcPr>
          <w:p w14:paraId="0F5BA14B" w14:textId="070A39CE" w:rsidR="002C5DD1" w:rsidRPr="00D948C1" w:rsidRDefault="000B1DF5" w:rsidP="006C0086">
            <w:pPr>
              <w:spacing w:line="276" w:lineRule="auto"/>
              <w:jc w:val="right"/>
              <w:rPr>
                <w:rFonts w:cs="Arial"/>
                <w:b/>
                <w:bCs/>
                <w:szCs w:val="24"/>
              </w:rPr>
            </w:pPr>
            <w:r w:rsidRPr="00D948C1">
              <w:rPr>
                <w:rFonts w:cs="Arial"/>
                <w:b/>
                <w:bCs/>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477CDB" w14:textId="12337A8C" w:rsidR="002C5DD1" w:rsidRPr="00D948C1" w:rsidRDefault="000B1DF5" w:rsidP="006C0086">
            <w:pPr>
              <w:spacing w:line="276" w:lineRule="auto"/>
              <w:jc w:val="right"/>
              <w:rPr>
                <w:rFonts w:cs="Arial"/>
                <w:b/>
                <w:bCs/>
                <w:szCs w:val="24"/>
              </w:rPr>
            </w:pPr>
            <w:r w:rsidRPr="00D948C1">
              <w:rPr>
                <w:rFonts w:cs="Arial"/>
                <w:b/>
                <w:bCs/>
                <w:szCs w:val="24"/>
              </w:rPr>
              <w:t>(1,</w:t>
            </w:r>
            <w:r w:rsidR="008B5A6A" w:rsidRPr="00D948C1">
              <w:rPr>
                <w:rFonts w:cs="Arial"/>
                <w:b/>
                <w:bCs/>
                <w:szCs w:val="24"/>
              </w:rPr>
              <w:t>62</w:t>
            </w:r>
            <w:r w:rsidRPr="00D948C1">
              <w:rPr>
                <w:rFonts w:cs="Arial"/>
                <w:b/>
                <w:bCs/>
                <w:szCs w:val="24"/>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68DC9C1" w14:textId="3CDF593F" w:rsidR="002C5DD1" w:rsidRPr="00D948C1" w:rsidRDefault="007713FF" w:rsidP="006C0086">
            <w:pPr>
              <w:spacing w:line="276" w:lineRule="auto"/>
              <w:jc w:val="right"/>
              <w:rPr>
                <w:rFonts w:cs="Arial"/>
                <w:b/>
                <w:bCs/>
                <w:szCs w:val="24"/>
              </w:rPr>
            </w:pPr>
            <w:r>
              <w:rPr>
                <w:rFonts w:cs="Arial"/>
                <w:b/>
                <w:bCs/>
                <w:szCs w:val="24"/>
              </w:rPr>
              <w:t>3,401</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81D60B" w14:textId="5D9699F7" w:rsidR="002C5DD1" w:rsidRPr="00D948C1" w:rsidRDefault="007713FF" w:rsidP="006C0086">
            <w:pPr>
              <w:spacing w:line="276" w:lineRule="auto"/>
              <w:jc w:val="right"/>
              <w:rPr>
                <w:rFonts w:cs="Arial"/>
                <w:b/>
                <w:bCs/>
                <w:szCs w:val="24"/>
              </w:rPr>
            </w:pPr>
            <w:r>
              <w:rPr>
                <w:rFonts w:cs="Arial"/>
                <w:b/>
                <w:bCs/>
                <w:szCs w:val="24"/>
              </w:rPr>
              <w:t>(3,401)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7FD312C" w14:textId="0B32661D" w:rsidR="002C5DD1" w:rsidRPr="00D948C1" w:rsidRDefault="002C5DD1" w:rsidP="006C0086">
            <w:pPr>
              <w:spacing w:line="276" w:lineRule="auto"/>
              <w:jc w:val="right"/>
              <w:rPr>
                <w:rFonts w:cs="Arial"/>
                <w:b/>
                <w:bCs/>
                <w:szCs w:val="24"/>
              </w:rPr>
            </w:pPr>
            <w:r w:rsidRPr="00D948C1">
              <w:rPr>
                <w:rFonts w:cs="Arial"/>
                <w:b/>
                <w:bCs/>
                <w:szCs w:val="24"/>
              </w:rPr>
              <w:t>-</w:t>
            </w:r>
          </w:p>
        </w:tc>
      </w:tr>
      <w:tr w:rsidR="002C5DD1" w:rsidRPr="00D948C1" w14:paraId="0BEA7D72" w14:textId="77777777" w:rsidTr="00233A66">
        <w:trPr>
          <w:trHeight w:val="243"/>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67F3060" w14:textId="77777777" w:rsidR="002C5DD1" w:rsidRPr="00D948C1" w:rsidRDefault="002C5DD1" w:rsidP="006C0086">
            <w:pPr>
              <w:spacing w:line="276" w:lineRule="auto"/>
              <w:rPr>
                <w:rFonts w:cs="Arial"/>
                <w:b/>
                <w:bCs/>
                <w:szCs w:val="24"/>
              </w:rPr>
            </w:pPr>
            <w:r w:rsidRPr="00D948C1">
              <w:rPr>
                <w:rFonts w:cs="Arial"/>
                <w:b/>
                <w:bCs/>
                <w:szCs w:val="24"/>
              </w:rPr>
              <w:t>Net increase/decrease before transfers to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86FAE83" w14:textId="5755BBD6" w:rsidR="002C5DD1" w:rsidRPr="00D948C1" w:rsidRDefault="000B1DF5" w:rsidP="006C0086">
            <w:pPr>
              <w:spacing w:line="276" w:lineRule="auto"/>
              <w:jc w:val="right"/>
              <w:rPr>
                <w:rFonts w:cs="Arial"/>
                <w:b/>
                <w:bCs/>
                <w:szCs w:val="24"/>
              </w:rPr>
            </w:pPr>
            <w:r w:rsidRPr="00D948C1">
              <w:rPr>
                <w:rFonts w:cs="Arial"/>
                <w:b/>
                <w:bCs/>
                <w:szCs w:val="24"/>
              </w:rPr>
              <w:t>228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F86B70D" w14:textId="69C13EFA" w:rsidR="002C5DD1" w:rsidRPr="00D948C1" w:rsidRDefault="000B1DF5" w:rsidP="006C0086">
            <w:pPr>
              <w:spacing w:line="276" w:lineRule="auto"/>
              <w:jc w:val="right"/>
              <w:rPr>
                <w:rFonts w:cs="Arial"/>
                <w:b/>
                <w:bCs/>
                <w:szCs w:val="24"/>
              </w:rPr>
            </w:pPr>
            <w:r w:rsidRPr="00D948C1">
              <w:rPr>
                <w:rFonts w:cs="Arial"/>
                <w:b/>
                <w:bCs/>
                <w:szCs w:val="24"/>
              </w:rPr>
              <w:t>(266)</w:t>
            </w:r>
          </w:p>
        </w:tc>
        <w:tc>
          <w:tcPr>
            <w:tcW w:w="396" w:type="pct"/>
            <w:tcBorders>
              <w:top w:val="single" w:sz="4" w:space="0" w:color="auto"/>
              <w:left w:val="single" w:sz="4" w:space="0" w:color="auto"/>
              <w:bottom w:val="single" w:sz="4" w:space="0" w:color="auto"/>
              <w:right w:val="single" w:sz="4" w:space="0" w:color="auto"/>
            </w:tcBorders>
            <w:vAlign w:val="center"/>
          </w:tcPr>
          <w:p w14:paraId="0E2930F0" w14:textId="5F2535B9" w:rsidR="002C5DD1" w:rsidRPr="00D948C1" w:rsidRDefault="000B1DF5" w:rsidP="006C0086">
            <w:pPr>
              <w:spacing w:line="276" w:lineRule="auto"/>
              <w:jc w:val="right"/>
              <w:rPr>
                <w:rFonts w:cs="Arial"/>
                <w:b/>
                <w:bCs/>
                <w:szCs w:val="24"/>
              </w:rPr>
            </w:pPr>
            <w:r w:rsidRPr="00D948C1">
              <w:rPr>
                <w:rFonts w:cs="Arial"/>
                <w:b/>
                <w:bCs/>
                <w:szCs w:val="24"/>
              </w:rPr>
              <w:t>(38)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D47180A" w14:textId="54E441FA" w:rsidR="002C5DD1" w:rsidRPr="00D948C1" w:rsidRDefault="007713FF" w:rsidP="006C0086">
            <w:pPr>
              <w:spacing w:line="276" w:lineRule="auto"/>
              <w:jc w:val="right"/>
              <w:rPr>
                <w:rFonts w:cs="Arial"/>
                <w:b/>
                <w:bCs/>
                <w:szCs w:val="24"/>
              </w:rPr>
            </w:pPr>
            <w:r>
              <w:rPr>
                <w:rFonts w:cs="Arial"/>
                <w:b/>
                <w:bCs/>
                <w:szCs w:val="24"/>
              </w:rPr>
              <w:t>(751)</w:t>
            </w:r>
          </w:p>
        </w:tc>
        <w:tc>
          <w:tcPr>
            <w:tcW w:w="412" w:type="pct"/>
            <w:tcBorders>
              <w:top w:val="single" w:sz="4" w:space="0" w:color="auto"/>
              <w:left w:val="single" w:sz="4" w:space="0" w:color="auto"/>
              <w:bottom w:val="single" w:sz="4" w:space="0" w:color="auto"/>
              <w:right w:val="single" w:sz="4" w:space="0" w:color="auto"/>
            </w:tcBorders>
            <w:vAlign w:val="center"/>
          </w:tcPr>
          <w:p w14:paraId="0B7221F6" w14:textId="4BD55DA7" w:rsidR="002C5DD1" w:rsidRPr="00D948C1" w:rsidRDefault="000B1DF5" w:rsidP="006C0086">
            <w:pPr>
              <w:spacing w:line="276" w:lineRule="auto"/>
              <w:jc w:val="right"/>
              <w:rPr>
                <w:rFonts w:cs="Arial"/>
                <w:b/>
                <w:bCs/>
                <w:szCs w:val="24"/>
              </w:rPr>
            </w:pPr>
            <w:r w:rsidRPr="00D948C1">
              <w:rPr>
                <w:rFonts w:cs="Arial"/>
                <w:b/>
                <w:bCs/>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48D842E" w14:textId="41ABEE13" w:rsidR="002C5DD1" w:rsidRPr="00D948C1" w:rsidRDefault="000B1DF5" w:rsidP="006C0086">
            <w:pPr>
              <w:spacing w:line="276" w:lineRule="auto"/>
              <w:jc w:val="right"/>
              <w:rPr>
                <w:rFonts w:cs="Arial"/>
                <w:b/>
                <w:bCs/>
                <w:szCs w:val="24"/>
              </w:rPr>
            </w:pPr>
            <w:r w:rsidRPr="00D948C1">
              <w:rPr>
                <w:rFonts w:cs="Arial"/>
                <w:b/>
                <w:bCs/>
                <w:szCs w:val="24"/>
              </w:rPr>
              <w:t>(1,</w:t>
            </w:r>
            <w:r w:rsidR="008B5A6A" w:rsidRPr="00D948C1">
              <w:rPr>
                <w:rFonts w:cs="Arial"/>
                <w:b/>
                <w:bCs/>
                <w:szCs w:val="24"/>
              </w:rPr>
              <w:t>62</w:t>
            </w:r>
            <w:r w:rsidRPr="00D948C1">
              <w:rPr>
                <w:rFonts w:cs="Arial"/>
                <w:b/>
                <w:bCs/>
                <w:szCs w:val="24"/>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41499D3" w14:textId="34C7B4AC" w:rsidR="002C5DD1" w:rsidRPr="00D948C1" w:rsidRDefault="000B1DF5" w:rsidP="006C0086">
            <w:pPr>
              <w:spacing w:line="276" w:lineRule="auto"/>
              <w:jc w:val="right"/>
              <w:rPr>
                <w:rFonts w:cs="Arial"/>
                <w:b/>
                <w:bCs/>
                <w:szCs w:val="24"/>
              </w:rPr>
            </w:pPr>
            <w:r w:rsidRPr="00D948C1">
              <w:rPr>
                <w:rFonts w:cs="Arial"/>
                <w:b/>
                <w:bCs/>
                <w:szCs w:val="24"/>
              </w:rPr>
              <w:t>(</w:t>
            </w:r>
            <w:r w:rsidR="00475AF1">
              <w:rPr>
                <w:rFonts w:cs="Arial"/>
                <w:b/>
                <w:bCs/>
                <w:szCs w:val="24"/>
              </w:rPr>
              <w:t>2</w:t>
            </w:r>
            <w:r w:rsidRPr="00D948C1">
              <w:rPr>
                <w:rFonts w:cs="Arial"/>
                <w:b/>
                <w:bCs/>
                <w:szCs w:val="24"/>
              </w:rPr>
              <w:t>,</w:t>
            </w:r>
            <w:r w:rsidR="00475AF1">
              <w:rPr>
                <w:rFonts w:cs="Arial"/>
                <w:b/>
                <w:bCs/>
                <w:szCs w:val="24"/>
              </w:rPr>
              <w:t>437</w:t>
            </w:r>
            <w:r w:rsidRPr="00D948C1">
              <w:rPr>
                <w:rFonts w:cs="Arial"/>
                <w:b/>
                <w:bCs/>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55E0793" w14:textId="3C057EB3" w:rsidR="002C5DD1" w:rsidRPr="00D948C1" w:rsidRDefault="000B1DF5" w:rsidP="006C0086">
            <w:pPr>
              <w:spacing w:line="276" w:lineRule="auto"/>
              <w:jc w:val="right"/>
              <w:rPr>
                <w:rFonts w:cs="Arial"/>
                <w:b/>
                <w:bCs/>
                <w:szCs w:val="24"/>
              </w:rPr>
            </w:pPr>
            <w:r w:rsidRPr="00D948C1">
              <w:rPr>
                <w:rFonts w:cs="Arial"/>
                <w:b/>
                <w:bCs/>
                <w:szCs w:val="24"/>
              </w:rPr>
              <w:t>1,</w:t>
            </w:r>
            <w:r w:rsidR="00475AF1">
              <w:rPr>
                <w:rFonts w:cs="Arial"/>
                <w:b/>
                <w:bCs/>
                <w:szCs w:val="24"/>
              </w:rPr>
              <w:t>976</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35556A9" w14:textId="16E8331E" w:rsidR="002C5DD1" w:rsidRPr="00D948C1" w:rsidRDefault="000B1DF5" w:rsidP="006C0086">
            <w:pPr>
              <w:spacing w:line="276" w:lineRule="auto"/>
              <w:jc w:val="right"/>
              <w:rPr>
                <w:rFonts w:cs="Arial"/>
                <w:b/>
                <w:bCs/>
                <w:szCs w:val="24"/>
              </w:rPr>
            </w:pPr>
            <w:r w:rsidRPr="00D948C1">
              <w:rPr>
                <w:rFonts w:cs="Arial"/>
                <w:b/>
                <w:bCs/>
                <w:szCs w:val="24"/>
              </w:rPr>
              <w:t>(461)</w:t>
            </w:r>
          </w:p>
        </w:tc>
      </w:tr>
      <w:tr w:rsidR="002C5DD1" w:rsidRPr="00D948C1" w14:paraId="2E062C85"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4163233F" w14:textId="77777777" w:rsidR="002C5DD1" w:rsidRPr="00D948C1" w:rsidRDefault="002C5DD1" w:rsidP="006C0086">
            <w:pPr>
              <w:spacing w:line="276" w:lineRule="auto"/>
              <w:rPr>
                <w:rFonts w:cs="Arial"/>
                <w:szCs w:val="24"/>
              </w:rPr>
            </w:pPr>
            <w:r w:rsidRPr="00D948C1">
              <w:rPr>
                <w:rFonts w:cs="Arial"/>
                <w:szCs w:val="24"/>
              </w:rPr>
              <w:t>Transfers (to)/from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34C1091" w14:textId="4B578D64" w:rsidR="002C5DD1" w:rsidRPr="00D948C1" w:rsidRDefault="000B1DF5" w:rsidP="006C0086">
            <w:pPr>
              <w:spacing w:line="276" w:lineRule="auto"/>
              <w:jc w:val="right"/>
              <w:rPr>
                <w:rFonts w:cs="Arial"/>
                <w:szCs w:val="24"/>
              </w:rPr>
            </w:pPr>
            <w:r w:rsidRPr="00D948C1">
              <w:rPr>
                <w:rFonts w:cs="Arial"/>
                <w:szCs w:val="24"/>
              </w:rPr>
              <w:t>550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82434A2" w14:textId="167F9297" w:rsidR="002C5DD1" w:rsidRPr="00D948C1" w:rsidRDefault="000B1DF5" w:rsidP="006C0086">
            <w:pPr>
              <w:spacing w:line="276" w:lineRule="auto"/>
              <w:jc w:val="right"/>
              <w:rPr>
                <w:rFonts w:cs="Arial"/>
                <w:szCs w:val="24"/>
              </w:rPr>
            </w:pPr>
            <w:r w:rsidRPr="00D948C1">
              <w:rPr>
                <w:rFonts w:cs="Arial"/>
                <w:szCs w:val="24"/>
              </w:rPr>
              <w:t>(550)</w:t>
            </w:r>
          </w:p>
        </w:tc>
        <w:tc>
          <w:tcPr>
            <w:tcW w:w="396" w:type="pct"/>
            <w:tcBorders>
              <w:top w:val="single" w:sz="4" w:space="0" w:color="auto"/>
              <w:left w:val="single" w:sz="4" w:space="0" w:color="auto"/>
              <w:bottom w:val="single" w:sz="4" w:space="0" w:color="auto"/>
              <w:right w:val="single" w:sz="4" w:space="0" w:color="auto"/>
            </w:tcBorders>
            <w:vAlign w:val="center"/>
          </w:tcPr>
          <w:p w14:paraId="50042043" w14:textId="1E6AAB74" w:rsidR="002C5DD1" w:rsidRPr="00D948C1" w:rsidRDefault="002C5DD1" w:rsidP="006C0086">
            <w:pPr>
              <w:spacing w:line="276" w:lineRule="auto"/>
              <w:jc w:val="right"/>
              <w:rPr>
                <w:rFonts w:cs="Arial"/>
                <w:szCs w:val="24"/>
              </w:rPr>
            </w:pPr>
            <w:r w:rsidRPr="00D948C1">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9569C61" w14:textId="3727708A" w:rsidR="002C5DD1" w:rsidRPr="00D948C1" w:rsidRDefault="000B1DF5"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1ABA209D" w14:textId="60C8157E"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181E5AC" w14:textId="178FE0F1" w:rsidR="002C5DD1" w:rsidRPr="00D948C1" w:rsidRDefault="002C5DD1"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F54F1FF" w14:textId="61AD1C16" w:rsidR="002C5DD1" w:rsidRPr="00D948C1" w:rsidRDefault="002C5DD1" w:rsidP="006C0086">
            <w:pPr>
              <w:spacing w:line="276" w:lineRule="auto"/>
              <w:jc w:val="right"/>
              <w:rPr>
                <w:rFonts w:cs="Arial"/>
                <w:szCs w:val="24"/>
              </w:rPr>
            </w:pP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D47684" w14:textId="319BC688" w:rsidR="002C5DD1" w:rsidRPr="00D948C1" w:rsidRDefault="002C5DD1"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9D3663E" w14:textId="358BC50A" w:rsidR="002C5DD1" w:rsidRPr="00D948C1" w:rsidRDefault="002C5DD1" w:rsidP="006C0086">
            <w:pPr>
              <w:spacing w:line="276" w:lineRule="auto"/>
              <w:jc w:val="right"/>
              <w:rPr>
                <w:rFonts w:cs="Arial"/>
                <w:szCs w:val="24"/>
              </w:rPr>
            </w:pPr>
            <w:r w:rsidRPr="00D948C1">
              <w:rPr>
                <w:rFonts w:cs="Arial"/>
                <w:szCs w:val="24"/>
              </w:rPr>
              <w:t>-</w:t>
            </w:r>
          </w:p>
        </w:tc>
      </w:tr>
      <w:tr w:rsidR="002C5DD1" w:rsidRPr="00D948C1" w14:paraId="7E85BB24"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3DE6B58B" w14:textId="77777777" w:rsidR="002C5DD1" w:rsidRPr="00D948C1" w:rsidRDefault="002C5DD1" w:rsidP="006C0086">
            <w:pPr>
              <w:spacing w:line="276" w:lineRule="auto"/>
              <w:rPr>
                <w:rFonts w:cs="Arial"/>
                <w:szCs w:val="24"/>
              </w:rPr>
            </w:pPr>
            <w:r w:rsidRPr="00D948C1">
              <w:rPr>
                <w:rFonts w:cs="Arial"/>
                <w:szCs w:val="24"/>
              </w:rPr>
              <w:t>Transfers (to)/from capital funding reserve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6CF7D6C" w14:textId="4E12DDBC" w:rsidR="002C5DD1" w:rsidRPr="00D948C1" w:rsidRDefault="002C5DD1" w:rsidP="006C0086">
            <w:pPr>
              <w:spacing w:line="276" w:lineRule="auto"/>
              <w:jc w:val="right"/>
              <w:rPr>
                <w:rFonts w:cs="Arial"/>
                <w:szCs w:val="24"/>
              </w:rPr>
            </w:pPr>
            <w:r w:rsidRPr="00D948C1">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10B6F99" w14:textId="44D14B9D"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5EC538D7" w14:textId="1211EF67" w:rsidR="002C5DD1" w:rsidRPr="00D948C1" w:rsidRDefault="002C5DD1" w:rsidP="006C0086">
            <w:pPr>
              <w:spacing w:line="276" w:lineRule="auto"/>
              <w:jc w:val="right"/>
              <w:rPr>
                <w:rFonts w:cs="Arial"/>
                <w:szCs w:val="24"/>
              </w:rPr>
            </w:pPr>
            <w:r w:rsidRPr="00D948C1">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F227E79" w14:textId="0B34602D" w:rsidR="002C5DD1" w:rsidRPr="00D948C1" w:rsidRDefault="000B1DF5"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795AD726" w14:textId="2C4EA977"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CFCBBED" w14:textId="7B26B8E3" w:rsidR="002C5DD1" w:rsidRPr="00D948C1" w:rsidRDefault="002C5DD1"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6C234F5" w14:textId="68C2F730" w:rsidR="002C5DD1" w:rsidRPr="00D948C1" w:rsidRDefault="000B1DF5" w:rsidP="006C0086">
            <w:pPr>
              <w:spacing w:line="276" w:lineRule="auto"/>
              <w:jc w:val="right"/>
              <w:rPr>
                <w:rFonts w:cs="Arial"/>
                <w:szCs w:val="24"/>
              </w:rPr>
            </w:pP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3768E3F" w14:textId="682DC3E8" w:rsidR="002C5DD1" w:rsidRPr="00D948C1" w:rsidRDefault="000B1DF5"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63BC873" w14:textId="26377165" w:rsidR="002C5DD1" w:rsidRPr="00D948C1" w:rsidRDefault="002C5DD1" w:rsidP="006C0086">
            <w:pPr>
              <w:spacing w:line="276" w:lineRule="auto"/>
              <w:jc w:val="right"/>
              <w:rPr>
                <w:rFonts w:cs="Arial"/>
                <w:szCs w:val="24"/>
              </w:rPr>
            </w:pPr>
            <w:r w:rsidRPr="00D948C1">
              <w:rPr>
                <w:rFonts w:cs="Arial"/>
                <w:szCs w:val="24"/>
              </w:rPr>
              <w:t>-</w:t>
            </w:r>
          </w:p>
        </w:tc>
      </w:tr>
      <w:tr w:rsidR="002C5DD1" w:rsidRPr="00D948C1" w14:paraId="698D0BF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B694C56" w14:textId="77777777" w:rsidR="002C5DD1" w:rsidRPr="00D948C1" w:rsidRDefault="002C5DD1" w:rsidP="006C0086">
            <w:pPr>
              <w:spacing w:line="276" w:lineRule="auto"/>
              <w:rPr>
                <w:rFonts w:cs="Arial"/>
                <w:szCs w:val="24"/>
              </w:rPr>
            </w:pPr>
            <w:r w:rsidRPr="00D948C1">
              <w:rPr>
                <w:rFonts w:cs="Arial"/>
                <w:szCs w:val="24"/>
              </w:rPr>
              <w:t>Transfers (to)/from accumulated absences adjustment account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1A26D9D" w14:textId="50A66DE8" w:rsidR="002C5DD1" w:rsidRPr="00D948C1" w:rsidRDefault="000B1DF5" w:rsidP="006C0086">
            <w:pPr>
              <w:spacing w:line="276" w:lineRule="auto"/>
              <w:jc w:val="right"/>
              <w:rPr>
                <w:rFonts w:cs="Arial"/>
                <w:szCs w:val="24"/>
              </w:rPr>
            </w:pPr>
            <w:r w:rsidRPr="00D948C1">
              <w:rPr>
                <w:rFonts w:cs="Arial"/>
                <w:szCs w:val="24"/>
              </w:rPr>
              <w:t>(3)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F53E8F2" w14:textId="2B43A3CE"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11C3547" w14:textId="6BD23157" w:rsidR="002C5DD1" w:rsidRPr="00D948C1" w:rsidRDefault="000B1DF5" w:rsidP="006C0086">
            <w:pPr>
              <w:spacing w:line="276" w:lineRule="auto"/>
              <w:jc w:val="right"/>
              <w:rPr>
                <w:rFonts w:cs="Arial"/>
                <w:szCs w:val="24"/>
              </w:rPr>
            </w:pPr>
            <w:r w:rsidRPr="00D948C1">
              <w:rPr>
                <w:rFonts w:cs="Arial"/>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234A275" w14:textId="0C6574EF" w:rsidR="002C5DD1" w:rsidRPr="00D948C1" w:rsidRDefault="002C5DD1"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48494F26" w14:textId="76ED65C0" w:rsidR="002C5DD1" w:rsidRPr="00D948C1" w:rsidRDefault="002C5DD1" w:rsidP="006C0086">
            <w:pPr>
              <w:spacing w:line="276" w:lineRule="auto"/>
              <w:jc w:val="right"/>
              <w:rPr>
                <w:rFonts w:cs="Arial"/>
                <w:szCs w:val="24"/>
              </w:rPr>
            </w:pPr>
            <w:r w:rsidRPr="00D948C1">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F6E4D2E" w14:textId="5CEFEB67" w:rsidR="002C5DD1" w:rsidRPr="00D948C1" w:rsidRDefault="002C5DD1" w:rsidP="006C0086">
            <w:pPr>
              <w:spacing w:line="276" w:lineRule="auto"/>
              <w:jc w:val="right"/>
              <w:rPr>
                <w:rFonts w:cs="Arial"/>
                <w:szCs w:val="24"/>
              </w:rPr>
            </w:pPr>
            <w:r w:rsidRPr="00D948C1">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593B887" w14:textId="366BD21A" w:rsidR="002C5DD1" w:rsidRPr="00D948C1" w:rsidRDefault="000B1DF5" w:rsidP="006C0086">
            <w:pPr>
              <w:spacing w:line="276" w:lineRule="auto"/>
              <w:jc w:val="right"/>
              <w:rPr>
                <w:rFonts w:cs="Arial"/>
                <w:szCs w:val="24"/>
              </w:rPr>
            </w:pPr>
            <w:r w:rsidRPr="00D948C1">
              <w:rPr>
                <w:rFonts w:cs="Arial"/>
                <w:szCs w:val="24"/>
              </w:rPr>
              <w:t>(3)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F1ACC37" w14:textId="6E1F53DD" w:rsidR="002C5DD1" w:rsidRPr="00D948C1" w:rsidRDefault="000B1DF5" w:rsidP="006C0086">
            <w:pPr>
              <w:spacing w:line="276" w:lineRule="auto"/>
              <w:jc w:val="right"/>
              <w:rPr>
                <w:rFonts w:cs="Arial"/>
                <w:szCs w:val="24"/>
              </w:rPr>
            </w:pPr>
            <w:r w:rsidRPr="00D948C1">
              <w:rPr>
                <w:rFonts w:cs="Arial"/>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19242A" w14:textId="495881AC" w:rsidR="002C5DD1" w:rsidRPr="00D948C1" w:rsidRDefault="002C5DD1" w:rsidP="006C0086">
            <w:pPr>
              <w:spacing w:line="276" w:lineRule="auto"/>
              <w:jc w:val="right"/>
              <w:rPr>
                <w:rFonts w:cs="Arial"/>
                <w:szCs w:val="24"/>
              </w:rPr>
            </w:pPr>
            <w:r w:rsidRPr="00D948C1">
              <w:rPr>
                <w:rFonts w:cs="Arial"/>
                <w:szCs w:val="24"/>
              </w:rPr>
              <w:t>-</w:t>
            </w:r>
          </w:p>
        </w:tc>
      </w:tr>
      <w:tr w:rsidR="002C5DD1" w:rsidRPr="00D948C1" w14:paraId="30E9A5F8"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311D39B" w14:textId="77777777" w:rsidR="002C5DD1" w:rsidRPr="00D948C1" w:rsidRDefault="002C5DD1" w:rsidP="006C0086">
            <w:pPr>
              <w:spacing w:line="276" w:lineRule="auto"/>
              <w:rPr>
                <w:rFonts w:cs="Arial"/>
                <w:b/>
                <w:bCs/>
                <w:szCs w:val="24"/>
              </w:rPr>
            </w:pPr>
            <w:r w:rsidRPr="00D948C1">
              <w:rPr>
                <w:rFonts w:cs="Arial"/>
                <w:b/>
                <w:bCs/>
                <w:szCs w:val="24"/>
              </w:rPr>
              <w:t xml:space="preserve">Net </w:t>
            </w:r>
            <w:proofErr w:type="spellStart"/>
            <w:r w:rsidRPr="00D948C1">
              <w:rPr>
                <w:rFonts w:cs="Arial"/>
                <w:b/>
                <w:bCs/>
                <w:szCs w:val="24"/>
              </w:rPr>
              <w:t>tfr</w:t>
            </w:r>
            <w:proofErr w:type="spellEnd"/>
            <w:r w:rsidRPr="00D948C1">
              <w:rPr>
                <w:rFonts w:cs="Arial"/>
                <w:b/>
                <w:bCs/>
                <w:szCs w:val="24"/>
              </w:rPr>
              <w:t xml:space="preserve"> (to)/from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DEFD453" w14:textId="013CF6A6" w:rsidR="002C5DD1" w:rsidRPr="00D948C1" w:rsidRDefault="000B1DF5" w:rsidP="006C0086">
            <w:pPr>
              <w:spacing w:line="276" w:lineRule="auto"/>
              <w:jc w:val="right"/>
              <w:rPr>
                <w:rFonts w:cs="Arial"/>
                <w:b/>
                <w:bCs/>
                <w:szCs w:val="24"/>
              </w:rPr>
            </w:pPr>
            <w:r w:rsidRPr="00D948C1">
              <w:rPr>
                <w:rFonts w:cs="Arial"/>
                <w:b/>
                <w:bCs/>
                <w:szCs w:val="24"/>
              </w:rPr>
              <w:t>547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4B14706" w14:textId="1C33B18A" w:rsidR="002C5DD1" w:rsidRPr="00D948C1" w:rsidRDefault="000B1DF5" w:rsidP="006C0086">
            <w:pPr>
              <w:spacing w:line="276" w:lineRule="auto"/>
              <w:jc w:val="right"/>
              <w:rPr>
                <w:rFonts w:cs="Arial"/>
                <w:b/>
                <w:bCs/>
                <w:szCs w:val="24"/>
              </w:rPr>
            </w:pPr>
            <w:r w:rsidRPr="00D948C1">
              <w:rPr>
                <w:rFonts w:cs="Arial"/>
                <w:b/>
                <w:bCs/>
                <w:szCs w:val="24"/>
              </w:rPr>
              <w:t>(550)</w:t>
            </w:r>
          </w:p>
        </w:tc>
        <w:tc>
          <w:tcPr>
            <w:tcW w:w="396" w:type="pct"/>
            <w:tcBorders>
              <w:top w:val="single" w:sz="4" w:space="0" w:color="auto"/>
              <w:left w:val="single" w:sz="4" w:space="0" w:color="auto"/>
              <w:bottom w:val="single" w:sz="4" w:space="0" w:color="auto"/>
              <w:right w:val="single" w:sz="4" w:space="0" w:color="auto"/>
            </w:tcBorders>
            <w:vAlign w:val="center"/>
          </w:tcPr>
          <w:p w14:paraId="0FFE86FA" w14:textId="5B42A6BF" w:rsidR="002C5DD1" w:rsidRPr="00D948C1" w:rsidRDefault="000B1DF5" w:rsidP="006C0086">
            <w:pPr>
              <w:spacing w:line="276" w:lineRule="auto"/>
              <w:jc w:val="right"/>
              <w:rPr>
                <w:rFonts w:cs="Arial"/>
                <w:b/>
                <w:bCs/>
                <w:szCs w:val="24"/>
              </w:rPr>
            </w:pPr>
            <w:r w:rsidRPr="00D948C1">
              <w:rPr>
                <w:rFonts w:cs="Arial"/>
                <w:b/>
                <w:bCs/>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28CD779" w14:textId="239CD923" w:rsidR="002C5DD1" w:rsidRPr="00D948C1" w:rsidRDefault="000B1DF5" w:rsidP="006C0086">
            <w:pPr>
              <w:spacing w:line="276" w:lineRule="auto"/>
              <w:jc w:val="right"/>
              <w:rPr>
                <w:rFonts w:cs="Arial"/>
                <w:b/>
                <w:bCs/>
                <w:szCs w:val="24"/>
              </w:rPr>
            </w:pPr>
            <w:r w:rsidRPr="00D948C1">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60330EB4" w14:textId="46365993" w:rsidR="002C5DD1" w:rsidRPr="00D948C1" w:rsidRDefault="000B1DF5" w:rsidP="006C0086">
            <w:pPr>
              <w:spacing w:line="276" w:lineRule="auto"/>
              <w:jc w:val="right"/>
              <w:rPr>
                <w:rFonts w:cs="Arial"/>
                <w:b/>
                <w:bCs/>
                <w:szCs w:val="24"/>
              </w:rPr>
            </w:pPr>
            <w:r w:rsidRPr="00D948C1">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1C7EFC0" w14:textId="025FA92A" w:rsidR="002C5DD1" w:rsidRPr="00D948C1" w:rsidRDefault="002C5DD1" w:rsidP="006C0086">
            <w:pPr>
              <w:spacing w:line="276" w:lineRule="auto"/>
              <w:jc w:val="right"/>
              <w:rPr>
                <w:rFonts w:cs="Arial"/>
                <w:b/>
                <w:bCs/>
                <w:szCs w:val="24"/>
              </w:rPr>
            </w:pPr>
            <w:r w:rsidRPr="00D948C1">
              <w:rPr>
                <w:rFonts w:cs="Arial"/>
                <w:b/>
                <w:bCs/>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E4562DC" w14:textId="497D91BB" w:rsidR="002C5DD1" w:rsidRPr="00D948C1" w:rsidRDefault="000B1DF5" w:rsidP="006C0086">
            <w:pPr>
              <w:spacing w:line="276" w:lineRule="auto"/>
              <w:jc w:val="right"/>
              <w:rPr>
                <w:rFonts w:cs="Arial"/>
                <w:b/>
                <w:bCs/>
                <w:szCs w:val="24"/>
              </w:rPr>
            </w:pPr>
            <w:r w:rsidRPr="00D948C1">
              <w:rPr>
                <w:rFonts w:cs="Arial"/>
                <w:b/>
                <w:bCs/>
                <w:szCs w:val="24"/>
              </w:rPr>
              <w:t>(3)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6EE37B0" w14:textId="23DAB5E9" w:rsidR="002C5DD1" w:rsidRPr="00D948C1" w:rsidRDefault="000B1DF5" w:rsidP="006C0086">
            <w:pPr>
              <w:spacing w:line="276" w:lineRule="auto"/>
              <w:jc w:val="right"/>
              <w:rPr>
                <w:rFonts w:cs="Arial"/>
                <w:b/>
                <w:bCs/>
                <w:szCs w:val="24"/>
              </w:rPr>
            </w:pPr>
            <w:r w:rsidRPr="00D948C1">
              <w:rPr>
                <w:rFonts w:cs="Arial"/>
                <w:b/>
                <w:bCs/>
                <w:szCs w:val="24"/>
              </w:rPr>
              <w:t>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BDB2365" w14:textId="3824E32C" w:rsidR="002C5DD1" w:rsidRPr="00D948C1" w:rsidRDefault="000B1DF5" w:rsidP="006C0086">
            <w:pPr>
              <w:spacing w:line="276" w:lineRule="auto"/>
              <w:jc w:val="right"/>
              <w:rPr>
                <w:rFonts w:cs="Arial"/>
                <w:b/>
                <w:bCs/>
                <w:szCs w:val="24"/>
              </w:rPr>
            </w:pPr>
            <w:r w:rsidRPr="00D948C1">
              <w:rPr>
                <w:rFonts w:cs="Arial"/>
                <w:b/>
                <w:bCs/>
                <w:szCs w:val="24"/>
              </w:rPr>
              <w:t>-</w:t>
            </w:r>
          </w:p>
        </w:tc>
      </w:tr>
      <w:tr w:rsidR="002C5DD1" w:rsidRPr="00D948C1" w14:paraId="230CAA49"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F9811DF" w14:textId="77777777" w:rsidR="002C5DD1" w:rsidRPr="00D948C1" w:rsidRDefault="002C5DD1" w:rsidP="006C0086">
            <w:pPr>
              <w:spacing w:line="276" w:lineRule="auto"/>
              <w:rPr>
                <w:rFonts w:cs="Arial"/>
                <w:szCs w:val="24"/>
              </w:rPr>
            </w:pPr>
            <w:r w:rsidRPr="00D948C1">
              <w:rPr>
                <w:rFonts w:cs="Arial"/>
                <w:szCs w:val="24"/>
              </w:rPr>
              <w:t>Increase/(Decrease) in the year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F2718C" w14:textId="5B5BC83D" w:rsidR="002C5DD1" w:rsidRPr="00D948C1" w:rsidRDefault="000B1DF5" w:rsidP="006C0086">
            <w:pPr>
              <w:spacing w:line="276" w:lineRule="auto"/>
              <w:jc w:val="right"/>
              <w:rPr>
                <w:rFonts w:cs="Arial"/>
                <w:szCs w:val="24"/>
              </w:rPr>
            </w:pPr>
            <w:r w:rsidRPr="00D948C1">
              <w:rPr>
                <w:rFonts w:cs="Arial"/>
                <w:szCs w:val="24"/>
              </w:rPr>
              <w:t>775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AFB0A63" w14:textId="2861CE0B" w:rsidR="002C5DD1" w:rsidRPr="00D948C1" w:rsidRDefault="000B1DF5" w:rsidP="006C0086">
            <w:pPr>
              <w:spacing w:line="276" w:lineRule="auto"/>
              <w:jc w:val="right"/>
              <w:rPr>
                <w:rFonts w:cs="Arial"/>
                <w:szCs w:val="24"/>
              </w:rPr>
            </w:pPr>
            <w:r w:rsidRPr="00D948C1">
              <w:rPr>
                <w:rFonts w:cs="Arial"/>
                <w:szCs w:val="24"/>
              </w:rPr>
              <w:t>(816)</w:t>
            </w:r>
          </w:p>
        </w:tc>
        <w:tc>
          <w:tcPr>
            <w:tcW w:w="396" w:type="pct"/>
            <w:tcBorders>
              <w:top w:val="single" w:sz="4" w:space="0" w:color="auto"/>
              <w:left w:val="single" w:sz="4" w:space="0" w:color="auto"/>
              <w:bottom w:val="single" w:sz="4" w:space="0" w:color="auto"/>
              <w:right w:val="single" w:sz="4" w:space="0" w:color="auto"/>
            </w:tcBorders>
            <w:vAlign w:val="center"/>
          </w:tcPr>
          <w:p w14:paraId="7BCA3B9F" w14:textId="71810DBD" w:rsidR="002C5DD1" w:rsidRPr="00D948C1" w:rsidRDefault="000B1DF5" w:rsidP="006C0086">
            <w:pPr>
              <w:spacing w:line="276" w:lineRule="auto"/>
              <w:jc w:val="right"/>
              <w:rPr>
                <w:rFonts w:cs="Arial"/>
                <w:szCs w:val="24"/>
              </w:rPr>
            </w:pPr>
            <w:r w:rsidRPr="00D948C1">
              <w:rPr>
                <w:rFonts w:cs="Arial"/>
                <w:szCs w:val="24"/>
              </w:rPr>
              <w:t>(41)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85E43CA" w14:textId="342EE4B0" w:rsidR="002C5DD1" w:rsidRPr="00D948C1" w:rsidRDefault="000B1DF5" w:rsidP="006C0086">
            <w:pPr>
              <w:spacing w:line="276" w:lineRule="auto"/>
              <w:jc w:val="right"/>
              <w:rPr>
                <w:rFonts w:cs="Arial"/>
                <w:szCs w:val="24"/>
              </w:rPr>
            </w:pPr>
            <w:r w:rsidRPr="00D948C1">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735B6E20" w14:textId="771FC754" w:rsidR="002C5DD1" w:rsidRPr="00D948C1" w:rsidRDefault="000B1DF5" w:rsidP="006C0086">
            <w:pPr>
              <w:spacing w:line="276" w:lineRule="auto"/>
              <w:jc w:val="right"/>
              <w:rPr>
                <w:rFonts w:cs="Arial"/>
                <w:szCs w:val="24"/>
              </w:rPr>
            </w:pPr>
            <w:r w:rsidRPr="00D948C1">
              <w:rPr>
                <w:rFonts w:cs="Arial"/>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59CC859" w14:textId="2F9991E5" w:rsidR="002C5DD1" w:rsidRPr="00D948C1" w:rsidRDefault="000B1DF5" w:rsidP="006C0086">
            <w:pPr>
              <w:spacing w:line="276" w:lineRule="auto"/>
              <w:jc w:val="right"/>
              <w:rPr>
                <w:rFonts w:cs="Arial"/>
                <w:szCs w:val="24"/>
              </w:rPr>
            </w:pPr>
            <w:r w:rsidRPr="00D948C1">
              <w:rPr>
                <w:rFonts w:cs="Arial"/>
                <w:szCs w:val="24"/>
              </w:rPr>
              <w:t>(1,</w:t>
            </w:r>
            <w:r w:rsidR="008B5A6A" w:rsidRPr="00D948C1">
              <w:rPr>
                <w:rFonts w:cs="Arial"/>
                <w:szCs w:val="24"/>
              </w:rPr>
              <w:t>62</w:t>
            </w:r>
            <w:r w:rsidRPr="00D948C1">
              <w:rPr>
                <w:rFonts w:cs="Arial"/>
                <w:szCs w:val="24"/>
              </w:rPr>
              <w:t>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ABEC896" w14:textId="1EE4CD55" w:rsidR="002C5DD1" w:rsidRPr="00D948C1" w:rsidRDefault="00CF5F1A" w:rsidP="006C0086">
            <w:pPr>
              <w:spacing w:line="276" w:lineRule="auto"/>
              <w:jc w:val="right"/>
              <w:rPr>
                <w:rFonts w:cs="Arial"/>
                <w:szCs w:val="24"/>
              </w:rPr>
            </w:pPr>
            <w:r w:rsidRPr="00D948C1">
              <w:rPr>
                <w:rFonts w:cs="Arial"/>
                <w:szCs w:val="24"/>
              </w:rPr>
              <w:t>(</w:t>
            </w:r>
            <w:r w:rsidR="000926B5">
              <w:rPr>
                <w:rFonts w:cs="Arial"/>
                <w:szCs w:val="24"/>
              </w:rPr>
              <w:t>2,440</w:t>
            </w:r>
            <w:r w:rsidRPr="00D948C1">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421FC8E" w14:textId="76A90EC2" w:rsidR="002C5DD1" w:rsidRPr="00D948C1" w:rsidRDefault="008B5A6A" w:rsidP="006C0086">
            <w:pPr>
              <w:spacing w:line="276" w:lineRule="auto"/>
              <w:jc w:val="right"/>
              <w:rPr>
                <w:rFonts w:cs="Arial"/>
                <w:szCs w:val="24"/>
              </w:rPr>
            </w:pPr>
            <w:r w:rsidRPr="00D948C1">
              <w:rPr>
                <w:rFonts w:cs="Arial"/>
                <w:szCs w:val="24"/>
              </w:rPr>
              <w:t>1,</w:t>
            </w:r>
            <w:r w:rsidR="000926B5">
              <w:rPr>
                <w:rFonts w:cs="Arial"/>
                <w:szCs w:val="24"/>
              </w:rPr>
              <w:t>979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6E2BA29" w14:textId="4B3ED119" w:rsidR="002C5DD1" w:rsidRPr="00D948C1" w:rsidRDefault="00CF5F1A" w:rsidP="006C0086">
            <w:pPr>
              <w:spacing w:line="276" w:lineRule="auto"/>
              <w:jc w:val="right"/>
              <w:rPr>
                <w:rFonts w:cs="Arial"/>
                <w:szCs w:val="24"/>
              </w:rPr>
            </w:pPr>
            <w:r w:rsidRPr="00D948C1">
              <w:rPr>
                <w:rFonts w:cs="Arial"/>
                <w:szCs w:val="24"/>
              </w:rPr>
              <w:t>(461)</w:t>
            </w:r>
          </w:p>
        </w:tc>
      </w:tr>
      <w:tr w:rsidR="002C5DD1" w:rsidRPr="00D948C1" w14:paraId="41422747"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441B83B" w14:textId="37184E61" w:rsidR="002C5DD1" w:rsidRPr="00D948C1" w:rsidRDefault="002C5DD1" w:rsidP="006C0086">
            <w:pPr>
              <w:spacing w:line="276" w:lineRule="auto"/>
              <w:rPr>
                <w:rFonts w:cs="Arial"/>
                <w:b/>
                <w:bCs/>
                <w:szCs w:val="24"/>
              </w:rPr>
            </w:pPr>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w:t>
            </w:r>
            <w:r w:rsidR="001824D9" w:rsidRPr="00D948C1">
              <w:rPr>
                <w:rFonts w:cs="Arial"/>
                <w:b/>
                <w:bCs/>
                <w:szCs w:val="24"/>
              </w:rPr>
              <w:t>4</w:t>
            </w:r>
            <w:r w:rsidRPr="00D948C1">
              <w:rPr>
                <w:rFonts w:cs="Arial"/>
                <w:b/>
                <w:bCs/>
                <w:szCs w:val="24"/>
              </w:rPr>
              <w:t xml:space="preserve"> carried forwards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8458479" w14:textId="1DDA6899" w:rsidR="002C5DD1" w:rsidRPr="00D948C1" w:rsidRDefault="00CF5F1A" w:rsidP="006C0086">
            <w:pPr>
              <w:spacing w:line="276" w:lineRule="auto"/>
              <w:jc w:val="right"/>
              <w:rPr>
                <w:rFonts w:cs="Arial"/>
                <w:b/>
                <w:bCs/>
                <w:szCs w:val="24"/>
              </w:rPr>
            </w:pPr>
            <w:r w:rsidRPr="00D948C1">
              <w:rPr>
                <w:rFonts w:cs="Arial"/>
                <w:b/>
                <w:bCs/>
                <w:szCs w:val="24"/>
              </w:rPr>
              <w:t>5,662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DF81C61" w14:textId="4A11C1BD" w:rsidR="002C5DD1" w:rsidRPr="00D948C1" w:rsidRDefault="00CF5F1A" w:rsidP="006C0086">
            <w:pPr>
              <w:spacing w:line="276" w:lineRule="auto"/>
              <w:jc w:val="right"/>
              <w:rPr>
                <w:rFonts w:cs="Arial"/>
                <w:b/>
                <w:bCs/>
                <w:szCs w:val="24"/>
              </w:rPr>
            </w:pPr>
            <w:r w:rsidRPr="00D948C1">
              <w:rPr>
                <w:rFonts w:cs="Arial"/>
                <w:b/>
                <w:bCs/>
                <w:szCs w:val="24"/>
              </w:rPr>
              <w:t>8,442</w:t>
            </w:r>
          </w:p>
        </w:tc>
        <w:tc>
          <w:tcPr>
            <w:tcW w:w="396" w:type="pct"/>
            <w:tcBorders>
              <w:top w:val="single" w:sz="4" w:space="0" w:color="auto"/>
              <w:left w:val="single" w:sz="4" w:space="0" w:color="auto"/>
              <w:bottom w:val="single" w:sz="4" w:space="0" w:color="auto"/>
              <w:right w:val="single" w:sz="4" w:space="0" w:color="auto"/>
            </w:tcBorders>
            <w:vAlign w:val="center"/>
          </w:tcPr>
          <w:p w14:paraId="526589FB" w14:textId="5713DED4" w:rsidR="002C5DD1" w:rsidRPr="00D948C1" w:rsidRDefault="00CF5F1A" w:rsidP="006C0086">
            <w:pPr>
              <w:spacing w:line="276" w:lineRule="auto"/>
              <w:jc w:val="right"/>
              <w:rPr>
                <w:rFonts w:cs="Arial"/>
                <w:b/>
                <w:bCs/>
                <w:szCs w:val="24"/>
              </w:rPr>
            </w:pPr>
            <w:r w:rsidRPr="00D948C1">
              <w:rPr>
                <w:rFonts w:cs="Arial"/>
                <w:b/>
                <w:bCs/>
                <w:szCs w:val="24"/>
              </w:rPr>
              <w:t>14,104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C6B4CBC" w14:textId="00152B07" w:rsidR="002C5DD1" w:rsidRPr="00D948C1" w:rsidRDefault="007713FF" w:rsidP="006C0086">
            <w:pPr>
              <w:spacing w:line="276" w:lineRule="auto"/>
              <w:jc w:val="right"/>
              <w:rPr>
                <w:rFonts w:cs="Arial"/>
                <w:b/>
                <w:bCs/>
                <w:szCs w:val="24"/>
              </w:rPr>
            </w:pPr>
            <w:r>
              <w:rPr>
                <w:rFonts w:cs="Arial"/>
                <w:b/>
                <w:bCs/>
                <w:szCs w:val="24"/>
              </w:rPr>
              <w:t>19,593</w:t>
            </w:r>
          </w:p>
        </w:tc>
        <w:tc>
          <w:tcPr>
            <w:tcW w:w="412" w:type="pct"/>
            <w:tcBorders>
              <w:top w:val="single" w:sz="4" w:space="0" w:color="auto"/>
              <w:left w:val="single" w:sz="4" w:space="0" w:color="auto"/>
              <w:bottom w:val="single" w:sz="4" w:space="0" w:color="auto"/>
              <w:right w:val="single" w:sz="4" w:space="0" w:color="auto"/>
            </w:tcBorders>
            <w:vAlign w:val="center"/>
          </w:tcPr>
          <w:p w14:paraId="5B6B8703" w14:textId="5C206C4C" w:rsidR="002C5DD1" w:rsidRPr="00D948C1" w:rsidRDefault="00CF5F1A" w:rsidP="006C0086">
            <w:pPr>
              <w:spacing w:line="276" w:lineRule="auto"/>
              <w:jc w:val="right"/>
              <w:rPr>
                <w:rFonts w:cs="Arial"/>
                <w:b/>
                <w:bCs/>
                <w:szCs w:val="24"/>
              </w:rPr>
            </w:pPr>
            <w:r w:rsidRPr="00D948C1">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7275934" w14:textId="27D3413A" w:rsidR="002C5DD1" w:rsidRPr="00D948C1" w:rsidRDefault="008B5A6A" w:rsidP="006C0086">
            <w:pPr>
              <w:spacing w:line="276" w:lineRule="auto"/>
              <w:jc w:val="right"/>
              <w:rPr>
                <w:rFonts w:cs="Arial"/>
                <w:b/>
                <w:bCs/>
                <w:szCs w:val="24"/>
              </w:rPr>
            </w:pPr>
            <w:r w:rsidRPr="00D948C1">
              <w:rPr>
                <w:rFonts w:cs="Arial"/>
                <w:b/>
                <w:bCs/>
                <w:szCs w:val="24"/>
              </w:rPr>
              <w:t>71</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B95F4EF" w14:textId="027FB1B8" w:rsidR="002C5DD1" w:rsidRPr="00D948C1" w:rsidRDefault="007713FF" w:rsidP="006C0086">
            <w:pPr>
              <w:spacing w:line="276" w:lineRule="auto"/>
              <w:jc w:val="right"/>
              <w:rPr>
                <w:rFonts w:cs="Arial"/>
                <w:b/>
                <w:bCs/>
                <w:szCs w:val="24"/>
              </w:rPr>
            </w:pPr>
            <w:r>
              <w:rPr>
                <w:rFonts w:cs="Arial"/>
                <w:b/>
                <w:bCs/>
                <w:szCs w:val="24"/>
              </w:rPr>
              <w:t>33,768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2E254E2" w14:textId="0947667A" w:rsidR="002C5DD1" w:rsidRPr="00D948C1" w:rsidRDefault="00CF5F1A" w:rsidP="006C0086">
            <w:pPr>
              <w:spacing w:line="276" w:lineRule="auto"/>
              <w:jc w:val="right"/>
              <w:rPr>
                <w:rFonts w:cs="Arial"/>
                <w:b/>
                <w:bCs/>
                <w:szCs w:val="24"/>
              </w:rPr>
            </w:pPr>
            <w:r w:rsidRPr="00D948C1">
              <w:rPr>
                <w:rFonts w:cs="Arial"/>
                <w:b/>
                <w:bCs/>
                <w:szCs w:val="24"/>
              </w:rPr>
              <w:t>(53</w:t>
            </w:r>
            <w:r w:rsidR="007713FF">
              <w:rPr>
                <w:rFonts w:cs="Arial"/>
                <w:b/>
                <w:bCs/>
                <w:szCs w:val="24"/>
              </w:rPr>
              <w:t>6</w:t>
            </w:r>
            <w:r w:rsidRPr="00D948C1">
              <w:rPr>
                <w:rFonts w:cs="Arial"/>
                <w:b/>
                <w:bCs/>
                <w:szCs w:val="24"/>
              </w:rPr>
              <w:t>,</w:t>
            </w:r>
            <w:r w:rsidR="007713FF">
              <w:rPr>
                <w:rFonts w:cs="Arial"/>
                <w:b/>
                <w:bCs/>
                <w:szCs w:val="24"/>
              </w:rPr>
              <w:t>720</w:t>
            </w:r>
            <w:r w:rsidRPr="00D948C1">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FDF36B2" w14:textId="081B3634" w:rsidR="002C5DD1" w:rsidRPr="00D948C1" w:rsidRDefault="00CF5F1A" w:rsidP="006C0086">
            <w:pPr>
              <w:spacing w:line="276" w:lineRule="auto"/>
              <w:jc w:val="right"/>
              <w:rPr>
                <w:rFonts w:cs="Arial"/>
                <w:b/>
                <w:bCs/>
                <w:szCs w:val="24"/>
              </w:rPr>
            </w:pPr>
            <w:r w:rsidRPr="00D948C1">
              <w:rPr>
                <w:rFonts w:cs="Arial"/>
                <w:b/>
                <w:bCs/>
                <w:szCs w:val="24"/>
              </w:rPr>
              <w:t>(502,953)</w:t>
            </w:r>
          </w:p>
        </w:tc>
      </w:tr>
      <w:bookmarkEnd w:id="16"/>
      <w:bookmarkEnd w:id="17"/>
    </w:tbl>
    <w:p w14:paraId="7FAF9A33" w14:textId="6D5679F7" w:rsidR="00B9618C" w:rsidRPr="00D948C1" w:rsidRDefault="00BC0AFA" w:rsidP="006C0086">
      <w:pPr>
        <w:spacing w:line="276" w:lineRule="auto"/>
        <w:rPr>
          <w:b/>
          <w:bCs/>
        </w:rPr>
      </w:pPr>
      <w:r w:rsidRPr="00D948C1">
        <w:rPr>
          <w:sz w:val="22"/>
        </w:rPr>
        <w:br w:type="page"/>
      </w:r>
      <w:r w:rsidR="002618EE" w:rsidRPr="00D948C1">
        <w:rPr>
          <w:b/>
          <w:bCs/>
        </w:rPr>
        <w:lastRenderedPageBreak/>
        <w:t>Movement in Reserves Statement 202</w:t>
      </w:r>
      <w:r w:rsidR="001824D9" w:rsidRPr="00D948C1">
        <w:rPr>
          <w:b/>
          <w:bCs/>
        </w:rPr>
        <w:t>2</w:t>
      </w:r>
      <w:r w:rsidR="002618EE" w:rsidRPr="00D948C1">
        <w:rPr>
          <w:b/>
          <w:bCs/>
        </w:rPr>
        <w:t>/2</w:t>
      </w:r>
      <w:r w:rsidR="001824D9" w:rsidRPr="00D948C1">
        <w:rPr>
          <w:b/>
          <w:bCs/>
        </w:rPr>
        <w:t>3</w:t>
      </w:r>
    </w:p>
    <w:p w14:paraId="0EBB8CB1" w14:textId="77777777" w:rsidR="00B9618C" w:rsidRPr="00D948C1" w:rsidRDefault="00B9618C" w:rsidP="006C0086">
      <w:pPr>
        <w:tabs>
          <w:tab w:val="left" w:pos="720"/>
          <w:tab w:val="right" w:pos="5760"/>
        </w:tabs>
        <w:spacing w:line="276" w:lineRule="auto"/>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13"/>
        <w:gridCol w:w="1390"/>
        <w:gridCol w:w="1210"/>
        <w:gridCol w:w="1225"/>
        <w:gridCol w:w="1257"/>
        <w:gridCol w:w="1207"/>
        <w:gridCol w:w="1210"/>
        <w:gridCol w:w="1244"/>
        <w:gridCol w:w="1247"/>
      </w:tblGrid>
      <w:tr w:rsidR="00FA18E2" w:rsidRPr="00D948C1" w14:paraId="264A0BBD" w14:textId="77777777" w:rsidTr="00611673">
        <w:trPr>
          <w:tblHeader/>
        </w:trPr>
        <w:tc>
          <w:tcPr>
            <w:tcW w:w="1325" w:type="pct"/>
            <w:shd w:val="clear" w:color="auto" w:fill="BD2716"/>
          </w:tcPr>
          <w:p w14:paraId="620EB3F8" w14:textId="7BF7C79B" w:rsidR="0089432E" w:rsidRPr="00D948C1" w:rsidRDefault="0089432E" w:rsidP="006C0086">
            <w:pPr>
              <w:spacing w:line="276" w:lineRule="auto"/>
              <w:jc w:val="both"/>
              <w:rPr>
                <w:rFonts w:cs="Arial"/>
                <w:color w:val="FFFFFF" w:themeColor="background1"/>
                <w:szCs w:val="24"/>
              </w:rPr>
            </w:pPr>
          </w:p>
        </w:tc>
        <w:tc>
          <w:tcPr>
            <w:tcW w:w="398" w:type="pct"/>
            <w:shd w:val="clear" w:color="auto" w:fill="BD2716"/>
            <w:vAlign w:val="center"/>
          </w:tcPr>
          <w:p w14:paraId="7B26C35C"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General fund</w:t>
            </w:r>
          </w:p>
          <w:p w14:paraId="691B2F1F" w14:textId="19218A99"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56" w:type="pct"/>
            <w:shd w:val="clear" w:color="auto" w:fill="BD2716"/>
            <w:vAlign w:val="center"/>
          </w:tcPr>
          <w:p w14:paraId="37570E84"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Earmarked reserves</w:t>
            </w:r>
          </w:p>
          <w:p w14:paraId="52EBA608" w14:textId="21D4AD01"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01632A02"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Total General Fund Balance</w:t>
            </w:r>
          </w:p>
          <w:p w14:paraId="354D5EB8" w14:textId="544F4D71"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2" w:type="pct"/>
            <w:shd w:val="clear" w:color="auto" w:fill="BD2716"/>
            <w:vAlign w:val="center"/>
          </w:tcPr>
          <w:p w14:paraId="11FE02C5"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Capital funding reserve</w:t>
            </w:r>
          </w:p>
          <w:p w14:paraId="74377C34" w14:textId="58BCF13E"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12" w:type="pct"/>
            <w:shd w:val="clear" w:color="auto" w:fill="BD2716"/>
            <w:vAlign w:val="center"/>
          </w:tcPr>
          <w:p w14:paraId="38F2CE3F"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Capital grant unapplied reserve</w:t>
            </w:r>
          </w:p>
          <w:p w14:paraId="0FA4BC0C" w14:textId="55DF1C3B"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6" w:type="pct"/>
            <w:shd w:val="clear" w:color="auto" w:fill="BD2716"/>
            <w:vAlign w:val="center"/>
          </w:tcPr>
          <w:p w14:paraId="3173BF79"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Capital receipts reserve</w:t>
            </w:r>
          </w:p>
          <w:p w14:paraId="3DCED43A" w14:textId="40856324"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27B094B5"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Total usable reserves</w:t>
            </w:r>
          </w:p>
          <w:p w14:paraId="42B093EE" w14:textId="3C45A158"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8" w:type="pct"/>
            <w:shd w:val="clear" w:color="auto" w:fill="BD2716"/>
            <w:vAlign w:val="center"/>
          </w:tcPr>
          <w:p w14:paraId="2C45B070"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Unusable reserves</w:t>
            </w:r>
          </w:p>
          <w:p w14:paraId="0B27E9A8" w14:textId="088E9321"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409" w:type="pct"/>
            <w:shd w:val="clear" w:color="auto" w:fill="BD2716"/>
            <w:vAlign w:val="center"/>
          </w:tcPr>
          <w:p w14:paraId="37DF92FF" w14:textId="77777777"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Total Authority reserves</w:t>
            </w:r>
          </w:p>
          <w:p w14:paraId="153B7D7E" w14:textId="171711DD" w:rsidR="0089432E" w:rsidRPr="00D948C1" w:rsidRDefault="0089432E"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1824D9" w:rsidRPr="00D948C1" w14:paraId="73439B5F" w14:textId="77777777" w:rsidTr="00233A66">
        <w:trPr>
          <w:trHeight w:val="80"/>
        </w:trPr>
        <w:tc>
          <w:tcPr>
            <w:tcW w:w="1325" w:type="pct"/>
            <w:shd w:val="clear" w:color="auto" w:fill="auto"/>
          </w:tcPr>
          <w:p w14:paraId="6A7AAA8D" w14:textId="61EA9BFA" w:rsidR="001824D9" w:rsidRPr="00D948C1" w:rsidRDefault="001824D9" w:rsidP="006C0086">
            <w:pPr>
              <w:spacing w:line="276" w:lineRule="auto"/>
              <w:rPr>
                <w:rFonts w:cs="Arial"/>
                <w:b/>
                <w:bCs/>
                <w:szCs w:val="24"/>
              </w:rPr>
            </w:pPr>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2022 carried forwards</w:t>
            </w:r>
          </w:p>
        </w:tc>
        <w:tc>
          <w:tcPr>
            <w:tcW w:w="398" w:type="pct"/>
            <w:shd w:val="clear" w:color="auto" w:fill="auto"/>
            <w:vAlign w:val="center"/>
          </w:tcPr>
          <w:p w14:paraId="7EEDC766" w14:textId="39ADDF9E" w:rsidR="001824D9" w:rsidRPr="00D948C1" w:rsidRDefault="001824D9" w:rsidP="006C0086">
            <w:pPr>
              <w:spacing w:line="276" w:lineRule="auto"/>
              <w:jc w:val="right"/>
              <w:rPr>
                <w:rFonts w:cs="Arial"/>
                <w:b/>
                <w:bCs/>
                <w:szCs w:val="24"/>
              </w:rPr>
            </w:pPr>
            <w:r w:rsidRPr="00D948C1">
              <w:rPr>
                <w:rFonts w:cs="Arial"/>
                <w:b/>
                <w:bCs/>
                <w:szCs w:val="24"/>
              </w:rPr>
              <w:t>6,536</w:t>
            </w:r>
          </w:p>
        </w:tc>
        <w:tc>
          <w:tcPr>
            <w:tcW w:w="456" w:type="pct"/>
            <w:shd w:val="clear" w:color="auto" w:fill="auto"/>
            <w:vAlign w:val="center"/>
          </w:tcPr>
          <w:p w14:paraId="03078EA4" w14:textId="6AC00103" w:rsidR="001824D9" w:rsidRPr="00D948C1" w:rsidRDefault="001824D9" w:rsidP="006C0086">
            <w:pPr>
              <w:spacing w:line="276" w:lineRule="auto"/>
              <w:jc w:val="right"/>
              <w:rPr>
                <w:rFonts w:cs="Arial"/>
                <w:b/>
                <w:bCs/>
                <w:szCs w:val="24"/>
              </w:rPr>
            </w:pPr>
            <w:r w:rsidRPr="00D948C1">
              <w:rPr>
                <w:rFonts w:cs="Arial"/>
                <w:b/>
                <w:bCs/>
                <w:szCs w:val="24"/>
              </w:rPr>
              <w:t>9,742</w:t>
            </w:r>
          </w:p>
        </w:tc>
        <w:tc>
          <w:tcPr>
            <w:tcW w:w="397" w:type="pct"/>
            <w:vAlign w:val="center"/>
          </w:tcPr>
          <w:p w14:paraId="53F7E359" w14:textId="3C545865" w:rsidR="001824D9" w:rsidRPr="00D948C1" w:rsidRDefault="001824D9" w:rsidP="006C0086">
            <w:pPr>
              <w:spacing w:line="276" w:lineRule="auto"/>
              <w:jc w:val="right"/>
              <w:rPr>
                <w:rFonts w:cs="Arial"/>
                <w:b/>
                <w:bCs/>
                <w:szCs w:val="24"/>
              </w:rPr>
            </w:pPr>
            <w:r w:rsidRPr="00D948C1">
              <w:rPr>
                <w:rFonts w:cs="Arial"/>
                <w:b/>
                <w:bCs/>
                <w:szCs w:val="24"/>
              </w:rPr>
              <w:t>16,278</w:t>
            </w:r>
          </w:p>
        </w:tc>
        <w:tc>
          <w:tcPr>
            <w:tcW w:w="402" w:type="pct"/>
            <w:shd w:val="clear" w:color="auto" w:fill="auto"/>
            <w:vAlign w:val="center"/>
          </w:tcPr>
          <w:p w14:paraId="67D9A8E5" w14:textId="67C22D1E" w:rsidR="001824D9" w:rsidRPr="00D948C1" w:rsidRDefault="001824D9" w:rsidP="006C0086">
            <w:pPr>
              <w:spacing w:line="276" w:lineRule="auto"/>
              <w:jc w:val="right"/>
              <w:rPr>
                <w:rFonts w:cs="Arial"/>
                <w:b/>
                <w:bCs/>
                <w:szCs w:val="24"/>
              </w:rPr>
            </w:pPr>
            <w:r w:rsidRPr="00D948C1">
              <w:rPr>
                <w:rFonts w:cs="Arial"/>
                <w:b/>
                <w:bCs/>
                <w:szCs w:val="24"/>
              </w:rPr>
              <w:t>17,672</w:t>
            </w:r>
          </w:p>
        </w:tc>
        <w:tc>
          <w:tcPr>
            <w:tcW w:w="412" w:type="pct"/>
            <w:vAlign w:val="center"/>
          </w:tcPr>
          <w:p w14:paraId="243148B0" w14:textId="6D5361DE" w:rsidR="001824D9" w:rsidRPr="00D948C1" w:rsidRDefault="001824D9" w:rsidP="006C0086">
            <w:pPr>
              <w:spacing w:line="276" w:lineRule="auto"/>
              <w:jc w:val="right"/>
              <w:rPr>
                <w:rFonts w:cs="Arial"/>
                <w:b/>
                <w:bCs/>
                <w:szCs w:val="24"/>
              </w:rPr>
            </w:pPr>
            <w:r w:rsidRPr="00D948C1">
              <w:rPr>
                <w:rFonts w:cs="Arial"/>
                <w:b/>
                <w:bCs/>
                <w:szCs w:val="24"/>
              </w:rPr>
              <w:t>40</w:t>
            </w:r>
          </w:p>
        </w:tc>
        <w:tc>
          <w:tcPr>
            <w:tcW w:w="396" w:type="pct"/>
            <w:shd w:val="clear" w:color="auto" w:fill="auto"/>
            <w:vAlign w:val="center"/>
          </w:tcPr>
          <w:p w14:paraId="11BE4635" w14:textId="1AA756B6" w:rsidR="001824D9" w:rsidRPr="00D948C1" w:rsidRDefault="001824D9" w:rsidP="006C0086">
            <w:pPr>
              <w:spacing w:line="276" w:lineRule="auto"/>
              <w:jc w:val="right"/>
              <w:rPr>
                <w:rFonts w:cs="Arial"/>
                <w:b/>
                <w:bCs/>
                <w:szCs w:val="24"/>
              </w:rPr>
            </w:pPr>
            <w:r w:rsidRPr="00D948C1">
              <w:rPr>
                <w:rFonts w:cs="Arial"/>
                <w:b/>
                <w:bCs/>
                <w:szCs w:val="24"/>
              </w:rPr>
              <w:t>1,683</w:t>
            </w:r>
          </w:p>
        </w:tc>
        <w:tc>
          <w:tcPr>
            <w:tcW w:w="397" w:type="pct"/>
            <w:shd w:val="clear" w:color="auto" w:fill="auto"/>
            <w:vAlign w:val="center"/>
          </w:tcPr>
          <w:p w14:paraId="4B98108E" w14:textId="092C37A5" w:rsidR="001824D9" w:rsidRPr="00D948C1" w:rsidRDefault="001824D9" w:rsidP="006C0086">
            <w:pPr>
              <w:spacing w:line="276" w:lineRule="auto"/>
              <w:jc w:val="right"/>
              <w:rPr>
                <w:rFonts w:cs="Arial"/>
                <w:b/>
                <w:bCs/>
                <w:szCs w:val="24"/>
              </w:rPr>
            </w:pPr>
            <w:r w:rsidRPr="00D948C1">
              <w:rPr>
                <w:rFonts w:cs="Arial"/>
                <w:b/>
                <w:bCs/>
                <w:szCs w:val="24"/>
              </w:rPr>
              <w:t>35,673</w:t>
            </w:r>
          </w:p>
        </w:tc>
        <w:tc>
          <w:tcPr>
            <w:tcW w:w="408" w:type="pct"/>
            <w:shd w:val="clear" w:color="auto" w:fill="auto"/>
            <w:vAlign w:val="center"/>
          </w:tcPr>
          <w:p w14:paraId="23C0055C" w14:textId="67CDFBB0" w:rsidR="001824D9" w:rsidRPr="00D948C1" w:rsidRDefault="001824D9" w:rsidP="006C0086">
            <w:pPr>
              <w:spacing w:line="276" w:lineRule="auto"/>
              <w:jc w:val="right"/>
              <w:rPr>
                <w:rFonts w:cs="Arial"/>
                <w:b/>
                <w:bCs/>
                <w:szCs w:val="24"/>
              </w:rPr>
            </w:pPr>
            <w:r w:rsidRPr="00D948C1">
              <w:rPr>
                <w:rFonts w:cs="Arial"/>
                <w:b/>
                <w:bCs/>
                <w:szCs w:val="24"/>
              </w:rPr>
              <w:t>(789,359)</w:t>
            </w:r>
          </w:p>
        </w:tc>
        <w:tc>
          <w:tcPr>
            <w:tcW w:w="409" w:type="pct"/>
            <w:shd w:val="clear" w:color="auto" w:fill="auto"/>
            <w:vAlign w:val="center"/>
          </w:tcPr>
          <w:p w14:paraId="189A51DF" w14:textId="249B86D3" w:rsidR="001824D9" w:rsidRPr="00D948C1" w:rsidRDefault="001824D9" w:rsidP="006C0086">
            <w:pPr>
              <w:spacing w:line="276" w:lineRule="auto"/>
              <w:jc w:val="right"/>
              <w:rPr>
                <w:rFonts w:cs="Arial"/>
                <w:b/>
                <w:bCs/>
                <w:szCs w:val="24"/>
              </w:rPr>
            </w:pPr>
            <w:r w:rsidRPr="00D948C1">
              <w:rPr>
                <w:rFonts w:cs="Arial"/>
                <w:b/>
                <w:bCs/>
                <w:szCs w:val="24"/>
              </w:rPr>
              <w:t>(753,686)</w:t>
            </w:r>
          </w:p>
        </w:tc>
      </w:tr>
    </w:tbl>
    <w:p w14:paraId="51D42E70" w14:textId="77777777" w:rsidR="00FA18E2" w:rsidRPr="00D948C1" w:rsidRDefault="00FA18E2" w:rsidP="006C0086">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213"/>
        <w:gridCol w:w="1390"/>
        <w:gridCol w:w="1210"/>
        <w:gridCol w:w="1225"/>
        <w:gridCol w:w="1256"/>
        <w:gridCol w:w="1207"/>
        <w:gridCol w:w="1210"/>
        <w:gridCol w:w="1244"/>
        <w:gridCol w:w="1247"/>
      </w:tblGrid>
      <w:tr w:rsidR="00FA18E2" w:rsidRPr="00D948C1" w14:paraId="3EA1B9CA" w14:textId="77777777" w:rsidTr="00036C34">
        <w:tc>
          <w:tcPr>
            <w:tcW w:w="5000" w:type="pct"/>
            <w:gridSpan w:val="10"/>
            <w:shd w:val="clear" w:color="auto" w:fill="D9D9D9" w:themeFill="background1" w:themeFillShade="D9"/>
          </w:tcPr>
          <w:p w14:paraId="5D4F19E8" w14:textId="2E5FF6D4" w:rsidR="00FA18E2" w:rsidRPr="00D948C1" w:rsidRDefault="00FA18E2" w:rsidP="006C0086">
            <w:pPr>
              <w:spacing w:line="276" w:lineRule="auto"/>
              <w:rPr>
                <w:rFonts w:cs="Arial"/>
                <w:b/>
                <w:bCs/>
                <w:szCs w:val="24"/>
              </w:rPr>
            </w:pPr>
            <w:r w:rsidRPr="00D948C1">
              <w:rPr>
                <w:rFonts w:cs="Arial"/>
                <w:b/>
                <w:bCs/>
                <w:szCs w:val="24"/>
              </w:rPr>
              <w:t>Movement in reserves during 202</w:t>
            </w:r>
            <w:r w:rsidR="001824D9" w:rsidRPr="00D948C1">
              <w:rPr>
                <w:rFonts w:cs="Arial"/>
                <w:b/>
                <w:bCs/>
                <w:szCs w:val="24"/>
              </w:rPr>
              <w:t>2</w:t>
            </w:r>
            <w:r w:rsidRPr="00D948C1">
              <w:rPr>
                <w:rFonts w:cs="Arial"/>
                <w:b/>
                <w:bCs/>
                <w:szCs w:val="24"/>
              </w:rPr>
              <w:t>/2</w:t>
            </w:r>
            <w:r w:rsidR="001824D9" w:rsidRPr="00D948C1">
              <w:rPr>
                <w:rFonts w:cs="Arial"/>
                <w:b/>
                <w:bCs/>
                <w:szCs w:val="24"/>
              </w:rPr>
              <w:t>3</w:t>
            </w:r>
          </w:p>
        </w:tc>
      </w:tr>
      <w:tr w:rsidR="001824D9" w:rsidRPr="00D948C1" w14:paraId="6B984610" w14:textId="77777777" w:rsidTr="00233A66">
        <w:tc>
          <w:tcPr>
            <w:tcW w:w="1325" w:type="pct"/>
            <w:shd w:val="clear" w:color="auto" w:fill="auto"/>
          </w:tcPr>
          <w:p w14:paraId="5D61526C" w14:textId="77777777" w:rsidR="001824D9" w:rsidRPr="00D948C1" w:rsidRDefault="001824D9" w:rsidP="006C0086">
            <w:pPr>
              <w:spacing w:line="276" w:lineRule="auto"/>
              <w:rPr>
                <w:rFonts w:cs="Arial"/>
                <w:szCs w:val="24"/>
              </w:rPr>
            </w:pPr>
            <w:r w:rsidRPr="00D948C1">
              <w:rPr>
                <w:rFonts w:cs="Arial"/>
                <w:szCs w:val="24"/>
              </w:rPr>
              <w:t>Surplus/(Deficit) on provision of services</w:t>
            </w:r>
          </w:p>
        </w:tc>
        <w:tc>
          <w:tcPr>
            <w:tcW w:w="398" w:type="pct"/>
            <w:shd w:val="clear" w:color="auto" w:fill="auto"/>
            <w:vAlign w:val="center"/>
          </w:tcPr>
          <w:p w14:paraId="79A3E37B" w14:textId="733B67E3" w:rsidR="001824D9" w:rsidRPr="00D948C1" w:rsidRDefault="001824D9" w:rsidP="006C0086">
            <w:pPr>
              <w:spacing w:line="276" w:lineRule="auto"/>
              <w:jc w:val="right"/>
              <w:rPr>
                <w:rFonts w:cs="Arial"/>
                <w:szCs w:val="24"/>
              </w:rPr>
            </w:pPr>
            <w:r w:rsidRPr="00D948C1">
              <w:rPr>
                <w:rFonts w:cs="Arial"/>
                <w:szCs w:val="24"/>
              </w:rPr>
              <w:t>(15,347)</w:t>
            </w:r>
          </w:p>
        </w:tc>
        <w:tc>
          <w:tcPr>
            <w:tcW w:w="456" w:type="pct"/>
            <w:shd w:val="clear" w:color="auto" w:fill="auto"/>
            <w:vAlign w:val="center"/>
          </w:tcPr>
          <w:p w14:paraId="1F5AD541" w14:textId="23034A8F"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7AB3E3EB" w14:textId="2DC7A2E9" w:rsidR="001824D9" w:rsidRPr="00D948C1" w:rsidRDefault="001824D9" w:rsidP="006C0086">
            <w:pPr>
              <w:spacing w:line="276" w:lineRule="auto"/>
              <w:jc w:val="right"/>
              <w:rPr>
                <w:rFonts w:cs="Arial"/>
                <w:szCs w:val="24"/>
              </w:rPr>
            </w:pPr>
            <w:r w:rsidRPr="00D948C1">
              <w:rPr>
                <w:rFonts w:cs="Arial"/>
                <w:szCs w:val="24"/>
              </w:rPr>
              <w:t>(15,347)</w:t>
            </w:r>
          </w:p>
        </w:tc>
        <w:tc>
          <w:tcPr>
            <w:tcW w:w="402" w:type="pct"/>
            <w:shd w:val="clear" w:color="auto" w:fill="auto"/>
            <w:vAlign w:val="center"/>
          </w:tcPr>
          <w:p w14:paraId="623BAF3F" w14:textId="431541CD" w:rsidR="001824D9" w:rsidRPr="00D948C1" w:rsidRDefault="001824D9" w:rsidP="006C0086">
            <w:pPr>
              <w:spacing w:line="276" w:lineRule="auto"/>
              <w:jc w:val="right"/>
              <w:rPr>
                <w:rFonts w:cs="Arial"/>
                <w:szCs w:val="24"/>
              </w:rPr>
            </w:pPr>
            <w:r w:rsidRPr="00D948C1">
              <w:rPr>
                <w:rFonts w:cs="Arial"/>
                <w:szCs w:val="24"/>
              </w:rPr>
              <w:t>-</w:t>
            </w:r>
          </w:p>
        </w:tc>
        <w:tc>
          <w:tcPr>
            <w:tcW w:w="412" w:type="pct"/>
            <w:shd w:val="clear" w:color="auto" w:fill="auto"/>
            <w:vAlign w:val="center"/>
          </w:tcPr>
          <w:p w14:paraId="26BEEDEA" w14:textId="4A6322F9"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05B9DE50" w14:textId="622A240D"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46924E4C" w14:textId="2EBF571D" w:rsidR="001824D9" w:rsidRPr="00D948C1" w:rsidRDefault="001824D9" w:rsidP="006C0086">
            <w:pPr>
              <w:spacing w:line="276" w:lineRule="auto"/>
              <w:jc w:val="right"/>
              <w:rPr>
                <w:rFonts w:cs="Arial"/>
                <w:szCs w:val="24"/>
              </w:rPr>
            </w:pPr>
            <w:r w:rsidRPr="00D948C1">
              <w:rPr>
                <w:rFonts w:cs="Arial"/>
                <w:szCs w:val="24"/>
              </w:rPr>
              <w:t>(15,347)</w:t>
            </w:r>
          </w:p>
        </w:tc>
        <w:tc>
          <w:tcPr>
            <w:tcW w:w="408" w:type="pct"/>
            <w:shd w:val="clear" w:color="auto" w:fill="auto"/>
            <w:vAlign w:val="center"/>
          </w:tcPr>
          <w:p w14:paraId="75D28C07" w14:textId="5C2325BB" w:rsidR="001824D9" w:rsidRPr="00D948C1" w:rsidRDefault="001824D9" w:rsidP="006C0086">
            <w:pPr>
              <w:spacing w:line="276" w:lineRule="auto"/>
              <w:jc w:val="right"/>
              <w:rPr>
                <w:rFonts w:cs="Arial"/>
                <w:szCs w:val="24"/>
              </w:rPr>
            </w:pPr>
            <w:r w:rsidRPr="00D948C1">
              <w:rPr>
                <w:rFonts w:cs="Arial"/>
                <w:szCs w:val="24"/>
              </w:rPr>
              <w:t>-</w:t>
            </w:r>
          </w:p>
        </w:tc>
        <w:tc>
          <w:tcPr>
            <w:tcW w:w="409" w:type="pct"/>
            <w:shd w:val="clear" w:color="auto" w:fill="auto"/>
            <w:vAlign w:val="center"/>
          </w:tcPr>
          <w:p w14:paraId="2952E141" w14:textId="6F79886D" w:rsidR="001824D9" w:rsidRPr="00D948C1" w:rsidRDefault="001824D9" w:rsidP="006C0086">
            <w:pPr>
              <w:spacing w:line="276" w:lineRule="auto"/>
              <w:jc w:val="right"/>
              <w:rPr>
                <w:rFonts w:cs="Arial"/>
                <w:szCs w:val="24"/>
              </w:rPr>
            </w:pPr>
            <w:r w:rsidRPr="00D948C1">
              <w:rPr>
                <w:rFonts w:cs="Arial"/>
                <w:szCs w:val="24"/>
              </w:rPr>
              <w:t>(15,347)</w:t>
            </w:r>
          </w:p>
        </w:tc>
      </w:tr>
      <w:tr w:rsidR="001824D9" w:rsidRPr="00D948C1" w14:paraId="231F4288" w14:textId="77777777" w:rsidTr="00233A66">
        <w:tc>
          <w:tcPr>
            <w:tcW w:w="1325" w:type="pct"/>
            <w:shd w:val="clear" w:color="auto" w:fill="auto"/>
          </w:tcPr>
          <w:p w14:paraId="4BC4D0A5" w14:textId="77777777" w:rsidR="001824D9" w:rsidRPr="00D948C1" w:rsidRDefault="001824D9" w:rsidP="006C0086">
            <w:pPr>
              <w:spacing w:line="276" w:lineRule="auto"/>
              <w:rPr>
                <w:rFonts w:cs="Arial"/>
                <w:szCs w:val="24"/>
              </w:rPr>
            </w:pPr>
            <w:r w:rsidRPr="00D948C1">
              <w:rPr>
                <w:rFonts w:cs="Arial"/>
                <w:szCs w:val="24"/>
              </w:rPr>
              <w:t>Other comprehensive income and expenditure</w:t>
            </w:r>
          </w:p>
        </w:tc>
        <w:tc>
          <w:tcPr>
            <w:tcW w:w="398" w:type="pct"/>
            <w:shd w:val="clear" w:color="auto" w:fill="auto"/>
            <w:vAlign w:val="center"/>
          </w:tcPr>
          <w:p w14:paraId="58851518" w14:textId="057F07A8" w:rsidR="001824D9" w:rsidRPr="00D948C1" w:rsidRDefault="001824D9" w:rsidP="006C0086">
            <w:pPr>
              <w:spacing w:line="276" w:lineRule="auto"/>
              <w:jc w:val="right"/>
              <w:rPr>
                <w:rFonts w:cs="Arial"/>
                <w:szCs w:val="24"/>
              </w:rPr>
            </w:pPr>
            <w:r w:rsidRPr="00D948C1">
              <w:rPr>
                <w:rFonts w:cs="Arial"/>
                <w:szCs w:val="24"/>
              </w:rPr>
              <w:t>-</w:t>
            </w:r>
          </w:p>
        </w:tc>
        <w:tc>
          <w:tcPr>
            <w:tcW w:w="456" w:type="pct"/>
            <w:shd w:val="clear" w:color="auto" w:fill="auto"/>
            <w:vAlign w:val="center"/>
          </w:tcPr>
          <w:p w14:paraId="04871AAE" w14:textId="69DC0275"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4E173A56" w14:textId="01C1A3D1" w:rsidR="001824D9" w:rsidRPr="00D948C1" w:rsidRDefault="001824D9" w:rsidP="006C0086">
            <w:pPr>
              <w:spacing w:line="276" w:lineRule="auto"/>
              <w:jc w:val="right"/>
              <w:rPr>
                <w:rFonts w:cs="Arial"/>
                <w:szCs w:val="24"/>
              </w:rPr>
            </w:pPr>
            <w:r w:rsidRPr="00D948C1">
              <w:rPr>
                <w:rFonts w:cs="Arial"/>
                <w:szCs w:val="24"/>
              </w:rPr>
              <w:t>-</w:t>
            </w:r>
          </w:p>
        </w:tc>
        <w:tc>
          <w:tcPr>
            <w:tcW w:w="402" w:type="pct"/>
            <w:shd w:val="clear" w:color="auto" w:fill="auto"/>
            <w:vAlign w:val="center"/>
          </w:tcPr>
          <w:p w14:paraId="6C25C6C3" w14:textId="753558BB"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004718A9" w14:textId="1C73079C"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4289BB93" w14:textId="4D92E71F"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38EDC860" w14:textId="422D7654" w:rsidR="001824D9" w:rsidRPr="00D948C1" w:rsidRDefault="001824D9" w:rsidP="006C0086">
            <w:pPr>
              <w:spacing w:line="276" w:lineRule="auto"/>
              <w:jc w:val="right"/>
              <w:rPr>
                <w:rFonts w:cs="Arial"/>
                <w:szCs w:val="24"/>
              </w:rPr>
            </w:pPr>
            <w:r w:rsidRPr="00D948C1">
              <w:rPr>
                <w:rFonts w:cs="Arial"/>
                <w:szCs w:val="24"/>
              </w:rPr>
              <w:t>-</w:t>
            </w:r>
          </w:p>
        </w:tc>
        <w:tc>
          <w:tcPr>
            <w:tcW w:w="408" w:type="pct"/>
            <w:shd w:val="clear" w:color="auto" w:fill="auto"/>
            <w:vAlign w:val="center"/>
          </w:tcPr>
          <w:p w14:paraId="152CE82A" w14:textId="4A4EE4A7" w:rsidR="001824D9" w:rsidRPr="00D948C1" w:rsidRDefault="001824D9" w:rsidP="006C0086">
            <w:pPr>
              <w:spacing w:line="276" w:lineRule="auto"/>
              <w:jc w:val="right"/>
              <w:rPr>
                <w:rFonts w:cs="Arial"/>
                <w:szCs w:val="24"/>
              </w:rPr>
            </w:pPr>
            <w:r w:rsidRPr="00D948C1">
              <w:rPr>
                <w:rFonts w:cs="Arial"/>
                <w:szCs w:val="24"/>
              </w:rPr>
              <w:t>266,512</w:t>
            </w:r>
          </w:p>
        </w:tc>
        <w:tc>
          <w:tcPr>
            <w:tcW w:w="409" w:type="pct"/>
            <w:shd w:val="clear" w:color="auto" w:fill="auto"/>
            <w:vAlign w:val="center"/>
          </w:tcPr>
          <w:p w14:paraId="76D34C33" w14:textId="490E94E8" w:rsidR="001824D9" w:rsidRPr="00D948C1" w:rsidRDefault="001824D9" w:rsidP="006C0086">
            <w:pPr>
              <w:spacing w:line="276" w:lineRule="auto"/>
              <w:jc w:val="right"/>
              <w:rPr>
                <w:rFonts w:cs="Arial"/>
                <w:szCs w:val="24"/>
              </w:rPr>
            </w:pPr>
            <w:r w:rsidRPr="00D948C1">
              <w:rPr>
                <w:rFonts w:cs="Arial"/>
                <w:szCs w:val="24"/>
              </w:rPr>
              <w:t>266,512</w:t>
            </w:r>
          </w:p>
        </w:tc>
      </w:tr>
      <w:tr w:rsidR="001824D9" w:rsidRPr="00D948C1" w14:paraId="2D1EB13C" w14:textId="77777777" w:rsidTr="00233A66">
        <w:tc>
          <w:tcPr>
            <w:tcW w:w="1325" w:type="pct"/>
            <w:shd w:val="clear" w:color="auto" w:fill="auto"/>
          </w:tcPr>
          <w:p w14:paraId="01481495" w14:textId="77777777" w:rsidR="001824D9" w:rsidRPr="00D948C1" w:rsidRDefault="001824D9" w:rsidP="006C0086">
            <w:pPr>
              <w:spacing w:line="276" w:lineRule="auto"/>
              <w:rPr>
                <w:rFonts w:cs="Arial"/>
                <w:b/>
                <w:bCs/>
                <w:szCs w:val="24"/>
              </w:rPr>
            </w:pPr>
            <w:r w:rsidRPr="00D948C1">
              <w:rPr>
                <w:rFonts w:cs="Arial"/>
                <w:b/>
                <w:bCs/>
                <w:szCs w:val="24"/>
              </w:rPr>
              <w:t>Total comprehensive income and expenditure</w:t>
            </w:r>
          </w:p>
        </w:tc>
        <w:tc>
          <w:tcPr>
            <w:tcW w:w="398" w:type="pct"/>
            <w:shd w:val="clear" w:color="auto" w:fill="auto"/>
            <w:vAlign w:val="center"/>
          </w:tcPr>
          <w:p w14:paraId="454A3BF2" w14:textId="1A5C9BDB" w:rsidR="001824D9" w:rsidRPr="00D948C1" w:rsidRDefault="001824D9" w:rsidP="006C0086">
            <w:pPr>
              <w:spacing w:line="276" w:lineRule="auto"/>
              <w:jc w:val="right"/>
              <w:rPr>
                <w:rFonts w:cs="Arial"/>
                <w:b/>
                <w:bCs/>
                <w:szCs w:val="24"/>
              </w:rPr>
            </w:pPr>
            <w:r w:rsidRPr="00D948C1">
              <w:rPr>
                <w:rFonts w:cs="Arial"/>
                <w:b/>
                <w:bCs/>
                <w:szCs w:val="24"/>
              </w:rPr>
              <w:t>(15,347)</w:t>
            </w:r>
          </w:p>
        </w:tc>
        <w:tc>
          <w:tcPr>
            <w:tcW w:w="456" w:type="pct"/>
            <w:shd w:val="clear" w:color="auto" w:fill="auto"/>
            <w:vAlign w:val="center"/>
          </w:tcPr>
          <w:p w14:paraId="4BEA8603" w14:textId="753A6F41" w:rsidR="001824D9" w:rsidRPr="00D948C1" w:rsidRDefault="001824D9" w:rsidP="006C0086">
            <w:pPr>
              <w:spacing w:line="276" w:lineRule="auto"/>
              <w:jc w:val="right"/>
              <w:rPr>
                <w:rFonts w:cs="Arial"/>
                <w:b/>
                <w:bCs/>
                <w:szCs w:val="24"/>
              </w:rPr>
            </w:pPr>
            <w:r w:rsidRPr="00D948C1">
              <w:rPr>
                <w:rFonts w:cs="Arial"/>
                <w:b/>
                <w:bCs/>
                <w:szCs w:val="24"/>
              </w:rPr>
              <w:t>-</w:t>
            </w:r>
          </w:p>
        </w:tc>
        <w:tc>
          <w:tcPr>
            <w:tcW w:w="397" w:type="pct"/>
            <w:shd w:val="clear" w:color="auto" w:fill="auto"/>
            <w:vAlign w:val="center"/>
          </w:tcPr>
          <w:p w14:paraId="7F23F0E3" w14:textId="506E0966" w:rsidR="001824D9" w:rsidRPr="00D948C1" w:rsidRDefault="001824D9" w:rsidP="006C0086">
            <w:pPr>
              <w:spacing w:line="276" w:lineRule="auto"/>
              <w:jc w:val="right"/>
              <w:rPr>
                <w:rFonts w:cs="Arial"/>
                <w:b/>
                <w:bCs/>
                <w:szCs w:val="24"/>
              </w:rPr>
            </w:pPr>
            <w:r w:rsidRPr="00D948C1">
              <w:rPr>
                <w:rFonts w:cs="Arial"/>
                <w:b/>
                <w:bCs/>
                <w:szCs w:val="24"/>
              </w:rPr>
              <w:t>(15,347)</w:t>
            </w:r>
          </w:p>
        </w:tc>
        <w:tc>
          <w:tcPr>
            <w:tcW w:w="402" w:type="pct"/>
            <w:shd w:val="clear" w:color="auto" w:fill="auto"/>
            <w:vAlign w:val="center"/>
          </w:tcPr>
          <w:p w14:paraId="20DD1F77" w14:textId="3CBC9F82" w:rsidR="001824D9" w:rsidRPr="00D948C1" w:rsidRDefault="001824D9" w:rsidP="006C0086">
            <w:pPr>
              <w:spacing w:line="276" w:lineRule="auto"/>
              <w:jc w:val="right"/>
              <w:rPr>
                <w:rFonts w:cs="Arial"/>
                <w:b/>
                <w:bCs/>
                <w:szCs w:val="24"/>
              </w:rPr>
            </w:pPr>
            <w:r w:rsidRPr="00D948C1">
              <w:rPr>
                <w:rFonts w:cs="Arial"/>
                <w:b/>
                <w:bCs/>
                <w:szCs w:val="24"/>
              </w:rPr>
              <w:t>-</w:t>
            </w:r>
          </w:p>
        </w:tc>
        <w:tc>
          <w:tcPr>
            <w:tcW w:w="412" w:type="pct"/>
            <w:shd w:val="clear" w:color="auto" w:fill="auto"/>
            <w:vAlign w:val="center"/>
          </w:tcPr>
          <w:p w14:paraId="5E0CDA64" w14:textId="5546F194" w:rsidR="001824D9" w:rsidRPr="00D948C1" w:rsidRDefault="001824D9" w:rsidP="006C0086">
            <w:pPr>
              <w:spacing w:line="276" w:lineRule="auto"/>
              <w:jc w:val="right"/>
              <w:rPr>
                <w:rFonts w:cs="Arial"/>
                <w:b/>
                <w:bCs/>
                <w:szCs w:val="24"/>
              </w:rPr>
            </w:pPr>
            <w:r w:rsidRPr="00D948C1">
              <w:rPr>
                <w:rFonts w:cs="Arial"/>
                <w:b/>
                <w:bCs/>
                <w:szCs w:val="24"/>
              </w:rPr>
              <w:t>-</w:t>
            </w:r>
          </w:p>
        </w:tc>
        <w:tc>
          <w:tcPr>
            <w:tcW w:w="396" w:type="pct"/>
            <w:shd w:val="clear" w:color="auto" w:fill="auto"/>
            <w:vAlign w:val="center"/>
          </w:tcPr>
          <w:p w14:paraId="2E231714" w14:textId="5014529F" w:rsidR="001824D9" w:rsidRPr="00D948C1" w:rsidRDefault="001824D9" w:rsidP="006C0086">
            <w:pPr>
              <w:spacing w:line="276" w:lineRule="auto"/>
              <w:jc w:val="right"/>
              <w:rPr>
                <w:rFonts w:cs="Arial"/>
                <w:b/>
                <w:bCs/>
                <w:szCs w:val="24"/>
              </w:rPr>
            </w:pPr>
            <w:r w:rsidRPr="00D948C1">
              <w:rPr>
                <w:rFonts w:cs="Arial"/>
                <w:b/>
                <w:bCs/>
                <w:szCs w:val="24"/>
              </w:rPr>
              <w:t>-</w:t>
            </w:r>
          </w:p>
        </w:tc>
        <w:tc>
          <w:tcPr>
            <w:tcW w:w="397" w:type="pct"/>
            <w:shd w:val="clear" w:color="auto" w:fill="auto"/>
            <w:vAlign w:val="center"/>
          </w:tcPr>
          <w:p w14:paraId="1339318F" w14:textId="7B1B58A7" w:rsidR="001824D9" w:rsidRPr="00D948C1" w:rsidRDefault="001824D9" w:rsidP="006C0086">
            <w:pPr>
              <w:spacing w:line="276" w:lineRule="auto"/>
              <w:jc w:val="right"/>
              <w:rPr>
                <w:rFonts w:cs="Arial"/>
                <w:b/>
                <w:bCs/>
                <w:szCs w:val="24"/>
              </w:rPr>
            </w:pPr>
            <w:r w:rsidRPr="00D948C1">
              <w:rPr>
                <w:rFonts w:cs="Arial"/>
                <w:b/>
                <w:bCs/>
                <w:szCs w:val="24"/>
              </w:rPr>
              <w:t>(15,347)</w:t>
            </w:r>
          </w:p>
        </w:tc>
        <w:tc>
          <w:tcPr>
            <w:tcW w:w="408" w:type="pct"/>
            <w:shd w:val="clear" w:color="auto" w:fill="auto"/>
            <w:vAlign w:val="center"/>
          </w:tcPr>
          <w:p w14:paraId="142F05E1" w14:textId="1C24B06A" w:rsidR="001824D9" w:rsidRPr="00D948C1" w:rsidRDefault="001824D9" w:rsidP="006C0086">
            <w:pPr>
              <w:spacing w:line="276" w:lineRule="auto"/>
              <w:jc w:val="right"/>
              <w:rPr>
                <w:rFonts w:cs="Arial"/>
                <w:b/>
                <w:bCs/>
                <w:szCs w:val="24"/>
              </w:rPr>
            </w:pPr>
            <w:r w:rsidRPr="00D948C1">
              <w:rPr>
                <w:rFonts w:cs="Arial"/>
                <w:b/>
                <w:bCs/>
                <w:szCs w:val="24"/>
              </w:rPr>
              <w:t>266,512</w:t>
            </w:r>
          </w:p>
        </w:tc>
        <w:tc>
          <w:tcPr>
            <w:tcW w:w="409" w:type="pct"/>
            <w:shd w:val="clear" w:color="auto" w:fill="auto"/>
            <w:vAlign w:val="center"/>
          </w:tcPr>
          <w:p w14:paraId="6B0154CA" w14:textId="35115C73" w:rsidR="001824D9" w:rsidRPr="00D948C1" w:rsidRDefault="001824D9" w:rsidP="006C0086">
            <w:pPr>
              <w:spacing w:line="276" w:lineRule="auto"/>
              <w:jc w:val="right"/>
              <w:rPr>
                <w:rFonts w:cs="Arial"/>
                <w:b/>
                <w:bCs/>
                <w:szCs w:val="24"/>
              </w:rPr>
            </w:pPr>
            <w:r w:rsidRPr="00D948C1">
              <w:rPr>
                <w:rFonts w:cs="Arial"/>
                <w:b/>
                <w:bCs/>
                <w:szCs w:val="24"/>
              </w:rPr>
              <w:t>251,165</w:t>
            </w:r>
          </w:p>
        </w:tc>
      </w:tr>
    </w:tbl>
    <w:p w14:paraId="540656BA" w14:textId="77777777" w:rsidR="00FA18E2" w:rsidRPr="00D948C1" w:rsidRDefault="00FA18E2" w:rsidP="006C0086">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13"/>
        <w:gridCol w:w="1390"/>
        <w:gridCol w:w="1210"/>
        <w:gridCol w:w="1225"/>
        <w:gridCol w:w="1257"/>
        <w:gridCol w:w="1207"/>
        <w:gridCol w:w="1210"/>
        <w:gridCol w:w="1244"/>
        <w:gridCol w:w="1247"/>
      </w:tblGrid>
      <w:tr w:rsidR="00FA18E2" w:rsidRPr="00D948C1" w14:paraId="5FC5C80B" w14:textId="77777777" w:rsidTr="00036C34">
        <w:trPr>
          <w:trHeight w:val="231"/>
        </w:trPr>
        <w:tc>
          <w:tcPr>
            <w:tcW w:w="5000" w:type="pct"/>
            <w:gridSpan w:val="10"/>
            <w:shd w:val="clear" w:color="auto" w:fill="D9D9D9" w:themeFill="background1" w:themeFillShade="D9"/>
          </w:tcPr>
          <w:p w14:paraId="47ECBAC4" w14:textId="61368689" w:rsidR="00FA18E2" w:rsidRPr="00D948C1" w:rsidRDefault="00FA18E2" w:rsidP="006C0086">
            <w:pPr>
              <w:spacing w:line="276" w:lineRule="auto"/>
              <w:rPr>
                <w:rFonts w:cs="Arial"/>
                <w:b/>
                <w:bCs/>
                <w:szCs w:val="24"/>
              </w:rPr>
            </w:pPr>
            <w:r w:rsidRPr="00D948C1">
              <w:rPr>
                <w:rFonts w:cs="Arial"/>
                <w:b/>
                <w:bCs/>
                <w:szCs w:val="24"/>
              </w:rPr>
              <w:t>Adjustments between accounting basis and funding basis under regulations</w:t>
            </w:r>
          </w:p>
        </w:tc>
      </w:tr>
      <w:tr w:rsidR="001824D9" w:rsidRPr="00D948C1" w14:paraId="35799840" w14:textId="77777777" w:rsidTr="00233A66">
        <w:tc>
          <w:tcPr>
            <w:tcW w:w="1325" w:type="pct"/>
            <w:shd w:val="clear" w:color="auto" w:fill="auto"/>
          </w:tcPr>
          <w:p w14:paraId="41983BD7" w14:textId="77777777" w:rsidR="001824D9" w:rsidRPr="00D948C1" w:rsidRDefault="001824D9" w:rsidP="006C0086">
            <w:pPr>
              <w:spacing w:line="276" w:lineRule="auto"/>
              <w:rPr>
                <w:rFonts w:cs="Arial"/>
                <w:szCs w:val="24"/>
              </w:rPr>
            </w:pPr>
            <w:r w:rsidRPr="00D948C1">
              <w:rPr>
                <w:rFonts w:cs="Arial"/>
                <w:szCs w:val="24"/>
              </w:rPr>
              <w:t>Charges for depreciation and impairment of non-current assets</w:t>
            </w:r>
          </w:p>
        </w:tc>
        <w:tc>
          <w:tcPr>
            <w:tcW w:w="398" w:type="pct"/>
            <w:shd w:val="clear" w:color="auto" w:fill="auto"/>
            <w:vAlign w:val="center"/>
          </w:tcPr>
          <w:p w14:paraId="083C8BE3" w14:textId="321B9853" w:rsidR="001824D9" w:rsidRPr="00D948C1" w:rsidRDefault="001824D9" w:rsidP="006C0086">
            <w:pPr>
              <w:spacing w:line="276" w:lineRule="auto"/>
              <w:jc w:val="right"/>
              <w:rPr>
                <w:rFonts w:cs="Arial"/>
                <w:szCs w:val="24"/>
              </w:rPr>
            </w:pPr>
            <w:r w:rsidRPr="00D948C1">
              <w:rPr>
                <w:rFonts w:cs="Arial"/>
                <w:szCs w:val="24"/>
              </w:rPr>
              <w:t>5,859</w:t>
            </w:r>
          </w:p>
        </w:tc>
        <w:tc>
          <w:tcPr>
            <w:tcW w:w="456" w:type="pct"/>
            <w:shd w:val="clear" w:color="auto" w:fill="auto"/>
            <w:vAlign w:val="center"/>
          </w:tcPr>
          <w:p w14:paraId="15CF42B5" w14:textId="517CD191"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4B3ED8EB" w14:textId="2B96185D" w:rsidR="001824D9" w:rsidRPr="00D948C1" w:rsidRDefault="001824D9" w:rsidP="006C0086">
            <w:pPr>
              <w:spacing w:line="276" w:lineRule="auto"/>
              <w:jc w:val="right"/>
              <w:rPr>
                <w:rFonts w:cs="Arial"/>
                <w:szCs w:val="24"/>
              </w:rPr>
            </w:pPr>
            <w:r w:rsidRPr="00D948C1">
              <w:rPr>
                <w:rFonts w:cs="Arial"/>
                <w:szCs w:val="24"/>
              </w:rPr>
              <w:t>5,859</w:t>
            </w:r>
          </w:p>
        </w:tc>
        <w:tc>
          <w:tcPr>
            <w:tcW w:w="402" w:type="pct"/>
            <w:shd w:val="clear" w:color="auto" w:fill="auto"/>
            <w:vAlign w:val="center"/>
          </w:tcPr>
          <w:p w14:paraId="45148DEE" w14:textId="5D6C32A0"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4095C624" w14:textId="78A1F450"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4CDF3562" w14:textId="7AC69950"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2A0FD66E" w14:textId="52A22336" w:rsidR="001824D9" w:rsidRPr="00D948C1" w:rsidRDefault="001824D9" w:rsidP="006C0086">
            <w:pPr>
              <w:spacing w:line="276" w:lineRule="auto"/>
              <w:jc w:val="right"/>
              <w:rPr>
                <w:rFonts w:cs="Arial"/>
                <w:szCs w:val="24"/>
              </w:rPr>
            </w:pPr>
            <w:r w:rsidRPr="00D948C1">
              <w:rPr>
                <w:rFonts w:cs="Arial"/>
                <w:szCs w:val="24"/>
              </w:rPr>
              <w:t>5,859</w:t>
            </w:r>
          </w:p>
        </w:tc>
        <w:tc>
          <w:tcPr>
            <w:tcW w:w="408" w:type="pct"/>
            <w:shd w:val="clear" w:color="auto" w:fill="auto"/>
            <w:vAlign w:val="center"/>
          </w:tcPr>
          <w:p w14:paraId="3CA20E08" w14:textId="40147D22" w:rsidR="001824D9" w:rsidRPr="00D948C1" w:rsidRDefault="001824D9" w:rsidP="006C0086">
            <w:pPr>
              <w:spacing w:line="276" w:lineRule="auto"/>
              <w:jc w:val="right"/>
              <w:rPr>
                <w:rFonts w:cs="Arial"/>
                <w:szCs w:val="24"/>
              </w:rPr>
            </w:pPr>
            <w:r w:rsidRPr="00D948C1">
              <w:rPr>
                <w:rFonts w:cs="Arial"/>
                <w:szCs w:val="24"/>
              </w:rPr>
              <w:t>(5,859)</w:t>
            </w:r>
          </w:p>
        </w:tc>
        <w:tc>
          <w:tcPr>
            <w:tcW w:w="409" w:type="pct"/>
            <w:shd w:val="clear" w:color="auto" w:fill="auto"/>
            <w:vAlign w:val="center"/>
          </w:tcPr>
          <w:p w14:paraId="30011B1B" w14:textId="4CBC25CB"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3C464264" w14:textId="77777777" w:rsidTr="00233A66">
        <w:tc>
          <w:tcPr>
            <w:tcW w:w="1325" w:type="pct"/>
            <w:shd w:val="clear" w:color="auto" w:fill="auto"/>
          </w:tcPr>
          <w:p w14:paraId="14D2A6FE" w14:textId="77777777" w:rsidR="001824D9" w:rsidRPr="00D948C1" w:rsidRDefault="001824D9" w:rsidP="006C0086">
            <w:pPr>
              <w:spacing w:line="276" w:lineRule="auto"/>
              <w:rPr>
                <w:rFonts w:cs="Arial"/>
                <w:szCs w:val="24"/>
              </w:rPr>
            </w:pPr>
            <w:r w:rsidRPr="00D948C1">
              <w:rPr>
                <w:rFonts w:cs="Arial"/>
                <w:szCs w:val="24"/>
              </w:rPr>
              <w:t>Amortisation of intangible assets</w:t>
            </w:r>
          </w:p>
        </w:tc>
        <w:tc>
          <w:tcPr>
            <w:tcW w:w="398" w:type="pct"/>
            <w:shd w:val="clear" w:color="auto" w:fill="auto"/>
            <w:vAlign w:val="center"/>
          </w:tcPr>
          <w:p w14:paraId="705D2CA5" w14:textId="2873E68B" w:rsidR="001824D9" w:rsidRPr="00D948C1" w:rsidRDefault="001824D9" w:rsidP="006C0086">
            <w:pPr>
              <w:spacing w:line="276" w:lineRule="auto"/>
              <w:jc w:val="right"/>
              <w:rPr>
                <w:rFonts w:cs="Arial"/>
                <w:szCs w:val="24"/>
              </w:rPr>
            </w:pPr>
            <w:r w:rsidRPr="00D948C1">
              <w:rPr>
                <w:rFonts w:cs="Arial"/>
                <w:szCs w:val="24"/>
              </w:rPr>
              <w:t>94</w:t>
            </w:r>
          </w:p>
        </w:tc>
        <w:tc>
          <w:tcPr>
            <w:tcW w:w="456" w:type="pct"/>
            <w:shd w:val="clear" w:color="auto" w:fill="auto"/>
            <w:vAlign w:val="center"/>
          </w:tcPr>
          <w:p w14:paraId="4186B5FE" w14:textId="63DAC235"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6800BB72" w14:textId="2E1882B8" w:rsidR="001824D9" w:rsidRPr="00D948C1" w:rsidRDefault="001824D9" w:rsidP="006C0086">
            <w:pPr>
              <w:spacing w:line="276" w:lineRule="auto"/>
              <w:jc w:val="right"/>
              <w:rPr>
                <w:rFonts w:cs="Arial"/>
                <w:szCs w:val="24"/>
              </w:rPr>
            </w:pPr>
            <w:r w:rsidRPr="00D948C1">
              <w:rPr>
                <w:rFonts w:cs="Arial"/>
                <w:szCs w:val="24"/>
              </w:rPr>
              <w:t>94</w:t>
            </w:r>
          </w:p>
        </w:tc>
        <w:tc>
          <w:tcPr>
            <w:tcW w:w="402" w:type="pct"/>
            <w:shd w:val="clear" w:color="auto" w:fill="auto"/>
            <w:vAlign w:val="center"/>
          </w:tcPr>
          <w:p w14:paraId="7F23ED03" w14:textId="3C4DA4D4"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20487BCF" w14:textId="21FA808F"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17C28773" w14:textId="283E05C0"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1CD2F2B0" w14:textId="42287A95" w:rsidR="001824D9" w:rsidRPr="00D948C1" w:rsidRDefault="001824D9" w:rsidP="006C0086">
            <w:pPr>
              <w:spacing w:line="276" w:lineRule="auto"/>
              <w:jc w:val="right"/>
              <w:rPr>
                <w:rFonts w:cs="Arial"/>
                <w:szCs w:val="24"/>
              </w:rPr>
            </w:pPr>
            <w:r w:rsidRPr="00D948C1">
              <w:rPr>
                <w:rFonts w:cs="Arial"/>
                <w:szCs w:val="24"/>
              </w:rPr>
              <w:t>94</w:t>
            </w:r>
          </w:p>
        </w:tc>
        <w:tc>
          <w:tcPr>
            <w:tcW w:w="408" w:type="pct"/>
            <w:shd w:val="clear" w:color="auto" w:fill="auto"/>
            <w:vAlign w:val="center"/>
          </w:tcPr>
          <w:p w14:paraId="63B50E58" w14:textId="095320D7" w:rsidR="001824D9" w:rsidRPr="00D948C1" w:rsidRDefault="001824D9" w:rsidP="006C0086">
            <w:pPr>
              <w:spacing w:line="276" w:lineRule="auto"/>
              <w:jc w:val="right"/>
              <w:rPr>
                <w:rFonts w:cs="Arial"/>
                <w:szCs w:val="24"/>
              </w:rPr>
            </w:pPr>
            <w:r w:rsidRPr="00D948C1">
              <w:rPr>
                <w:rFonts w:cs="Arial"/>
                <w:szCs w:val="24"/>
              </w:rPr>
              <w:t>(94)</w:t>
            </w:r>
          </w:p>
        </w:tc>
        <w:tc>
          <w:tcPr>
            <w:tcW w:w="409" w:type="pct"/>
            <w:shd w:val="clear" w:color="auto" w:fill="auto"/>
            <w:vAlign w:val="center"/>
          </w:tcPr>
          <w:p w14:paraId="33F43FF4" w14:textId="348B7833"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52575A1F" w14:textId="77777777" w:rsidTr="00233A66">
        <w:tc>
          <w:tcPr>
            <w:tcW w:w="1325" w:type="pct"/>
            <w:shd w:val="clear" w:color="auto" w:fill="auto"/>
          </w:tcPr>
          <w:p w14:paraId="6E6DCC7E" w14:textId="77777777" w:rsidR="001824D9" w:rsidRPr="00D948C1" w:rsidRDefault="001824D9" w:rsidP="006C0086">
            <w:pPr>
              <w:spacing w:line="276" w:lineRule="auto"/>
              <w:rPr>
                <w:rFonts w:cs="Arial"/>
                <w:szCs w:val="24"/>
              </w:rPr>
            </w:pPr>
            <w:r w:rsidRPr="00D948C1">
              <w:rPr>
                <w:rFonts w:cs="Arial"/>
                <w:szCs w:val="24"/>
              </w:rPr>
              <w:t>Disposal of assets</w:t>
            </w:r>
          </w:p>
        </w:tc>
        <w:tc>
          <w:tcPr>
            <w:tcW w:w="398" w:type="pct"/>
            <w:shd w:val="clear" w:color="auto" w:fill="auto"/>
            <w:vAlign w:val="center"/>
          </w:tcPr>
          <w:p w14:paraId="054AF9A2" w14:textId="3DEF5F19" w:rsidR="001824D9" w:rsidRPr="00D948C1" w:rsidRDefault="001824D9" w:rsidP="006C0086">
            <w:pPr>
              <w:spacing w:line="276" w:lineRule="auto"/>
              <w:jc w:val="right"/>
              <w:rPr>
                <w:rFonts w:cs="Arial"/>
                <w:szCs w:val="24"/>
              </w:rPr>
            </w:pPr>
            <w:r w:rsidRPr="00D948C1">
              <w:rPr>
                <w:rFonts w:cs="Arial"/>
                <w:szCs w:val="24"/>
              </w:rPr>
              <w:t>(9)</w:t>
            </w:r>
          </w:p>
        </w:tc>
        <w:tc>
          <w:tcPr>
            <w:tcW w:w="456" w:type="pct"/>
            <w:shd w:val="clear" w:color="auto" w:fill="auto"/>
            <w:vAlign w:val="center"/>
          </w:tcPr>
          <w:p w14:paraId="28577912" w14:textId="1E6C65FB"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3ECC6A60" w14:textId="3DEA492A" w:rsidR="001824D9" w:rsidRPr="00D948C1" w:rsidRDefault="001824D9" w:rsidP="006C0086">
            <w:pPr>
              <w:spacing w:line="276" w:lineRule="auto"/>
              <w:jc w:val="right"/>
              <w:rPr>
                <w:rFonts w:cs="Arial"/>
                <w:szCs w:val="24"/>
              </w:rPr>
            </w:pPr>
            <w:r w:rsidRPr="00D948C1">
              <w:rPr>
                <w:rFonts w:cs="Arial"/>
                <w:szCs w:val="24"/>
              </w:rPr>
              <w:t>(9)</w:t>
            </w:r>
          </w:p>
        </w:tc>
        <w:tc>
          <w:tcPr>
            <w:tcW w:w="402" w:type="pct"/>
            <w:shd w:val="clear" w:color="auto" w:fill="auto"/>
            <w:vAlign w:val="center"/>
          </w:tcPr>
          <w:p w14:paraId="4319BF9D" w14:textId="52C3251E"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4DD8C29A" w14:textId="2D73994C"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0FAE5C40" w14:textId="38C9AD6F" w:rsidR="001824D9" w:rsidRPr="00D948C1" w:rsidRDefault="001824D9" w:rsidP="006C0086">
            <w:pPr>
              <w:spacing w:line="276" w:lineRule="auto"/>
              <w:jc w:val="right"/>
              <w:rPr>
                <w:rFonts w:cs="Arial"/>
                <w:szCs w:val="24"/>
              </w:rPr>
            </w:pPr>
            <w:r w:rsidRPr="00D948C1">
              <w:rPr>
                <w:rFonts w:cs="Arial"/>
                <w:szCs w:val="24"/>
              </w:rPr>
              <w:t>9</w:t>
            </w:r>
          </w:p>
        </w:tc>
        <w:tc>
          <w:tcPr>
            <w:tcW w:w="397" w:type="pct"/>
            <w:shd w:val="clear" w:color="auto" w:fill="auto"/>
            <w:vAlign w:val="center"/>
          </w:tcPr>
          <w:p w14:paraId="2F15AF9C" w14:textId="64B2ED60" w:rsidR="001824D9" w:rsidRPr="00D948C1" w:rsidRDefault="001824D9" w:rsidP="006C0086">
            <w:pPr>
              <w:spacing w:line="276" w:lineRule="auto"/>
              <w:jc w:val="right"/>
              <w:rPr>
                <w:rFonts w:cs="Arial"/>
                <w:szCs w:val="24"/>
              </w:rPr>
            </w:pPr>
            <w:r w:rsidRPr="00D948C1">
              <w:rPr>
                <w:rFonts w:cs="Arial"/>
                <w:szCs w:val="24"/>
              </w:rPr>
              <w:t>-</w:t>
            </w:r>
          </w:p>
        </w:tc>
        <w:tc>
          <w:tcPr>
            <w:tcW w:w="408" w:type="pct"/>
            <w:shd w:val="clear" w:color="auto" w:fill="auto"/>
            <w:vAlign w:val="center"/>
          </w:tcPr>
          <w:p w14:paraId="6DFEBB87" w14:textId="7CC8CF5F" w:rsidR="001824D9" w:rsidRPr="00D948C1" w:rsidRDefault="001824D9" w:rsidP="006C0086">
            <w:pPr>
              <w:spacing w:line="276" w:lineRule="auto"/>
              <w:jc w:val="right"/>
              <w:rPr>
                <w:rFonts w:cs="Arial"/>
                <w:szCs w:val="24"/>
              </w:rPr>
            </w:pPr>
            <w:r w:rsidRPr="00D948C1">
              <w:rPr>
                <w:rFonts w:cs="Arial"/>
                <w:szCs w:val="24"/>
              </w:rPr>
              <w:t>-</w:t>
            </w:r>
          </w:p>
        </w:tc>
        <w:tc>
          <w:tcPr>
            <w:tcW w:w="409" w:type="pct"/>
            <w:shd w:val="clear" w:color="auto" w:fill="auto"/>
            <w:vAlign w:val="center"/>
          </w:tcPr>
          <w:p w14:paraId="606D0B4C" w14:textId="29C618FD"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04DB9869" w14:textId="77777777" w:rsidTr="00233A66">
        <w:tc>
          <w:tcPr>
            <w:tcW w:w="1325" w:type="pct"/>
            <w:shd w:val="clear" w:color="auto" w:fill="auto"/>
          </w:tcPr>
          <w:p w14:paraId="7C29263C" w14:textId="77777777" w:rsidR="001824D9" w:rsidRPr="00D948C1" w:rsidRDefault="001824D9" w:rsidP="006C0086">
            <w:pPr>
              <w:spacing w:line="276" w:lineRule="auto"/>
              <w:rPr>
                <w:rFonts w:cs="Arial"/>
                <w:szCs w:val="24"/>
              </w:rPr>
            </w:pPr>
            <w:r w:rsidRPr="00D948C1">
              <w:rPr>
                <w:rFonts w:cs="Arial"/>
                <w:szCs w:val="24"/>
              </w:rPr>
              <w:t>Capital grants unapplied</w:t>
            </w:r>
          </w:p>
        </w:tc>
        <w:tc>
          <w:tcPr>
            <w:tcW w:w="398" w:type="pct"/>
            <w:shd w:val="clear" w:color="auto" w:fill="auto"/>
            <w:vAlign w:val="center"/>
          </w:tcPr>
          <w:p w14:paraId="51ACB6DE" w14:textId="7796FFE5" w:rsidR="001824D9" w:rsidRPr="00D948C1" w:rsidRDefault="001824D9" w:rsidP="006C0086">
            <w:pPr>
              <w:spacing w:line="276" w:lineRule="auto"/>
              <w:jc w:val="right"/>
              <w:rPr>
                <w:rFonts w:cs="Arial"/>
                <w:szCs w:val="24"/>
              </w:rPr>
            </w:pPr>
            <w:r w:rsidRPr="00D948C1">
              <w:rPr>
                <w:rFonts w:cs="Arial"/>
                <w:szCs w:val="24"/>
              </w:rPr>
              <w:t>42</w:t>
            </w:r>
          </w:p>
        </w:tc>
        <w:tc>
          <w:tcPr>
            <w:tcW w:w="456" w:type="pct"/>
            <w:shd w:val="clear" w:color="auto" w:fill="auto"/>
            <w:vAlign w:val="center"/>
          </w:tcPr>
          <w:p w14:paraId="69F05237" w14:textId="2300EE68"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438EF394" w14:textId="68C5E90E" w:rsidR="001824D9" w:rsidRPr="00D948C1" w:rsidRDefault="001824D9" w:rsidP="006C0086">
            <w:pPr>
              <w:spacing w:line="276" w:lineRule="auto"/>
              <w:jc w:val="right"/>
              <w:rPr>
                <w:rFonts w:cs="Arial"/>
                <w:szCs w:val="24"/>
              </w:rPr>
            </w:pPr>
            <w:r w:rsidRPr="00D948C1">
              <w:rPr>
                <w:rFonts w:cs="Arial"/>
                <w:szCs w:val="24"/>
              </w:rPr>
              <w:t>42</w:t>
            </w:r>
          </w:p>
        </w:tc>
        <w:tc>
          <w:tcPr>
            <w:tcW w:w="402" w:type="pct"/>
            <w:shd w:val="clear" w:color="auto" w:fill="auto"/>
            <w:vAlign w:val="center"/>
          </w:tcPr>
          <w:p w14:paraId="5E23484F" w14:textId="6199923F"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0A99ECD9" w14:textId="35444B15" w:rsidR="001824D9" w:rsidRPr="00D948C1" w:rsidRDefault="001824D9" w:rsidP="006C0086">
            <w:pPr>
              <w:spacing w:line="276" w:lineRule="auto"/>
              <w:jc w:val="right"/>
              <w:rPr>
                <w:rFonts w:cs="Arial"/>
                <w:szCs w:val="24"/>
              </w:rPr>
            </w:pPr>
            <w:r w:rsidRPr="00D948C1">
              <w:rPr>
                <w:rFonts w:cs="Arial"/>
                <w:szCs w:val="24"/>
              </w:rPr>
              <w:t>(42)</w:t>
            </w:r>
          </w:p>
        </w:tc>
        <w:tc>
          <w:tcPr>
            <w:tcW w:w="396" w:type="pct"/>
            <w:shd w:val="clear" w:color="auto" w:fill="auto"/>
            <w:vAlign w:val="center"/>
          </w:tcPr>
          <w:p w14:paraId="4E1FF4C2" w14:textId="02985557"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3AFD8B99" w14:textId="2F2430B4" w:rsidR="001824D9" w:rsidRPr="00D948C1" w:rsidRDefault="001824D9" w:rsidP="006C0086">
            <w:pPr>
              <w:spacing w:line="276" w:lineRule="auto"/>
              <w:jc w:val="right"/>
              <w:rPr>
                <w:rFonts w:cs="Arial"/>
                <w:szCs w:val="24"/>
              </w:rPr>
            </w:pPr>
            <w:r w:rsidRPr="00D948C1">
              <w:rPr>
                <w:rFonts w:cs="Arial"/>
                <w:szCs w:val="24"/>
              </w:rPr>
              <w:t>-</w:t>
            </w:r>
          </w:p>
        </w:tc>
        <w:tc>
          <w:tcPr>
            <w:tcW w:w="408" w:type="pct"/>
            <w:shd w:val="clear" w:color="auto" w:fill="auto"/>
            <w:vAlign w:val="center"/>
          </w:tcPr>
          <w:p w14:paraId="2BE12D3F" w14:textId="6B0133E4" w:rsidR="001824D9" w:rsidRPr="00D948C1" w:rsidRDefault="001824D9" w:rsidP="006C0086">
            <w:pPr>
              <w:spacing w:line="276" w:lineRule="auto"/>
              <w:jc w:val="right"/>
              <w:rPr>
                <w:rFonts w:cs="Arial"/>
                <w:szCs w:val="24"/>
              </w:rPr>
            </w:pPr>
            <w:r w:rsidRPr="00D948C1">
              <w:rPr>
                <w:rFonts w:cs="Arial"/>
                <w:szCs w:val="24"/>
              </w:rPr>
              <w:t>-</w:t>
            </w:r>
          </w:p>
        </w:tc>
        <w:tc>
          <w:tcPr>
            <w:tcW w:w="409" w:type="pct"/>
            <w:shd w:val="clear" w:color="auto" w:fill="auto"/>
            <w:vAlign w:val="center"/>
          </w:tcPr>
          <w:p w14:paraId="78919A5B" w14:textId="6BDAB4BA"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2766AF92" w14:textId="77777777" w:rsidTr="00233A66">
        <w:tc>
          <w:tcPr>
            <w:tcW w:w="1325" w:type="pct"/>
            <w:shd w:val="clear" w:color="auto" w:fill="auto"/>
          </w:tcPr>
          <w:p w14:paraId="7772B7A7" w14:textId="77777777" w:rsidR="001824D9" w:rsidRPr="00D948C1" w:rsidRDefault="001824D9" w:rsidP="006C0086">
            <w:pPr>
              <w:spacing w:line="276" w:lineRule="auto"/>
              <w:rPr>
                <w:rFonts w:cs="Arial"/>
                <w:szCs w:val="24"/>
              </w:rPr>
            </w:pPr>
            <w:r w:rsidRPr="00D948C1">
              <w:rPr>
                <w:rFonts w:cs="Arial"/>
                <w:szCs w:val="24"/>
              </w:rPr>
              <w:t>Provision for the repayment of debt</w:t>
            </w:r>
          </w:p>
        </w:tc>
        <w:tc>
          <w:tcPr>
            <w:tcW w:w="398" w:type="pct"/>
            <w:shd w:val="clear" w:color="auto" w:fill="auto"/>
            <w:vAlign w:val="center"/>
          </w:tcPr>
          <w:p w14:paraId="06FC74C3" w14:textId="79DE8A16" w:rsidR="001824D9" w:rsidRPr="00D948C1" w:rsidRDefault="001824D9" w:rsidP="006C0086">
            <w:pPr>
              <w:spacing w:line="276" w:lineRule="auto"/>
              <w:jc w:val="right"/>
              <w:rPr>
                <w:rFonts w:cs="Arial"/>
                <w:szCs w:val="24"/>
              </w:rPr>
            </w:pPr>
            <w:r w:rsidRPr="00D948C1">
              <w:rPr>
                <w:rFonts w:cs="Arial"/>
                <w:szCs w:val="24"/>
              </w:rPr>
              <w:t>(487)</w:t>
            </w:r>
          </w:p>
        </w:tc>
        <w:tc>
          <w:tcPr>
            <w:tcW w:w="456" w:type="pct"/>
            <w:shd w:val="clear" w:color="auto" w:fill="auto"/>
            <w:vAlign w:val="center"/>
          </w:tcPr>
          <w:p w14:paraId="1E181051" w14:textId="4D5460F1"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1C36C51A" w14:textId="639D7E44" w:rsidR="001824D9" w:rsidRPr="00D948C1" w:rsidRDefault="001824D9" w:rsidP="006C0086">
            <w:pPr>
              <w:spacing w:line="276" w:lineRule="auto"/>
              <w:jc w:val="right"/>
              <w:rPr>
                <w:rFonts w:cs="Arial"/>
                <w:szCs w:val="24"/>
              </w:rPr>
            </w:pPr>
            <w:r w:rsidRPr="00D948C1">
              <w:rPr>
                <w:rFonts w:cs="Arial"/>
                <w:szCs w:val="24"/>
              </w:rPr>
              <w:t>(487)</w:t>
            </w:r>
          </w:p>
        </w:tc>
        <w:tc>
          <w:tcPr>
            <w:tcW w:w="402" w:type="pct"/>
            <w:shd w:val="clear" w:color="auto" w:fill="auto"/>
            <w:vAlign w:val="center"/>
          </w:tcPr>
          <w:p w14:paraId="7C342978" w14:textId="5D149162"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7827D52E" w14:textId="7DBB7DD0"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2B2A37D4" w14:textId="7074A52B"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0DAC8C12" w14:textId="58C7E60E" w:rsidR="001824D9" w:rsidRPr="00D948C1" w:rsidRDefault="001824D9" w:rsidP="006C0086">
            <w:pPr>
              <w:spacing w:line="276" w:lineRule="auto"/>
              <w:jc w:val="right"/>
              <w:rPr>
                <w:rFonts w:cs="Arial"/>
                <w:szCs w:val="24"/>
              </w:rPr>
            </w:pPr>
            <w:r w:rsidRPr="00D948C1">
              <w:rPr>
                <w:rFonts w:cs="Arial"/>
                <w:szCs w:val="24"/>
              </w:rPr>
              <w:t>(487)</w:t>
            </w:r>
          </w:p>
        </w:tc>
        <w:tc>
          <w:tcPr>
            <w:tcW w:w="408" w:type="pct"/>
            <w:shd w:val="clear" w:color="auto" w:fill="auto"/>
            <w:vAlign w:val="center"/>
          </w:tcPr>
          <w:p w14:paraId="2F865007" w14:textId="0DD8586A" w:rsidR="001824D9" w:rsidRPr="00D948C1" w:rsidRDefault="001824D9" w:rsidP="006C0086">
            <w:pPr>
              <w:spacing w:line="276" w:lineRule="auto"/>
              <w:jc w:val="right"/>
              <w:rPr>
                <w:rFonts w:cs="Arial"/>
                <w:szCs w:val="24"/>
              </w:rPr>
            </w:pPr>
            <w:r w:rsidRPr="00D948C1">
              <w:rPr>
                <w:rFonts w:cs="Arial"/>
                <w:szCs w:val="24"/>
              </w:rPr>
              <w:t>487</w:t>
            </w:r>
          </w:p>
        </w:tc>
        <w:tc>
          <w:tcPr>
            <w:tcW w:w="409" w:type="pct"/>
            <w:shd w:val="clear" w:color="auto" w:fill="auto"/>
            <w:vAlign w:val="center"/>
          </w:tcPr>
          <w:p w14:paraId="4EB8ECF1" w14:textId="76000641"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43E0BD8D" w14:textId="77777777" w:rsidTr="00233A66">
        <w:tc>
          <w:tcPr>
            <w:tcW w:w="1325" w:type="pct"/>
            <w:shd w:val="clear" w:color="auto" w:fill="auto"/>
          </w:tcPr>
          <w:p w14:paraId="296A3B99" w14:textId="77777777" w:rsidR="001824D9" w:rsidRPr="00D948C1" w:rsidRDefault="001824D9" w:rsidP="006C0086">
            <w:pPr>
              <w:spacing w:line="276" w:lineRule="auto"/>
              <w:rPr>
                <w:rFonts w:cs="Arial"/>
                <w:szCs w:val="24"/>
              </w:rPr>
            </w:pPr>
            <w:r w:rsidRPr="00D948C1">
              <w:rPr>
                <w:rFonts w:cs="Arial"/>
                <w:szCs w:val="24"/>
              </w:rPr>
              <w:t>Capital expenditure charged against General Fund Balance</w:t>
            </w:r>
          </w:p>
        </w:tc>
        <w:tc>
          <w:tcPr>
            <w:tcW w:w="398" w:type="pct"/>
            <w:shd w:val="clear" w:color="auto" w:fill="auto"/>
            <w:vAlign w:val="center"/>
          </w:tcPr>
          <w:p w14:paraId="6B7D21F7" w14:textId="75C1B053" w:rsidR="001824D9" w:rsidRPr="00D948C1" w:rsidRDefault="001824D9" w:rsidP="006C0086">
            <w:pPr>
              <w:spacing w:line="276" w:lineRule="auto"/>
              <w:jc w:val="right"/>
              <w:rPr>
                <w:rFonts w:cs="Arial"/>
                <w:szCs w:val="24"/>
              </w:rPr>
            </w:pPr>
            <w:r w:rsidRPr="00D948C1">
              <w:rPr>
                <w:rFonts w:cs="Arial"/>
                <w:szCs w:val="24"/>
              </w:rPr>
              <w:t>(4,300)</w:t>
            </w:r>
          </w:p>
        </w:tc>
        <w:tc>
          <w:tcPr>
            <w:tcW w:w="456" w:type="pct"/>
            <w:shd w:val="clear" w:color="auto" w:fill="auto"/>
            <w:vAlign w:val="center"/>
          </w:tcPr>
          <w:p w14:paraId="3A8CE236" w14:textId="7BDEED1E"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49CF1798" w14:textId="2FA0B94D" w:rsidR="001824D9" w:rsidRPr="00D948C1" w:rsidRDefault="001824D9" w:rsidP="006C0086">
            <w:pPr>
              <w:spacing w:line="276" w:lineRule="auto"/>
              <w:jc w:val="right"/>
              <w:rPr>
                <w:rFonts w:cs="Arial"/>
                <w:szCs w:val="24"/>
              </w:rPr>
            </w:pPr>
            <w:r w:rsidRPr="00D948C1">
              <w:rPr>
                <w:rFonts w:cs="Arial"/>
                <w:szCs w:val="24"/>
              </w:rPr>
              <w:t>(4,300)</w:t>
            </w:r>
          </w:p>
        </w:tc>
        <w:tc>
          <w:tcPr>
            <w:tcW w:w="402" w:type="pct"/>
            <w:shd w:val="clear" w:color="auto" w:fill="auto"/>
            <w:vAlign w:val="center"/>
          </w:tcPr>
          <w:p w14:paraId="28C9043A" w14:textId="224485FE"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42B3EF06" w14:textId="41559B38"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0BE59DBD" w14:textId="3F06A5D7"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02E10600" w14:textId="28D43E76" w:rsidR="001824D9" w:rsidRPr="00D948C1" w:rsidRDefault="001824D9" w:rsidP="006C0086">
            <w:pPr>
              <w:spacing w:line="276" w:lineRule="auto"/>
              <w:jc w:val="right"/>
              <w:rPr>
                <w:rFonts w:cs="Arial"/>
                <w:szCs w:val="24"/>
              </w:rPr>
            </w:pPr>
            <w:r w:rsidRPr="00D948C1">
              <w:rPr>
                <w:rFonts w:cs="Arial"/>
                <w:szCs w:val="24"/>
              </w:rPr>
              <w:t>(4,300)</w:t>
            </w:r>
          </w:p>
        </w:tc>
        <w:tc>
          <w:tcPr>
            <w:tcW w:w="408" w:type="pct"/>
            <w:shd w:val="clear" w:color="auto" w:fill="auto"/>
            <w:vAlign w:val="center"/>
          </w:tcPr>
          <w:p w14:paraId="0DAFD32B" w14:textId="7C1432E0" w:rsidR="001824D9" w:rsidRPr="00D948C1" w:rsidRDefault="001824D9" w:rsidP="006C0086">
            <w:pPr>
              <w:spacing w:line="276" w:lineRule="auto"/>
              <w:jc w:val="right"/>
              <w:rPr>
                <w:rFonts w:cs="Arial"/>
                <w:szCs w:val="24"/>
              </w:rPr>
            </w:pPr>
            <w:r w:rsidRPr="00D948C1">
              <w:rPr>
                <w:rFonts w:cs="Arial"/>
                <w:szCs w:val="24"/>
              </w:rPr>
              <w:t>4,300</w:t>
            </w:r>
          </w:p>
        </w:tc>
        <w:tc>
          <w:tcPr>
            <w:tcW w:w="409" w:type="pct"/>
            <w:shd w:val="clear" w:color="auto" w:fill="auto"/>
            <w:vAlign w:val="center"/>
          </w:tcPr>
          <w:p w14:paraId="2D44CFB2" w14:textId="07D768D3"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6990CD20" w14:textId="77777777" w:rsidTr="00233A66">
        <w:tc>
          <w:tcPr>
            <w:tcW w:w="1325" w:type="pct"/>
            <w:shd w:val="clear" w:color="auto" w:fill="auto"/>
          </w:tcPr>
          <w:p w14:paraId="1FD4948E" w14:textId="77777777" w:rsidR="001824D9" w:rsidRPr="00D948C1" w:rsidRDefault="001824D9" w:rsidP="006C0086">
            <w:pPr>
              <w:spacing w:line="276" w:lineRule="auto"/>
              <w:rPr>
                <w:rFonts w:cs="Arial"/>
                <w:szCs w:val="24"/>
              </w:rPr>
            </w:pPr>
            <w:r w:rsidRPr="00D948C1">
              <w:rPr>
                <w:rFonts w:cs="Arial"/>
                <w:szCs w:val="24"/>
              </w:rPr>
              <w:t>Amount by which the Code and the statutory pension costs differ</w:t>
            </w:r>
          </w:p>
        </w:tc>
        <w:tc>
          <w:tcPr>
            <w:tcW w:w="398" w:type="pct"/>
            <w:shd w:val="clear" w:color="auto" w:fill="auto"/>
            <w:vAlign w:val="center"/>
          </w:tcPr>
          <w:p w14:paraId="3953C641" w14:textId="58CCB84D" w:rsidR="001824D9" w:rsidRPr="00D948C1" w:rsidRDefault="001824D9" w:rsidP="006C0086">
            <w:pPr>
              <w:spacing w:line="276" w:lineRule="auto"/>
              <w:jc w:val="right"/>
              <w:rPr>
                <w:rFonts w:cs="Arial"/>
                <w:szCs w:val="24"/>
              </w:rPr>
            </w:pPr>
            <w:r w:rsidRPr="00D948C1">
              <w:rPr>
                <w:rFonts w:cs="Arial"/>
                <w:szCs w:val="24"/>
              </w:rPr>
              <w:t>12,879</w:t>
            </w:r>
          </w:p>
        </w:tc>
        <w:tc>
          <w:tcPr>
            <w:tcW w:w="456" w:type="pct"/>
            <w:shd w:val="clear" w:color="auto" w:fill="auto"/>
            <w:vAlign w:val="center"/>
          </w:tcPr>
          <w:p w14:paraId="5DE98E11" w14:textId="39C98425"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63FC15F0" w14:textId="4BA50585" w:rsidR="001824D9" w:rsidRPr="00D948C1" w:rsidRDefault="001824D9" w:rsidP="006C0086">
            <w:pPr>
              <w:spacing w:line="276" w:lineRule="auto"/>
              <w:jc w:val="right"/>
              <w:rPr>
                <w:rFonts w:cs="Arial"/>
                <w:szCs w:val="24"/>
              </w:rPr>
            </w:pPr>
            <w:r w:rsidRPr="00D948C1">
              <w:rPr>
                <w:rFonts w:cs="Arial"/>
                <w:szCs w:val="24"/>
              </w:rPr>
              <w:t>12,879</w:t>
            </w:r>
          </w:p>
        </w:tc>
        <w:tc>
          <w:tcPr>
            <w:tcW w:w="402" w:type="pct"/>
            <w:shd w:val="clear" w:color="auto" w:fill="auto"/>
            <w:vAlign w:val="center"/>
          </w:tcPr>
          <w:p w14:paraId="58E28A61" w14:textId="48F03091"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05E37E30" w14:textId="0129A811"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036CADD7" w14:textId="37E5EAE6"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7B55BFA2" w14:textId="38821C66" w:rsidR="001824D9" w:rsidRPr="00D948C1" w:rsidRDefault="001824D9" w:rsidP="006C0086">
            <w:pPr>
              <w:spacing w:line="276" w:lineRule="auto"/>
              <w:jc w:val="right"/>
              <w:rPr>
                <w:rFonts w:cs="Arial"/>
                <w:szCs w:val="24"/>
              </w:rPr>
            </w:pPr>
            <w:r w:rsidRPr="00D948C1">
              <w:rPr>
                <w:rFonts w:cs="Arial"/>
                <w:szCs w:val="24"/>
              </w:rPr>
              <w:t>12,879</w:t>
            </w:r>
          </w:p>
        </w:tc>
        <w:tc>
          <w:tcPr>
            <w:tcW w:w="408" w:type="pct"/>
            <w:shd w:val="clear" w:color="auto" w:fill="auto"/>
            <w:vAlign w:val="center"/>
          </w:tcPr>
          <w:p w14:paraId="23A5A257" w14:textId="716742F3" w:rsidR="001824D9" w:rsidRPr="00D948C1" w:rsidRDefault="001824D9" w:rsidP="006C0086">
            <w:pPr>
              <w:spacing w:line="276" w:lineRule="auto"/>
              <w:jc w:val="right"/>
              <w:rPr>
                <w:rFonts w:cs="Arial"/>
                <w:szCs w:val="24"/>
              </w:rPr>
            </w:pPr>
            <w:r w:rsidRPr="00D948C1">
              <w:rPr>
                <w:rFonts w:cs="Arial"/>
                <w:szCs w:val="24"/>
              </w:rPr>
              <w:t>(12,879)</w:t>
            </w:r>
          </w:p>
        </w:tc>
        <w:tc>
          <w:tcPr>
            <w:tcW w:w="409" w:type="pct"/>
            <w:shd w:val="clear" w:color="auto" w:fill="auto"/>
            <w:vAlign w:val="center"/>
          </w:tcPr>
          <w:p w14:paraId="24519A15" w14:textId="51F83E55"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167D8679" w14:textId="77777777" w:rsidTr="00204397">
        <w:trPr>
          <w:trHeight w:val="287"/>
        </w:trPr>
        <w:tc>
          <w:tcPr>
            <w:tcW w:w="1325" w:type="pct"/>
            <w:shd w:val="clear" w:color="auto" w:fill="auto"/>
            <w:vAlign w:val="center"/>
          </w:tcPr>
          <w:p w14:paraId="731A38FC" w14:textId="765EB9F7" w:rsidR="001824D9" w:rsidRPr="00D948C1" w:rsidRDefault="001824D9" w:rsidP="006C0086">
            <w:pPr>
              <w:spacing w:line="276" w:lineRule="auto"/>
              <w:rPr>
                <w:rFonts w:cs="Arial"/>
                <w:szCs w:val="24"/>
              </w:rPr>
            </w:pPr>
            <w:r w:rsidRPr="00D948C1">
              <w:rPr>
                <w:rFonts w:cs="Arial"/>
                <w:szCs w:val="24"/>
              </w:rPr>
              <w:lastRenderedPageBreak/>
              <w:t>Amount by which the Code and the statutory collection fund income differ</w:t>
            </w:r>
          </w:p>
        </w:tc>
        <w:tc>
          <w:tcPr>
            <w:tcW w:w="398" w:type="pct"/>
            <w:shd w:val="clear" w:color="auto" w:fill="auto"/>
            <w:vAlign w:val="center"/>
          </w:tcPr>
          <w:p w14:paraId="50091F1F" w14:textId="4EC1FA92" w:rsidR="001824D9" w:rsidRPr="00D948C1" w:rsidRDefault="001824D9" w:rsidP="006C0086">
            <w:pPr>
              <w:spacing w:line="276" w:lineRule="auto"/>
              <w:jc w:val="right"/>
              <w:rPr>
                <w:rFonts w:cs="Arial"/>
                <w:szCs w:val="24"/>
              </w:rPr>
            </w:pPr>
            <w:r w:rsidRPr="00D948C1">
              <w:rPr>
                <w:rFonts w:cs="Arial"/>
                <w:szCs w:val="24"/>
              </w:rPr>
              <w:t>(983)</w:t>
            </w:r>
          </w:p>
        </w:tc>
        <w:tc>
          <w:tcPr>
            <w:tcW w:w="456" w:type="pct"/>
            <w:shd w:val="clear" w:color="auto" w:fill="auto"/>
            <w:vAlign w:val="center"/>
          </w:tcPr>
          <w:p w14:paraId="08FBC09B" w14:textId="31417A29"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3D18B3B4" w14:textId="4A301CA3" w:rsidR="001824D9" w:rsidRPr="00D948C1" w:rsidRDefault="001824D9" w:rsidP="006C0086">
            <w:pPr>
              <w:spacing w:line="276" w:lineRule="auto"/>
              <w:jc w:val="right"/>
              <w:rPr>
                <w:rFonts w:cs="Arial"/>
                <w:szCs w:val="24"/>
              </w:rPr>
            </w:pPr>
            <w:r w:rsidRPr="00D948C1">
              <w:rPr>
                <w:rFonts w:cs="Arial"/>
                <w:szCs w:val="24"/>
              </w:rPr>
              <w:t>(983)</w:t>
            </w:r>
          </w:p>
        </w:tc>
        <w:tc>
          <w:tcPr>
            <w:tcW w:w="402" w:type="pct"/>
            <w:shd w:val="clear" w:color="auto" w:fill="auto"/>
            <w:vAlign w:val="center"/>
          </w:tcPr>
          <w:p w14:paraId="77B2DF79" w14:textId="2AF1569A"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2434120E" w14:textId="57193574"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7CA5688B" w14:textId="7DE6A351"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70A884F2" w14:textId="68A9C97B" w:rsidR="001824D9" w:rsidRPr="00D948C1" w:rsidRDefault="001824D9" w:rsidP="006C0086">
            <w:pPr>
              <w:spacing w:line="276" w:lineRule="auto"/>
              <w:jc w:val="right"/>
              <w:rPr>
                <w:rFonts w:cs="Arial"/>
                <w:szCs w:val="24"/>
              </w:rPr>
            </w:pPr>
            <w:r w:rsidRPr="00D948C1">
              <w:rPr>
                <w:rFonts w:cs="Arial"/>
                <w:szCs w:val="24"/>
              </w:rPr>
              <w:t>(983)</w:t>
            </w:r>
          </w:p>
        </w:tc>
        <w:tc>
          <w:tcPr>
            <w:tcW w:w="408" w:type="pct"/>
            <w:shd w:val="clear" w:color="auto" w:fill="auto"/>
            <w:vAlign w:val="center"/>
          </w:tcPr>
          <w:p w14:paraId="0C0119D9" w14:textId="187FF83E" w:rsidR="001824D9" w:rsidRPr="00D948C1" w:rsidRDefault="001824D9" w:rsidP="006C0086">
            <w:pPr>
              <w:spacing w:line="276" w:lineRule="auto"/>
              <w:jc w:val="right"/>
              <w:rPr>
                <w:rFonts w:cs="Arial"/>
                <w:szCs w:val="24"/>
              </w:rPr>
            </w:pPr>
            <w:r w:rsidRPr="00D948C1">
              <w:rPr>
                <w:rFonts w:cs="Arial"/>
                <w:szCs w:val="24"/>
              </w:rPr>
              <w:t>983</w:t>
            </w:r>
          </w:p>
        </w:tc>
        <w:tc>
          <w:tcPr>
            <w:tcW w:w="409" w:type="pct"/>
            <w:shd w:val="clear" w:color="auto" w:fill="auto"/>
            <w:vAlign w:val="center"/>
          </w:tcPr>
          <w:p w14:paraId="21495CE5" w14:textId="74C5AA5E"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775CF92F" w14:textId="77777777" w:rsidTr="00204397">
        <w:trPr>
          <w:trHeight w:val="269"/>
        </w:trPr>
        <w:tc>
          <w:tcPr>
            <w:tcW w:w="1325" w:type="pct"/>
            <w:shd w:val="clear" w:color="auto" w:fill="auto"/>
            <w:vAlign w:val="center"/>
          </w:tcPr>
          <w:p w14:paraId="689C9C28" w14:textId="6A85904C" w:rsidR="001824D9" w:rsidRPr="00D948C1" w:rsidRDefault="001824D9" w:rsidP="006C0086">
            <w:pPr>
              <w:spacing w:line="276" w:lineRule="auto"/>
              <w:rPr>
                <w:rFonts w:cs="Arial"/>
                <w:b/>
                <w:bCs/>
                <w:szCs w:val="24"/>
              </w:rPr>
            </w:pPr>
            <w:r w:rsidRPr="00D948C1">
              <w:rPr>
                <w:rFonts w:cs="Arial"/>
                <w:b/>
                <w:bCs/>
                <w:szCs w:val="24"/>
              </w:rPr>
              <w:t>Adjustments total</w:t>
            </w:r>
          </w:p>
        </w:tc>
        <w:tc>
          <w:tcPr>
            <w:tcW w:w="398" w:type="pct"/>
            <w:shd w:val="clear" w:color="auto" w:fill="auto"/>
            <w:vAlign w:val="center"/>
          </w:tcPr>
          <w:p w14:paraId="5B1FA051" w14:textId="3E6F752D" w:rsidR="001824D9" w:rsidRPr="00D948C1" w:rsidRDefault="001824D9" w:rsidP="006C0086">
            <w:pPr>
              <w:spacing w:line="276" w:lineRule="auto"/>
              <w:jc w:val="right"/>
              <w:rPr>
                <w:rFonts w:cs="Arial"/>
                <w:b/>
                <w:bCs/>
                <w:szCs w:val="24"/>
              </w:rPr>
            </w:pPr>
            <w:r w:rsidRPr="00D948C1">
              <w:rPr>
                <w:rFonts w:cs="Arial"/>
                <w:b/>
                <w:bCs/>
                <w:szCs w:val="24"/>
              </w:rPr>
              <w:t>13,095</w:t>
            </w:r>
          </w:p>
        </w:tc>
        <w:tc>
          <w:tcPr>
            <w:tcW w:w="456" w:type="pct"/>
            <w:shd w:val="clear" w:color="auto" w:fill="auto"/>
            <w:vAlign w:val="center"/>
          </w:tcPr>
          <w:p w14:paraId="675631F1" w14:textId="73FF3419" w:rsidR="001824D9" w:rsidRPr="00D948C1" w:rsidRDefault="001824D9" w:rsidP="006C0086">
            <w:pPr>
              <w:spacing w:line="276" w:lineRule="auto"/>
              <w:jc w:val="right"/>
              <w:rPr>
                <w:rFonts w:cs="Arial"/>
                <w:b/>
                <w:bCs/>
                <w:szCs w:val="24"/>
              </w:rPr>
            </w:pPr>
            <w:r w:rsidRPr="00D948C1">
              <w:rPr>
                <w:rFonts w:cs="Arial"/>
                <w:b/>
                <w:bCs/>
                <w:szCs w:val="24"/>
              </w:rPr>
              <w:t>-</w:t>
            </w:r>
          </w:p>
        </w:tc>
        <w:tc>
          <w:tcPr>
            <w:tcW w:w="397" w:type="pct"/>
            <w:vAlign w:val="center"/>
          </w:tcPr>
          <w:p w14:paraId="70C6E7AE" w14:textId="3353EFD3" w:rsidR="001824D9" w:rsidRPr="00D948C1" w:rsidRDefault="001824D9" w:rsidP="006C0086">
            <w:pPr>
              <w:spacing w:line="276" w:lineRule="auto"/>
              <w:jc w:val="right"/>
              <w:rPr>
                <w:rFonts w:cs="Arial"/>
                <w:b/>
                <w:bCs/>
                <w:szCs w:val="24"/>
              </w:rPr>
            </w:pPr>
            <w:r w:rsidRPr="00D948C1">
              <w:rPr>
                <w:rFonts w:cs="Arial"/>
                <w:b/>
                <w:bCs/>
                <w:szCs w:val="24"/>
              </w:rPr>
              <w:t>13,095</w:t>
            </w:r>
          </w:p>
        </w:tc>
        <w:tc>
          <w:tcPr>
            <w:tcW w:w="402" w:type="pct"/>
            <w:shd w:val="clear" w:color="auto" w:fill="auto"/>
            <w:vAlign w:val="center"/>
          </w:tcPr>
          <w:p w14:paraId="19B2E517" w14:textId="2837A08B" w:rsidR="001824D9" w:rsidRPr="00D948C1" w:rsidRDefault="001824D9" w:rsidP="006C0086">
            <w:pPr>
              <w:spacing w:line="276" w:lineRule="auto"/>
              <w:jc w:val="right"/>
              <w:rPr>
                <w:rFonts w:cs="Arial"/>
                <w:b/>
                <w:bCs/>
                <w:szCs w:val="24"/>
              </w:rPr>
            </w:pPr>
            <w:r w:rsidRPr="00D948C1">
              <w:rPr>
                <w:rFonts w:cs="Arial"/>
                <w:b/>
                <w:bCs/>
                <w:szCs w:val="24"/>
              </w:rPr>
              <w:t>-</w:t>
            </w:r>
          </w:p>
        </w:tc>
        <w:tc>
          <w:tcPr>
            <w:tcW w:w="412" w:type="pct"/>
            <w:vAlign w:val="center"/>
          </w:tcPr>
          <w:p w14:paraId="7F0B65F7" w14:textId="7938FEF5" w:rsidR="001824D9" w:rsidRPr="00D948C1" w:rsidRDefault="001824D9" w:rsidP="006C0086">
            <w:pPr>
              <w:spacing w:line="276" w:lineRule="auto"/>
              <w:jc w:val="right"/>
              <w:rPr>
                <w:rFonts w:cs="Arial"/>
                <w:b/>
                <w:bCs/>
                <w:szCs w:val="24"/>
              </w:rPr>
            </w:pPr>
            <w:r w:rsidRPr="00D948C1">
              <w:rPr>
                <w:rFonts w:cs="Arial"/>
                <w:b/>
                <w:bCs/>
                <w:szCs w:val="24"/>
              </w:rPr>
              <w:t>(42)</w:t>
            </w:r>
          </w:p>
        </w:tc>
        <w:tc>
          <w:tcPr>
            <w:tcW w:w="396" w:type="pct"/>
            <w:shd w:val="clear" w:color="auto" w:fill="auto"/>
            <w:vAlign w:val="center"/>
          </w:tcPr>
          <w:p w14:paraId="7353A0ED" w14:textId="1E82C3CD" w:rsidR="001824D9" w:rsidRPr="00D948C1" w:rsidRDefault="001824D9" w:rsidP="006C0086">
            <w:pPr>
              <w:spacing w:line="276" w:lineRule="auto"/>
              <w:jc w:val="right"/>
              <w:rPr>
                <w:rFonts w:cs="Arial"/>
                <w:b/>
                <w:bCs/>
                <w:szCs w:val="24"/>
              </w:rPr>
            </w:pPr>
            <w:r w:rsidRPr="00D948C1">
              <w:rPr>
                <w:rFonts w:cs="Arial"/>
                <w:b/>
                <w:bCs/>
                <w:szCs w:val="24"/>
              </w:rPr>
              <w:t>9</w:t>
            </w:r>
          </w:p>
        </w:tc>
        <w:tc>
          <w:tcPr>
            <w:tcW w:w="397" w:type="pct"/>
            <w:shd w:val="clear" w:color="auto" w:fill="auto"/>
            <w:vAlign w:val="center"/>
          </w:tcPr>
          <w:p w14:paraId="6A518906" w14:textId="671C5A37" w:rsidR="001824D9" w:rsidRPr="00D948C1" w:rsidRDefault="001824D9" w:rsidP="006C0086">
            <w:pPr>
              <w:spacing w:line="276" w:lineRule="auto"/>
              <w:jc w:val="right"/>
              <w:rPr>
                <w:rFonts w:cs="Arial"/>
                <w:b/>
                <w:bCs/>
                <w:szCs w:val="24"/>
              </w:rPr>
            </w:pPr>
            <w:r w:rsidRPr="00D948C1">
              <w:rPr>
                <w:rFonts w:cs="Arial"/>
                <w:b/>
                <w:bCs/>
                <w:szCs w:val="24"/>
              </w:rPr>
              <w:t>13,062</w:t>
            </w:r>
          </w:p>
        </w:tc>
        <w:tc>
          <w:tcPr>
            <w:tcW w:w="408" w:type="pct"/>
            <w:shd w:val="clear" w:color="auto" w:fill="auto"/>
            <w:vAlign w:val="center"/>
          </w:tcPr>
          <w:p w14:paraId="55029ECB" w14:textId="20050BA8" w:rsidR="001824D9" w:rsidRPr="00D948C1" w:rsidRDefault="001824D9" w:rsidP="006C0086">
            <w:pPr>
              <w:spacing w:line="276" w:lineRule="auto"/>
              <w:jc w:val="right"/>
              <w:rPr>
                <w:rFonts w:cs="Arial"/>
                <w:b/>
                <w:bCs/>
                <w:szCs w:val="24"/>
              </w:rPr>
            </w:pPr>
            <w:r w:rsidRPr="00D948C1">
              <w:rPr>
                <w:rFonts w:cs="Arial"/>
                <w:b/>
                <w:bCs/>
                <w:szCs w:val="24"/>
              </w:rPr>
              <w:t>(13,062)</w:t>
            </w:r>
          </w:p>
        </w:tc>
        <w:tc>
          <w:tcPr>
            <w:tcW w:w="409" w:type="pct"/>
            <w:shd w:val="clear" w:color="auto" w:fill="auto"/>
            <w:vAlign w:val="center"/>
          </w:tcPr>
          <w:p w14:paraId="6092B600" w14:textId="2D05C40F" w:rsidR="001824D9" w:rsidRPr="00D948C1" w:rsidRDefault="001824D9" w:rsidP="006C0086">
            <w:pPr>
              <w:spacing w:line="276" w:lineRule="auto"/>
              <w:jc w:val="right"/>
              <w:rPr>
                <w:rFonts w:cs="Arial"/>
                <w:b/>
                <w:bCs/>
                <w:szCs w:val="24"/>
              </w:rPr>
            </w:pPr>
            <w:r w:rsidRPr="00D948C1">
              <w:rPr>
                <w:rFonts w:cs="Arial"/>
                <w:b/>
                <w:bCs/>
                <w:szCs w:val="24"/>
              </w:rPr>
              <w:t>-</w:t>
            </w:r>
          </w:p>
        </w:tc>
      </w:tr>
      <w:tr w:rsidR="00FA18E2" w:rsidRPr="00D948C1" w14:paraId="18F549B5" w14:textId="77777777" w:rsidTr="00611673">
        <w:trPr>
          <w:trHeight w:val="243"/>
        </w:trPr>
        <w:tc>
          <w:tcPr>
            <w:tcW w:w="1325" w:type="pct"/>
            <w:shd w:val="clear" w:color="auto" w:fill="BD2716"/>
          </w:tcPr>
          <w:p w14:paraId="07570DB5" w14:textId="77777777" w:rsidR="00FA18E2" w:rsidRPr="00D948C1" w:rsidRDefault="00FA18E2" w:rsidP="006C0086">
            <w:pPr>
              <w:spacing w:line="276" w:lineRule="auto"/>
              <w:rPr>
                <w:rFonts w:cs="Arial"/>
                <w:b/>
                <w:bCs/>
                <w:color w:val="FFFFFF" w:themeColor="background1"/>
                <w:szCs w:val="24"/>
              </w:rPr>
            </w:pPr>
          </w:p>
        </w:tc>
        <w:tc>
          <w:tcPr>
            <w:tcW w:w="398" w:type="pct"/>
            <w:shd w:val="clear" w:color="auto" w:fill="BD2716"/>
            <w:vAlign w:val="center"/>
          </w:tcPr>
          <w:p w14:paraId="15AD7F5D"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General fund</w:t>
            </w:r>
          </w:p>
          <w:p w14:paraId="31B59034" w14:textId="3BFBE116"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456" w:type="pct"/>
            <w:shd w:val="clear" w:color="auto" w:fill="BD2716"/>
            <w:vAlign w:val="center"/>
          </w:tcPr>
          <w:p w14:paraId="48F6DBB6"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Earmarked reserves</w:t>
            </w:r>
          </w:p>
          <w:p w14:paraId="1D69DE41" w14:textId="4157C356"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5EED9B7F"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Total General Fund Balance</w:t>
            </w:r>
          </w:p>
          <w:p w14:paraId="01802268" w14:textId="5C734E7F"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402" w:type="pct"/>
            <w:shd w:val="clear" w:color="auto" w:fill="BD2716"/>
            <w:vAlign w:val="center"/>
          </w:tcPr>
          <w:p w14:paraId="4E97458A"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Capital funding reserve</w:t>
            </w:r>
          </w:p>
          <w:p w14:paraId="2BB4AB80" w14:textId="1C538C16"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412" w:type="pct"/>
            <w:shd w:val="clear" w:color="auto" w:fill="BD2716"/>
            <w:vAlign w:val="center"/>
          </w:tcPr>
          <w:p w14:paraId="4C31F05F"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Capital grant unapplied reserve</w:t>
            </w:r>
          </w:p>
          <w:p w14:paraId="4D241E6C" w14:textId="32DF582F"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396" w:type="pct"/>
            <w:shd w:val="clear" w:color="auto" w:fill="BD2716"/>
            <w:vAlign w:val="center"/>
          </w:tcPr>
          <w:p w14:paraId="3D46DD97"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Capital receipts reserve</w:t>
            </w:r>
          </w:p>
          <w:p w14:paraId="7DB0012A" w14:textId="62AFAD84"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397" w:type="pct"/>
            <w:shd w:val="clear" w:color="auto" w:fill="BD2716"/>
            <w:vAlign w:val="center"/>
          </w:tcPr>
          <w:p w14:paraId="08A07B9F"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Total usable reserves</w:t>
            </w:r>
          </w:p>
          <w:p w14:paraId="6429AE61" w14:textId="0FB32E00"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408" w:type="pct"/>
            <w:shd w:val="clear" w:color="auto" w:fill="BD2716"/>
            <w:vAlign w:val="center"/>
          </w:tcPr>
          <w:p w14:paraId="67F8620E"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Unusable reserves</w:t>
            </w:r>
          </w:p>
          <w:p w14:paraId="2E139E79" w14:textId="372B5337"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c>
          <w:tcPr>
            <w:tcW w:w="409" w:type="pct"/>
            <w:shd w:val="clear" w:color="auto" w:fill="BD2716"/>
            <w:vAlign w:val="center"/>
          </w:tcPr>
          <w:p w14:paraId="4C897C7D" w14:textId="77777777" w:rsidR="00FA18E2" w:rsidRPr="00D948C1" w:rsidRDefault="00FA18E2" w:rsidP="006C0086">
            <w:pPr>
              <w:spacing w:line="276" w:lineRule="auto"/>
              <w:jc w:val="right"/>
              <w:rPr>
                <w:rFonts w:cs="Arial"/>
                <w:color w:val="FFFFFF" w:themeColor="background1"/>
                <w:szCs w:val="24"/>
              </w:rPr>
            </w:pPr>
            <w:r w:rsidRPr="00D948C1">
              <w:rPr>
                <w:rFonts w:cs="Arial"/>
                <w:color w:val="FFFFFF" w:themeColor="background1"/>
                <w:szCs w:val="24"/>
              </w:rPr>
              <w:t>Total Authority reserves</w:t>
            </w:r>
          </w:p>
          <w:p w14:paraId="41B35CA0" w14:textId="517996E9" w:rsidR="00FA18E2" w:rsidRPr="00D948C1" w:rsidRDefault="00FA18E2" w:rsidP="006C0086">
            <w:pPr>
              <w:spacing w:line="276" w:lineRule="auto"/>
              <w:jc w:val="right"/>
              <w:rPr>
                <w:rFonts w:cs="Arial"/>
                <w:b/>
                <w:bCs/>
                <w:color w:val="FFFFFF" w:themeColor="background1"/>
                <w:szCs w:val="24"/>
              </w:rPr>
            </w:pPr>
            <w:r w:rsidRPr="00D948C1">
              <w:rPr>
                <w:rFonts w:cs="Arial"/>
                <w:color w:val="FFFFFF" w:themeColor="background1"/>
                <w:szCs w:val="24"/>
              </w:rPr>
              <w:t>£000</w:t>
            </w:r>
          </w:p>
        </w:tc>
      </w:tr>
      <w:tr w:rsidR="001824D9" w:rsidRPr="00D948C1" w14:paraId="2E91ED86" w14:textId="77777777" w:rsidTr="00233A66">
        <w:trPr>
          <w:trHeight w:val="243"/>
        </w:trPr>
        <w:tc>
          <w:tcPr>
            <w:tcW w:w="1325" w:type="pct"/>
            <w:shd w:val="clear" w:color="auto" w:fill="auto"/>
          </w:tcPr>
          <w:p w14:paraId="44D08273" w14:textId="77777777" w:rsidR="001824D9" w:rsidRPr="00D948C1" w:rsidRDefault="001824D9" w:rsidP="006C0086">
            <w:pPr>
              <w:spacing w:line="276" w:lineRule="auto"/>
              <w:rPr>
                <w:rFonts w:cs="Arial"/>
                <w:b/>
                <w:bCs/>
                <w:szCs w:val="24"/>
              </w:rPr>
            </w:pPr>
            <w:r w:rsidRPr="00D948C1">
              <w:rPr>
                <w:rFonts w:cs="Arial"/>
                <w:b/>
                <w:bCs/>
                <w:szCs w:val="24"/>
              </w:rPr>
              <w:t>Net increase/decrease before transfers to earmarked reserves</w:t>
            </w:r>
          </w:p>
        </w:tc>
        <w:tc>
          <w:tcPr>
            <w:tcW w:w="398" w:type="pct"/>
            <w:shd w:val="clear" w:color="auto" w:fill="auto"/>
            <w:vAlign w:val="center"/>
          </w:tcPr>
          <w:p w14:paraId="0E2951B8" w14:textId="74C238AD" w:rsidR="001824D9" w:rsidRPr="00D948C1" w:rsidRDefault="001824D9" w:rsidP="006C0086">
            <w:pPr>
              <w:spacing w:line="276" w:lineRule="auto"/>
              <w:jc w:val="right"/>
              <w:rPr>
                <w:rFonts w:cs="Arial"/>
                <w:b/>
                <w:bCs/>
                <w:szCs w:val="24"/>
              </w:rPr>
            </w:pPr>
            <w:r w:rsidRPr="00D948C1">
              <w:rPr>
                <w:rFonts w:cs="Arial"/>
                <w:b/>
                <w:bCs/>
                <w:szCs w:val="24"/>
              </w:rPr>
              <w:t>(2,252)</w:t>
            </w:r>
          </w:p>
        </w:tc>
        <w:tc>
          <w:tcPr>
            <w:tcW w:w="456" w:type="pct"/>
            <w:shd w:val="clear" w:color="auto" w:fill="auto"/>
            <w:vAlign w:val="center"/>
          </w:tcPr>
          <w:p w14:paraId="6230AE73" w14:textId="12F8465C" w:rsidR="001824D9" w:rsidRPr="00D948C1" w:rsidRDefault="001824D9" w:rsidP="006C0086">
            <w:pPr>
              <w:spacing w:line="276" w:lineRule="auto"/>
              <w:jc w:val="right"/>
              <w:rPr>
                <w:rFonts w:cs="Arial"/>
                <w:b/>
                <w:bCs/>
                <w:szCs w:val="24"/>
              </w:rPr>
            </w:pPr>
            <w:r w:rsidRPr="00D948C1">
              <w:rPr>
                <w:rFonts w:cs="Arial"/>
                <w:b/>
                <w:bCs/>
                <w:szCs w:val="24"/>
              </w:rPr>
              <w:t>-</w:t>
            </w:r>
          </w:p>
        </w:tc>
        <w:tc>
          <w:tcPr>
            <w:tcW w:w="397" w:type="pct"/>
            <w:vAlign w:val="center"/>
          </w:tcPr>
          <w:p w14:paraId="00A14ADF" w14:textId="4B88BA19" w:rsidR="001824D9" w:rsidRPr="00D948C1" w:rsidRDefault="001824D9" w:rsidP="006C0086">
            <w:pPr>
              <w:spacing w:line="276" w:lineRule="auto"/>
              <w:jc w:val="right"/>
              <w:rPr>
                <w:rFonts w:cs="Arial"/>
                <w:b/>
                <w:bCs/>
                <w:szCs w:val="24"/>
              </w:rPr>
            </w:pPr>
            <w:r w:rsidRPr="00D948C1">
              <w:rPr>
                <w:rFonts w:cs="Arial"/>
                <w:b/>
                <w:bCs/>
                <w:szCs w:val="24"/>
              </w:rPr>
              <w:t>(2,252)</w:t>
            </w:r>
          </w:p>
        </w:tc>
        <w:tc>
          <w:tcPr>
            <w:tcW w:w="402" w:type="pct"/>
            <w:shd w:val="clear" w:color="auto" w:fill="auto"/>
            <w:vAlign w:val="center"/>
          </w:tcPr>
          <w:p w14:paraId="46C1FF5D" w14:textId="6E6A7AC6" w:rsidR="001824D9" w:rsidRPr="00D948C1" w:rsidRDefault="001824D9" w:rsidP="006C0086">
            <w:pPr>
              <w:spacing w:line="276" w:lineRule="auto"/>
              <w:jc w:val="right"/>
              <w:rPr>
                <w:rFonts w:cs="Arial"/>
                <w:b/>
                <w:bCs/>
                <w:szCs w:val="24"/>
              </w:rPr>
            </w:pPr>
            <w:r w:rsidRPr="00D948C1">
              <w:rPr>
                <w:rFonts w:cs="Arial"/>
                <w:b/>
                <w:bCs/>
                <w:szCs w:val="24"/>
              </w:rPr>
              <w:t>-</w:t>
            </w:r>
          </w:p>
        </w:tc>
        <w:tc>
          <w:tcPr>
            <w:tcW w:w="412" w:type="pct"/>
            <w:vAlign w:val="center"/>
          </w:tcPr>
          <w:p w14:paraId="1B6E6F07" w14:textId="1E1D45B2" w:rsidR="001824D9" w:rsidRPr="00D948C1" w:rsidRDefault="001824D9" w:rsidP="006C0086">
            <w:pPr>
              <w:spacing w:line="276" w:lineRule="auto"/>
              <w:jc w:val="right"/>
              <w:rPr>
                <w:rFonts w:cs="Arial"/>
                <w:b/>
                <w:bCs/>
                <w:szCs w:val="24"/>
              </w:rPr>
            </w:pPr>
            <w:r w:rsidRPr="00D948C1">
              <w:rPr>
                <w:rFonts w:cs="Arial"/>
                <w:b/>
                <w:bCs/>
                <w:szCs w:val="24"/>
              </w:rPr>
              <w:t>(42)</w:t>
            </w:r>
          </w:p>
        </w:tc>
        <w:tc>
          <w:tcPr>
            <w:tcW w:w="396" w:type="pct"/>
            <w:shd w:val="clear" w:color="auto" w:fill="auto"/>
            <w:vAlign w:val="center"/>
          </w:tcPr>
          <w:p w14:paraId="76A60F1F" w14:textId="0FD0BE1F" w:rsidR="001824D9" w:rsidRPr="00D948C1" w:rsidRDefault="001824D9" w:rsidP="006C0086">
            <w:pPr>
              <w:spacing w:line="276" w:lineRule="auto"/>
              <w:jc w:val="right"/>
              <w:rPr>
                <w:rFonts w:cs="Arial"/>
                <w:b/>
                <w:bCs/>
                <w:szCs w:val="24"/>
              </w:rPr>
            </w:pPr>
            <w:r w:rsidRPr="00D948C1">
              <w:rPr>
                <w:rFonts w:cs="Arial"/>
                <w:b/>
                <w:bCs/>
                <w:szCs w:val="24"/>
              </w:rPr>
              <w:t>9</w:t>
            </w:r>
          </w:p>
        </w:tc>
        <w:tc>
          <w:tcPr>
            <w:tcW w:w="397" w:type="pct"/>
            <w:shd w:val="clear" w:color="auto" w:fill="auto"/>
            <w:vAlign w:val="center"/>
          </w:tcPr>
          <w:p w14:paraId="5B9EFF36" w14:textId="4B21BC4F" w:rsidR="001824D9" w:rsidRPr="00D948C1" w:rsidRDefault="001824D9" w:rsidP="006C0086">
            <w:pPr>
              <w:spacing w:line="276" w:lineRule="auto"/>
              <w:jc w:val="right"/>
              <w:rPr>
                <w:rFonts w:cs="Arial"/>
                <w:b/>
                <w:bCs/>
                <w:szCs w:val="24"/>
              </w:rPr>
            </w:pPr>
            <w:r w:rsidRPr="00D948C1">
              <w:rPr>
                <w:rFonts w:cs="Arial"/>
                <w:b/>
                <w:bCs/>
                <w:szCs w:val="24"/>
              </w:rPr>
              <w:t>(2,285)</w:t>
            </w:r>
          </w:p>
        </w:tc>
        <w:tc>
          <w:tcPr>
            <w:tcW w:w="408" w:type="pct"/>
            <w:shd w:val="clear" w:color="auto" w:fill="auto"/>
            <w:vAlign w:val="center"/>
          </w:tcPr>
          <w:p w14:paraId="7DB1AAA2" w14:textId="460C311B" w:rsidR="001824D9" w:rsidRPr="00D948C1" w:rsidRDefault="001824D9" w:rsidP="006C0086">
            <w:pPr>
              <w:spacing w:line="276" w:lineRule="auto"/>
              <w:jc w:val="right"/>
              <w:rPr>
                <w:rFonts w:cs="Arial"/>
                <w:b/>
                <w:bCs/>
                <w:szCs w:val="24"/>
              </w:rPr>
            </w:pPr>
            <w:r w:rsidRPr="00D948C1">
              <w:rPr>
                <w:rFonts w:cs="Arial"/>
                <w:b/>
                <w:bCs/>
                <w:szCs w:val="24"/>
              </w:rPr>
              <w:t>253,450</w:t>
            </w:r>
          </w:p>
        </w:tc>
        <w:tc>
          <w:tcPr>
            <w:tcW w:w="409" w:type="pct"/>
            <w:shd w:val="clear" w:color="auto" w:fill="auto"/>
            <w:vAlign w:val="center"/>
          </w:tcPr>
          <w:p w14:paraId="23EBF7E6" w14:textId="034821FC" w:rsidR="001824D9" w:rsidRPr="00D948C1" w:rsidRDefault="001824D9" w:rsidP="006C0086">
            <w:pPr>
              <w:spacing w:line="276" w:lineRule="auto"/>
              <w:jc w:val="right"/>
              <w:rPr>
                <w:rFonts w:cs="Arial"/>
                <w:b/>
                <w:bCs/>
                <w:szCs w:val="24"/>
              </w:rPr>
            </w:pPr>
            <w:r w:rsidRPr="00D948C1">
              <w:rPr>
                <w:rFonts w:cs="Arial"/>
                <w:b/>
                <w:bCs/>
                <w:szCs w:val="24"/>
              </w:rPr>
              <w:t>251,165</w:t>
            </w:r>
          </w:p>
        </w:tc>
      </w:tr>
      <w:tr w:rsidR="001824D9" w:rsidRPr="00D948C1" w14:paraId="4B0A7D01" w14:textId="77777777" w:rsidTr="00233A66">
        <w:tc>
          <w:tcPr>
            <w:tcW w:w="1325" w:type="pct"/>
            <w:shd w:val="clear" w:color="auto" w:fill="auto"/>
          </w:tcPr>
          <w:p w14:paraId="3967B4B8" w14:textId="77777777" w:rsidR="001824D9" w:rsidRPr="00D948C1" w:rsidRDefault="001824D9" w:rsidP="006C0086">
            <w:pPr>
              <w:spacing w:line="276" w:lineRule="auto"/>
              <w:rPr>
                <w:rFonts w:cs="Arial"/>
                <w:szCs w:val="24"/>
              </w:rPr>
            </w:pPr>
            <w:r w:rsidRPr="00D948C1">
              <w:rPr>
                <w:rFonts w:cs="Arial"/>
                <w:szCs w:val="24"/>
              </w:rPr>
              <w:t>Transfers (to)/from earmarked reserves</w:t>
            </w:r>
          </w:p>
        </w:tc>
        <w:tc>
          <w:tcPr>
            <w:tcW w:w="398" w:type="pct"/>
            <w:shd w:val="clear" w:color="auto" w:fill="auto"/>
            <w:vAlign w:val="center"/>
          </w:tcPr>
          <w:p w14:paraId="5A8CD4F4" w14:textId="6F536199" w:rsidR="001824D9" w:rsidRPr="00D948C1" w:rsidRDefault="001824D9" w:rsidP="006C0086">
            <w:pPr>
              <w:spacing w:line="276" w:lineRule="auto"/>
              <w:jc w:val="right"/>
              <w:rPr>
                <w:rFonts w:cs="Arial"/>
                <w:szCs w:val="24"/>
              </w:rPr>
            </w:pPr>
            <w:r w:rsidRPr="00D948C1">
              <w:rPr>
                <w:rFonts w:cs="Arial"/>
                <w:szCs w:val="24"/>
              </w:rPr>
              <w:t>484</w:t>
            </w:r>
          </w:p>
        </w:tc>
        <w:tc>
          <w:tcPr>
            <w:tcW w:w="456" w:type="pct"/>
            <w:shd w:val="clear" w:color="auto" w:fill="auto"/>
            <w:vAlign w:val="center"/>
          </w:tcPr>
          <w:p w14:paraId="67D273DF" w14:textId="213807B5" w:rsidR="001824D9" w:rsidRPr="00D948C1" w:rsidRDefault="001824D9" w:rsidP="006C0086">
            <w:pPr>
              <w:spacing w:line="276" w:lineRule="auto"/>
              <w:jc w:val="right"/>
              <w:rPr>
                <w:rFonts w:cs="Arial"/>
                <w:szCs w:val="24"/>
              </w:rPr>
            </w:pPr>
            <w:r w:rsidRPr="00D948C1">
              <w:rPr>
                <w:rFonts w:cs="Arial"/>
                <w:szCs w:val="24"/>
              </w:rPr>
              <w:t>(484)</w:t>
            </w:r>
          </w:p>
        </w:tc>
        <w:tc>
          <w:tcPr>
            <w:tcW w:w="397" w:type="pct"/>
            <w:vAlign w:val="center"/>
          </w:tcPr>
          <w:p w14:paraId="0FB42D0C" w14:textId="1112A08D" w:rsidR="001824D9" w:rsidRPr="00D948C1" w:rsidRDefault="001824D9" w:rsidP="006C0086">
            <w:pPr>
              <w:spacing w:line="276" w:lineRule="auto"/>
              <w:jc w:val="right"/>
              <w:rPr>
                <w:rFonts w:cs="Arial"/>
                <w:szCs w:val="24"/>
              </w:rPr>
            </w:pPr>
            <w:r w:rsidRPr="00D948C1">
              <w:rPr>
                <w:rFonts w:cs="Arial"/>
                <w:szCs w:val="24"/>
              </w:rPr>
              <w:t>-</w:t>
            </w:r>
          </w:p>
        </w:tc>
        <w:tc>
          <w:tcPr>
            <w:tcW w:w="402" w:type="pct"/>
            <w:shd w:val="clear" w:color="auto" w:fill="auto"/>
            <w:vAlign w:val="center"/>
          </w:tcPr>
          <w:p w14:paraId="0E30E294" w14:textId="12A600FD" w:rsidR="001824D9" w:rsidRPr="00D948C1" w:rsidRDefault="001824D9" w:rsidP="006C0086">
            <w:pPr>
              <w:spacing w:line="276" w:lineRule="auto"/>
              <w:jc w:val="right"/>
              <w:rPr>
                <w:rFonts w:cs="Arial"/>
                <w:szCs w:val="24"/>
              </w:rPr>
            </w:pPr>
          </w:p>
        </w:tc>
        <w:tc>
          <w:tcPr>
            <w:tcW w:w="412" w:type="pct"/>
            <w:vAlign w:val="center"/>
          </w:tcPr>
          <w:p w14:paraId="04710A9B" w14:textId="3572AA7D"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7FB090AE" w14:textId="162F125A"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33AB6224" w14:textId="7323770E" w:rsidR="001824D9" w:rsidRPr="00D948C1" w:rsidRDefault="001824D9" w:rsidP="006C0086">
            <w:pPr>
              <w:spacing w:line="276" w:lineRule="auto"/>
              <w:jc w:val="right"/>
              <w:rPr>
                <w:rFonts w:cs="Arial"/>
                <w:szCs w:val="24"/>
              </w:rPr>
            </w:pPr>
            <w:r w:rsidRPr="00D948C1">
              <w:rPr>
                <w:rFonts w:cs="Arial"/>
                <w:szCs w:val="24"/>
              </w:rPr>
              <w:t>-</w:t>
            </w:r>
          </w:p>
        </w:tc>
        <w:tc>
          <w:tcPr>
            <w:tcW w:w="408" w:type="pct"/>
            <w:shd w:val="clear" w:color="auto" w:fill="auto"/>
            <w:vAlign w:val="center"/>
          </w:tcPr>
          <w:p w14:paraId="50E0CD87" w14:textId="099EE7D9" w:rsidR="001824D9" w:rsidRPr="00D948C1" w:rsidRDefault="001824D9" w:rsidP="006C0086">
            <w:pPr>
              <w:spacing w:line="276" w:lineRule="auto"/>
              <w:jc w:val="right"/>
              <w:rPr>
                <w:rFonts w:cs="Arial"/>
                <w:szCs w:val="24"/>
              </w:rPr>
            </w:pPr>
            <w:r w:rsidRPr="00D948C1">
              <w:rPr>
                <w:rFonts w:cs="Arial"/>
                <w:szCs w:val="24"/>
              </w:rPr>
              <w:t>-</w:t>
            </w:r>
          </w:p>
        </w:tc>
        <w:tc>
          <w:tcPr>
            <w:tcW w:w="409" w:type="pct"/>
            <w:shd w:val="clear" w:color="auto" w:fill="auto"/>
            <w:vAlign w:val="center"/>
          </w:tcPr>
          <w:p w14:paraId="5B3994B3" w14:textId="66279642"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3BB46925" w14:textId="77777777" w:rsidTr="00233A66">
        <w:tc>
          <w:tcPr>
            <w:tcW w:w="1325" w:type="pct"/>
            <w:shd w:val="clear" w:color="auto" w:fill="auto"/>
          </w:tcPr>
          <w:p w14:paraId="6C6A715E" w14:textId="77777777" w:rsidR="001824D9" w:rsidRPr="00D948C1" w:rsidRDefault="001824D9" w:rsidP="006C0086">
            <w:pPr>
              <w:spacing w:line="276" w:lineRule="auto"/>
              <w:rPr>
                <w:rFonts w:cs="Arial"/>
                <w:szCs w:val="24"/>
              </w:rPr>
            </w:pPr>
            <w:r w:rsidRPr="00D948C1">
              <w:rPr>
                <w:rFonts w:cs="Arial"/>
                <w:szCs w:val="24"/>
              </w:rPr>
              <w:t>Transfers (to)/from capital funding reserve</w:t>
            </w:r>
          </w:p>
        </w:tc>
        <w:tc>
          <w:tcPr>
            <w:tcW w:w="398" w:type="pct"/>
            <w:shd w:val="clear" w:color="auto" w:fill="auto"/>
            <w:vAlign w:val="center"/>
          </w:tcPr>
          <w:p w14:paraId="4A8C1377" w14:textId="31123041" w:rsidR="001824D9" w:rsidRPr="00D948C1" w:rsidRDefault="001824D9" w:rsidP="006C0086">
            <w:pPr>
              <w:spacing w:line="276" w:lineRule="auto"/>
              <w:jc w:val="right"/>
              <w:rPr>
                <w:rFonts w:cs="Arial"/>
                <w:szCs w:val="24"/>
              </w:rPr>
            </w:pPr>
            <w:r w:rsidRPr="00D948C1">
              <w:rPr>
                <w:rFonts w:cs="Arial"/>
                <w:szCs w:val="24"/>
              </w:rPr>
              <w:t>-</w:t>
            </w:r>
          </w:p>
        </w:tc>
        <w:tc>
          <w:tcPr>
            <w:tcW w:w="456" w:type="pct"/>
            <w:shd w:val="clear" w:color="auto" w:fill="auto"/>
            <w:vAlign w:val="center"/>
          </w:tcPr>
          <w:p w14:paraId="7AD3A0DB" w14:textId="10C566B4"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23CEEF97" w14:textId="6086E47F" w:rsidR="001824D9" w:rsidRPr="00D948C1" w:rsidRDefault="001824D9" w:rsidP="006C0086">
            <w:pPr>
              <w:spacing w:line="276" w:lineRule="auto"/>
              <w:jc w:val="right"/>
              <w:rPr>
                <w:rFonts w:cs="Arial"/>
                <w:szCs w:val="24"/>
              </w:rPr>
            </w:pPr>
            <w:r w:rsidRPr="00D948C1">
              <w:rPr>
                <w:rFonts w:cs="Arial"/>
                <w:szCs w:val="24"/>
              </w:rPr>
              <w:t>-</w:t>
            </w:r>
          </w:p>
        </w:tc>
        <w:tc>
          <w:tcPr>
            <w:tcW w:w="402" w:type="pct"/>
            <w:shd w:val="clear" w:color="auto" w:fill="auto"/>
            <w:vAlign w:val="center"/>
          </w:tcPr>
          <w:p w14:paraId="54CA3B69" w14:textId="2EC027F7" w:rsidR="001824D9" w:rsidRPr="00D948C1" w:rsidRDefault="001824D9" w:rsidP="006C0086">
            <w:pPr>
              <w:spacing w:line="276" w:lineRule="auto"/>
              <w:jc w:val="right"/>
              <w:rPr>
                <w:rFonts w:cs="Arial"/>
                <w:szCs w:val="24"/>
              </w:rPr>
            </w:pPr>
            <w:r w:rsidRPr="00D948C1">
              <w:rPr>
                <w:rFonts w:cs="Arial"/>
                <w:szCs w:val="24"/>
              </w:rPr>
              <w:t>2,672</w:t>
            </w:r>
          </w:p>
        </w:tc>
        <w:tc>
          <w:tcPr>
            <w:tcW w:w="412" w:type="pct"/>
            <w:vAlign w:val="center"/>
          </w:tcPr>
          <w:p w14:paraId="6D5616E4" w14:textId="0C9DE763"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1AB90A50" w14:textId="61F0C294"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47CD5EAD" w14:textId="10C77F57" w:rsidR="001824D9" w:rsidRPr="00D948C1" w:rsidRDefault="001824D9" w:rsidP="006C0086">
            <w:pPr>
              <w:spacing w:line="276" w:lineRule="auto"/>
              <w:jc w:val="right"/>
              <w:rPr>
                <w:rFonts w:cs="Arial"/>
                <w:szCs w:val="24"/>
              </w:rPr>
            </w:pPr>
            <w:r w:rsidRPr="00D948C1">
              <w:rPr>
                <w:rFonts w:cs="Arial"/>
                <w:szCs w:val="24"/>
              </w:rPr>
              <w:t>2,672</w:t>
            </w:r>
          </w:p>
        </w:tc>
        <w:tc>
          <w:tcPr>
            <w:tcW w:w="408" w:type="pct"/>
            <w:shd w:val="clear" w:color="auto" w:fill="auto"/>
            <w:vAlign w:val="center"/>
          </w:tcPr>
          <w:p w14:paraId="2CB5F4DB" w14:textId="7E27BCEA" w:rsidR="001824D9" w:rsidRPr="00D948C1" w:rsidRDefault="001824D9" w:rsidP="006C0086">
            <w:pPr>
              <w:spacing w:line="276" w:lineRule="auto"/>
              <w:jc w:val="right"/>
              <w:rPr>
                <w:rFonts w:cs="Arial"/>
                <w:szCs w:val="24"/>
              </w:rPr>
            </w:pPr>
            <w:r w:rsidRPr="00D948C1">
              <w:rPr>
                <w:rFonts w:cs="Arial"/>
                <w:szCs w:val="24"/>
              </w:rPr>
              <w:t>(2,672)</w:t>
            </w:r>
          </w:p>
        </w:tc>
        <w:tc>
          <w:tcPr>
            <w:tcW w:w="409" w:type="pct"/>
            <w:shd w:val="clear" w:color="auto" w:fill="auto"/>
            <w:vAlign w:val="center"/>
          </w:tcPr>
          <w:p w14:paraId="5B7F3F83" w14:textId="457CED73"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624E3286" w14:textId="77777777" w:rsidTr="00233A66">
        <w:tc>
          <w:tcPr>
            <w:tcW w:w="1325" w:type="pct"/>
            <w:shd w:val="clear" w:color="auto" w:fill="auto"/>
          </w:tcPr>
          <w:p w14:paraId="13328124" w14:textId="77777777" w:rsidR="001824D9" w:rsidRPr="00D948C1" w:rsidRDefault="001824D9" w:rsidP="006C0086">
            <w:pPr>
              <w:spacing w:line="276" w:lineRule="auto"/>
              <w:rPr>
                <w:rFonts w:cs="Arial"/>
                <w:szCs w:val="24"/>
              </w:rPr>
            </w:pPr>
            <w:r w:rsidRPr="00D948C1">
              <w:rPr>
                <w:rFonts w:cs="Arial"/>
                <w:szCs w:val="24"/>
              </w:rPr>
              <w:t>Transfers (to)/from accumulated absences adjustment account</w:t>
            </w:r>
          </w:p>
        </w:tc>
        <w:tc>
          <w:tcPr>
            <w:tcW w:w="398" w:type="pct"/>
            <w:shd w:val="clear" w:color="auto" w:fill="auto"/>
            <w:vAlign w:val="center"/>
          </w:tcPr>
          <w:p w14:paraId="13910D9C" w14:textId="09C08F41" w:rsidR="001824D9" w:rsidRPr="00D948C1" w:rsidRDefault="001824D9" w:rsidP="006C0086">
            <w:pPr>
              <w:spacing w:line="276" w:lineRule="auto"/>
              <w:jc w:val="right"/>
              <w:rPr>
                <w:rFonts w:cs="Arial"/>
                <w:szCs w:val="24"/>
              </w:rPr>
            </w:pPr>
            <w:r w:rsidRPr="00D948C1">
              <w:rPr>
                <w:rFonts w:cs="Arial"/>
                <w:szCs w:val="24"/>
              </w:rPr>
              <w:t>118</w:t>
            </w:r>
          </w:p>
        </w:tc>
        <w:tc>
          <w:tcPr>
            <w:tcW w:w="456" w:type="pct"/>
            <w:shd w:val="clear" w:color="auto" w:fill="auto"/>
            <w:vAlign w:val="center"/>
          </w:tcPr>
          <w:p w14:paraId="3EC3D0BF" w14:textId="4AA3ADCF"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792BF644" w14:textId="0436E812" w:rsidR="001824D9" w:rsidRPr="00D948C1" w:rsidRDefault="001824D9" w:rsidP="006C0086">
            <w:pPr>
              <w:spacing w:line="276" w:lineRule="auto"/>
              <w:jc w:val="right"/>
              <w:rPr>
                <w:rFonts w:cs="Arial"/>
                <w:szCs w:val="24"/>
              </w:rPr>
            </w:pPr>
            <w:r w:rsidRPr="00D948C1">
              <w:rPr>
                <w:rFonts w:cs="Arial"/>
                <w:szCs w:val="24"/>
              </w:rPr>
              <w:t>118</w:t>
            </w:r>
          </w:p>
        </w:tc>
        <w:tc>
          <w:tcPr>
            <w:tcW w:w="402" w:type="pct"/>
            <w:shd w:val="clear" w:color="auto" w:fill="auto"/>
            <w:vAlign w:val="center"/>
          </w:tcPr>
          <w:p w14:paraId="26938877" w14:textId="2B5E27E8"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04E6F727" w14:textId="35C5D938" w:rsidR="001824D9" w:rsidRPr="00D948C1" w:rsidRDefault="001824D9" w:rsidP="006C0086">
            <w:pPr>
              <w:spacing w:line="276" w:lineRule="auto"/>
              <w:jc w:val="right"/>
              <w:rPr>
                <w:rFonts w:cs="Arial"/>
                <w:szCs w:val="24"/>
              </w:rPr>
            </w:pPr>
            <w:r w:rsidRPr="00D948C1">
              <w:rPr>
                <w:rFonts w:cs="Arial"/>
                <w:szCs w:val="24"/>
              </w:rPr>
              <w:t>-</w:t>
            </w:r>
          </w:p>
        </w:tc>
        <w:tc>
          <w:tcPr>
            <w:tcW w:w="396" w:type="pct"/>
            <w:shd w:val="clear" w:color="auto" w:fill="auto"/>
            <w:vAlign w:val="center"/>
          </w:tcPr>
          <w:p w14:paraId="2BA4564E" w14:textId="4801F577"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5A8FBE95" w14:textId="47E77EBE" w:rsidR="001824D9" w:rsidRPr="00D948C1" w:rsidRDefault="001824D9" w:rsidP="006C0086">
            <w:pPr>
              <w:spacing w:line="276" w:lineRule="auto"/>
              <w:jc w:val="right"/>
              <w:rPr>
                <w:rFonts w:cs="Arial"/>
                <w:szCs w:val="24"/>
              </w:rPr>
            </w:pPr>
            <w:r w:rsidRPr="00D948C1">
              <w:rPr>
                <w:rFonts w:cs="Arial"/>
                <w:szCs w:val="24"/>
              </w:rPr>
              <w:t>118</w:t>
            </w:r>
          </w:p>
        </w:tc>
        <w:tc>
          <w:tcPr>
            <w:tcW w:w="408" w:type="pct"/>
            <w:shd w:val="clear" w:color="auto" w:fill="auto"/>
            <w:vAlign w:val="center"/>
          </w:tcPr>
          <w:p w14:paraId="578F4892" w14:textId="79FC69C4" w:rsidR="001824D9" w:rsidRPr="00D948C1" w:rsidRDefault="001824D9" w:rsidP="006C0086">
            <w:pPr>
              <w:spacing w:line="276" w:lineRule="auto"/>
              <w:jc w:val="right"/>
              <w:rPr>
                <w:rFonts w:cs="Arial"/>
                <w:szCs w:val="24"/>
              </w:rPr>
            </w:pPr>
            <w:r w:rsidRPr="00D948C1">
              <w:rPr>
                <w:rFonts w:cs="Arial"/>
                <w:szCs w:val="24"/>
              </w:rPr>
              <w:t>(118)</w:t>
            </w:r>
          </w:p>
        </w:tc>
        <w:tc>
          <w:tcPr>
            <w:tcW w:w="409" w:type="pct"/>
            <w:shd w:val="clear" w:color="auto" w:fill="auto"/>
            <w:vAlign w:val="center"/>
          </w:tcPr>
          <w:p w14:paraId="2EDFFF34" w14:textId="3862FD27" w:rsidR="001824D9" w:rsidRPr="00D948C1" w:rsidRDefault="001824D9" w:rsidP="006C0086">
            <w:pPr>
              <w:spacing w:line="276" w:lineRule="auto"/>
              <w:jc w:val="right"/>
              <w:rPr>
                <w:rFonts w:cs="Arial"/>
                <w:szCs w:val="24"/>
              </w:rPr>
            </w:pPr>
            <w:r w:rsidRPr="00D948C1">
              <w:rPr>
                <w:rFonts w:cs="Arial"/>
                <w:szCs w:val="24"/>
              </w:rPr>
              <w:t>-</w:t>
            </w:r>
          </w:p>
        </w:tc>
      </w:tr>
      <w:tr w:rsidR="001824D9" w:rsidRPr="00D948C1" w14:paraId="1F296B34" w14:textId="77777777" w:rsidTr="00874865">
        <w:tc>
          <w:tcPr>
            <w:tcW w:w="1325" w:type="pct"/>
            <w:shd w:val="clear" w:color="auto" w:fill="auto"/>
            <w:vAlign w:val="center"/>
          </w:tcPr>
          <w:p w14:paraId="386AD002" w14:textId="13FDB040" w:rsidR="001824D9" w:rsidRPr="00D948C1" w:rsidRDefault="001824D9" w:rsidP="006C0086">
            <w:pPr>
              <w:spacing w:line="276" w:lineRule="auto"/>
              <w:rPr>
                <w:rFonts w:cs="Arial"/>
                <w:szCs w:val="24"/>
              </w:rPr>
            </w:pPr>
            <w:r w:rsidRPr="00D948C1">
              <w:rPr>
                <w:rFonts w:cs="Arial"/>
                <w:szCs w:val="24"/>
              </w:rPr>
              <w:t>Adjustments to NWFC 21/22 balances following audit</w:t>
            </w:r>
          </w:p>
        </w:tc>
        <w:tc>
          <w:tcPr>
            <w:tcW w:w="398" w:type="pct"/>
            <w:shd w:val="clear" w:color="auto" w:fill="auto"/>
            <w:vAlign w:val="center"/>
          </w:tcPr>
          <w:p w14:paraId="74BAA4E1" w14:textId="555806CD" w:rsidR="001824D9" w:rsidRPr="00D948C1" w:rsidRDefault="001824D9" w:rsidP="006C0086">
            <w:pPr>
              <w:spacing w:line="276" w:lineRule="auto"/>
              <w:jc w:val="right"/>
              <w:rPr>
                <w:rFonts w:cs="Arial"/>
                <w:szCs w:val="24"/>
              </w:rPr>
            </w:pPr>
            <w:r w:rsidRPr="00D948C1">
              <w:rPr>
                <w:rFonts w:cs="Arial"/>
                <w:szCs w:val="24"/>
              </w:rPr>
              <w:t>-</w:t>
            </w:r>
          </w:p>
        </w:tc>
        <w:tc>
          <w:tcPr>
            <w:tcW w:w="456" w:type="pct"/>
            <w:shd w:val="clear" w:color="auto" w:fill="auto"/>
            <w:vAlign w:val="center"/>
          </w:tcPr>
          <w:p w14:paraId="375448DF" w14:textId="6D11CCFA" w:rsidR="001824D9" w:rsidRPr="00D948C1" w:rsidRDefault="001824D9" w:rsidP="006C0086">
            <w:pPr>
              <w:spacing w:line="276" w:lineRule="auto"/>
              <w:jc w:val="right"/>
              <w:rPr>
                <w:rFonts w:cs="Arial"/>
                <w:szCs w:val="24"/>
              </w:rPr>
            </w:pPr>
            <w:r w:rsidRPr="00D948C1">
              <w:rPr>
                <w:rFonts w:cs="Arial"/>
                <w:szCs w:val="24"/>
              </w:rPr>
              <w:t>-</w:t>
            </w:r>
          </w:p>
        </w:tc>
        <w:tc>
          <w:tcPr>
            <w:tcW w:w="397" w:type="pct"/>
            <w:vAlign w:val="center"/>
          </w:tcPr>
          <w:p w14:paraId="377C53AD" w14:textId="745A423B" w:rsidR="001824D9" w:rsidRPr="00D948C1" w:rsidRDefault="001824D9" w:rsidP="006C0086">
            <w:pPr>
              <w:spacing w:line="276" w:lineRule="auto"/>
              <w:jc w:val="right"/>
              <w:rPr>
                <w:rFonts w:cs="Arial"/>
                <w:szCs w:val="24"/>
              </w:rPr>
            </w:pPr>
            <w:r w:rsidRPr="00D948C1">
              <w:rPr>
                <w:rFonts w:cs="Arial"/>
                <w:szCs w:val="24"/>
              </w:rPr>
              <w:t>-</w:t>
            </w:r>
          </w:p>
        </w:tc>
        <w:tc>
          <w:tcPr>
            <w:tcW w:w="402" w:type="pct"/>
            <w:shd w:val="clear" w:color="auto" w:fill="auto"/>
            <w:vAlign w:val="center"/>
          </w:tcPr>
          <w:p w14:paraId="37A2E452" w14:textId="6BCCC994" w:rsidR="001824D9" w:rsidRPr="00D948C1" w:rsidRDefault="001824D9" w:rsidP="006C0086">
            <w:pPr>
              <w:spacing w:line="276" w:lineRule="auto"/>
              <w:jc w:val="right"/>
              <w:rPr>
                <w:rFonts w:cs="Arial"/>
                <w:szCs w:val="24"/>
              </w:rPr>
            </w:pPr>
            <w:r w:rsidRPr="00D948C1">
              <w:rPr>
                <w:rFonts w:cs="Arial"/>
                <w:szCs w:val="24"/>
              </w:rPr>
              <w:t>-</w:t>
            </w:r>
          </w:p>
        </w:tc>
        <w:tc>
          <w:tcPr>
            <w:tcW w:w="412" w:type="pct"/>
            <w:vAlign w:val="center"/>
          </w:tcPr>
          <w:p w14:paraId="7F1DFAC6" w14:textId="76DF7391" w:rsidR="001824D9" w:rsidRPr="00D948C1" w:rsidRDefault="001824D9" w:rsidP="006C0086">
            <w:pPr>
              <w:spacing w:line="276" w:lineRule="auto"/>
              <w:jc w:val="right"/>
              <w:rPr>
                <w:rFonts w:cs="Arial"/>
                <w:szCs w:val="24"/>
              </w:rPr>
            </w:pPr>
            <w:r w:rsidRPr="00D948C1">
              <w:rPr>
                <w:rFonts w:cs="Arial"/>
                <w:szCs w:val="24"/>
              </w:rPr>
              <w:t>29</w:t>
            </w:r>
          </w:p>
        </w:tc>
        <w:tc>
          <w:tcPr>
            <w:tcW w:w="396" w:type="pct"/>
            <w:shd w:val="clear" w:color="auto" w:fill="auto"/>
            <w:vAlign w:val="center"/>
          </w:tcPr>
          <w:p w14:paraId="3C2A67BB" w14:textId="349036CD" w:rsidR="001824D9" w:rsidRPr="00D948C1" w:rsidRDefault="001824D9" w:rsidP="006C0086">
            <w:pPr>
              <w:spacing w:line="276" w:lineRule="auto"/>
              <w:jc w:val="right"/>
              <w:rPr>
                <w:rFonts w:cs="Arial"/>
                <w:szCs w:val="24"/>
              </w:rPr>
            </w:pPr>
            <w:r w:rsidRPr="00D948C1">
              <w:rPr>
                <w:rFonts w:cs="Arial"/>
                <w:szCs w:val="24"/>
              </w:rPr>
              <w:t>-</w:t>
            </w:r>
          </w:p>
        </w:tc>
        <w:tc>
          <w:tcPr>
            <w:tcW w:w="397" w:type="pct"/>
            <w:shd w:val="clear" w:color="auto" w:fill="auto"/>
            <w:vAlign w:val="center"/>
          </w:tcPr>
          <w:p w14:paraId="41DA36B1" w14:textId="755E6503" w:rsidR="001824D9" w:rsidRPr="00D948C1" w:rsidRDefault="001824D9" w:rsidP="006C0086">
            <w:pPr>
              <w:spacing w:line="276" w:lineRule="auto"/>
              <w:jc w:val="right"/>
              <w:rPr>
                <w:rFonts w:cs="Arial"/>
                <w:szCs w:val="24"/>
              </w:rPr>
            </w:pPr>
            <w:r w:rsidRPr="00D948C1">
              <w:rPr>
                <w:rFonts w:cs="Arial"/>
                <w:szCs w:val="24"/>
              </w:rPr>
              <w:t>29</w:t>
            </w:r>
          </w:p>
        </w:tc>
        <w:tc>
          <w:tcPr>
            <w:tcW w:w="408" w:type="pct"/>
            <w:shd w:val="clear" w:color="auto" w:fill="auto"/>
            <w:vAlign w:val="center"/>
          </w:tcPr>
          <w:p w14:paraId="6B710242" w14:textId="1F7EF139" w:rsidR="001824D9" w:rsidRPr="00D948C1" w:rsidRDefault="001824D9" w:rsidP="006C0086">
            <w:pPr>
              <w:spacing w:line="276" w:lineRule="auto"/>
              <w:jc w:val="right"/>
              <w:rPr>
                <w:rFonts w:cs="Arial"/>
                <w:szCs w:val="24"/>
              </w:rPr>
            </w:pPr>
            <w:r w:rsidRPr="00D948C1">
              <w:rPr>
                <w:rFonts w:cs="Arial"/>
                <w:szCs w:val="24"/>
              </w:rPr>
              <w:t>-</w:t>
            </w:r>
          </w:p>
        </w:tc>
        <w:tc>
          <w:tcPr>
            <w:tcW w:w="409" w:type="pct"/>
            <w:shd w:val="clear" w:color="auto" w:fill="auto"/>
            <w:vAlign w:val="center"/>
          </w:tcPr>
          <w:p w14:paraId="697095A3" w14:textId="5A837CA6" w:rsidR="001824D9" w:rsidRPr="00D948C1" w:rsidRDefault="001824D9" w:rsidP="006C0086">
            <w:pPr>
              <w:spacing w:line="276" w:lineRule="auto"/>
              <w:jc w:val="right"/>
              <w:rPr>
                <w:rFonts w:cs="Arial"/>
                <w:szCs w:val="24"/>
              </w:rPr>
            </w:pPr>
            <w:r w:rsidRPr="00D948C1">
              <w:rPr>
                <w:rFonts w:cs="Arial"/>
                <w:szCs w:val="24"/>
              </w:rPr>
              <w:t>29</w:t>
            </w:r>
          </w:p>
        </w:tc>
      </w:tr>
      <w:tr w:rsidR="001824D9" w:rsidRPr="00D948C1" w14:paraId="65FF5D1E" w14:textId="77777777" w:rsidTr="00233A66">
        <w:tc>
          <w:tcPr>
            <w:tcW w:w="1325" w:type="pct"/>
            <w:shd w:val="clear" w:color="auto" w:fill="auto"/>
          </w:tcPr>
          <w:p w14:paraId="6CF52734" w14:textId="77777777" w:rsidR="001824D9" w:rsidRPr="00D948C1" w:rsidRDefault="001824D9" w:rsidP="006C0086">
            <w:pPr>
              <w:spacing w:line="276" w:lineRule="auto"/>
              <w:rPr>
                <w:rFonts w:cs="Arial"/>
                <w:b/>
                <w:bCs/>
                <w:szCs w:val="24"/>
              </w:rPr>
            </w:pPr>
            <w:r w:rsidRPr="00D948C1">
              <w:rPr>
                <w:rFonts w:cs="Arial"/>
                <w:b/>
                <w:bCs/>
                <w:szCs w:val="24"/>
              </w:rPr>
              <w:t xml:space="preserve">Net </w:t>
            </w:r>
            <w:proofErr w:type="spellStart"/>
            <w:r w:rsidRPr="00D948C1">
              <w:rPr>
                <w:rFonts w:cs="Arial"/>
                <w:b/>
                <w:bCs/>
                <w:szCs w:val="24"/>
              </w:rPr>
              <w:t>tfr</w:t>
            </w:r>
            <w:proofErr w:type="spellEnd"/>
            <w:r w:rsidRPr="00D948C1">
              <w:rPr>
                <w:rFonts w:cs="Arial"/>
                <w:b/>
                <w:bCs/>
                <w:szCs w:val="24"/>
              </w:rPr>
              <w:t xml:space="preserve"> (to)/from earmarked reserves</w:t>
            </w:r>
          </w:p>
        </w:tc>
        <w:tc>
          <w:tcPr>
            <w:tcW w:w="398" w:type="pct"/>
            <w:shd w:val="clear" w:color="auto" w:fill="auto"/>
            <w:vAlign w:val="center"/>
          </w:tcPr>
          <w:p w14:paraId="13EDDEA5" w14:textId="3D6CBA19" w:rsidR="001824D9" w:rsidRPr="00D948C1" w:rsidRDefault="001824D9" w:rsidP="006C0086">
            <w:pPr>
              <w:spacing w:line="276" w:lineRule="auto"/>
              <w:jc w:val="right"/>
              <w:rPr>
                <w:rFonts w:cs="Arial"/>
                <w:b/>
                <w:bCs/>
                <w:szCs w:val="24"/>
              </w:rPr>
            </w:pPr>
            <w:r w:rsidRPr="00D948C1">
              <w:rPr>
                <w:rFonts w:cs="Arial"/>
                <w:b/>
                <w:bCs/>
                <w:szCs w:val="24"/>
              </w:rPr>
              <w:t>602</w:t>
            </w:r>
          </w:p>
        </w:tc>
        <w:tc>
          <w:tcPr>
            <w:tcW w:w="456" w:type="pct"/>
            <w:shd w:val="clear" w:color="auto" w:fill="auto"/>
            <w:vAlign w:val="center"/>
          </w:tcPr>
          <w:p w14:paraId="27831105" w14:textId="2E0CCAA3" w:rsidR="001824D9" w:rsidRPr="00D948C1" w:rsidRDefault="001824D9" w:rsidP="006C0086">
            <w:pPr>
              <w:spacing w:line="276" w:lineRule="auto"/>
              <w:jc w:val="right"/>
              <w:rPr>
                <w:rFonts w:cs="Arial"/>
                <w:b/>
                <w:bCs/>
                <w:szCs w:val="24"/>
              </w:rPr>
            </w:pPr>
            <w:r w:rsidRPr="00D948C1">
              <w:rPr>
                <w:rFonts w:cs="Arial"/>
                <w:b/>
                <w:bCs/>
                <w:szCs w:val="24"/>
              </w:rPr>
              <w:t>(484)</w:t>
            </w:r>
          </w:p>
        </w:tc>
        <w:tc>
          <w:tcPr>
            <w:tcW w:w="397" w:type="pct"/>
            <w:vAlign w:val="center"/>
          </w:tcPr>
          <w:p w14:paraId="6A30C5AE" w14:textId="4D33E812" w:rsidR="001824D9" w:rsidRPr="00D948C1" w:rsidRDefault="001824D9" w:rsidP="006C0086">
            <w:pPr>
              <w:spacing w:line="276" w:lineRule="auto"/>
              <w:jc w:val="right"/>
              <w:rPr>
                <w:rFonts w:cs="Arial"/>
                <w:b/>
                <w:bCs/>
                <w:szCs w:val="24"/>
              </w:rPr>
            </w:pPr>
            <w:r w:rsidRPr="00D948C1">
              <w:rPr>
                <w:rFonts w:cs="Arial"/>
                <w:b/>
                <w:bCs/>
                <w:szCs w:val="24"/>
              </w:rPr>
              <w:t>118</w:t>
            </w:r>
          </w:p>
        </w:tc>
        <w:tc>
          <w:tcPr>
            <w:tcW w:w="402" w:type="pct"/>
            <w:shd w:val="clear" w:color="auto" w:fill="auto"/>
            <w:vAlign w:val="center"/>
          </w:tcPr>
          <w:p w14:paraId="6C1C8E62" w14:textId="47A092C1" w:rsidR="001824D9" w:rsidRPr="00D948C1" w:rsidRDefault="001824D9" w:rsidP="006C0086">
            <w:pPr>
              <w:spacing w:line="276" w:lineRule="auto"/>
              <w:jc w:val="right"/>
              <w:rPr>
                <w:rFonts w:cs="Arial"/>
                <w:b/>
                <w:bCs/>
                <w:szCs w:val="24"/>
              </w:rPr>
            </w:pPr>
            <w:r w:rsidRPr="00D948C1">
              <w:rPr>
                <w:rFonts w:cs="Arial"/>
                <w:b/>
                <w:bCs/>
                <w:szCs w:val="24"/>
              </w:rPr>
              <w:t>2,672</w:t>
            </w:r>
          </w:p>
        </w:tc>
        <w:tc>
          <w:tcPr>
            <w:tcW w:w="412" w:type="pct"/>
            <w:vAlign w:val="center"/>
          </w:tcPr>
          <w:p w14:paraId="1E8F2E34" w14:textId="62D79C8E" w:rsidR="001824D9" w:rsidRPr="00D948C1" w:rsidRDefault="001824D9" w:rsidP="006C0086">
            <w:pPr>
              <w:spacing w:line="276" w:lineRule="auto"/>
              <w:jc w:val="right"/>
              <w:rPr>
                <w:rFonts w:cs="Arial"/>
                <w:b/>
                <w:bCs/>
                <w:szCs w:val="24"/>
              </w:rPr>
            </w:pPr>
            <w:r w:rsidRPr="00D948C1">
              <w:rPr>
                <w:rFonts w:cs="Arial"/>
                <w:b/>
                <w:bCs/>
                <w:szCs w:val="24"/>
              </w:rPr>
              <w:t>29</w:t>
            </w:r>
          </w:p>
        </w:tc>
        <w:tc>
          <w:tcPr>
            <w:tcW w:w="396" w:type="pct"/>
            <w:shd w:val="clear" w:color="auto" w:fill="auto"/>
            <w:vAlign w:val="center"/>
          </w:tcPr>
          <w:p w14:paraId="75EC4A3E" w14:textId="34EA1FC1" w:rsidR="001824D9" w:rsidRPr="00D948C1" w:rsidRDefault="001824D9" w:rsidP="006C0086">
            <w:pPr>
              <w:spacing w:line="276" w:lineRule="auto"/>
              <w:jc w:val="right"/>
              <w:rPr>
                <w:rFonts w:cs="Arial"/>
                <w:b/>
                <w:bCs/>
                <w:szCs w:val="24"/>
              </w:rPr>
            </w:pPr>
            <w:r w:rsidRPr="00D948C1">
              <w:rPr>
                <w:rFonts w:cs="Arial"/>
                <w:b/>
                <w:bCs/>
                <w:szCs w:val="24"/>
              </w:rPr>
              <w:t>-</w:t>
            </w:r>
          </w:p>
        </w:tc>
        <w:tc>
          <w:tcPr>
            <w:tcW w:w="397" w:type="pct"/>
            <w:shd w:val="clear" w:color="auto" w:fill="auto"/>
            <w:vAlign w:val="center"/>
          </w:tcPr>
          <w:p w14:paraId="04E92610" w14:textId="2FC7A78B" w:rsidR="001824D9" w:rsidRPr="00D948C1" w:rsidRDefault="001824D9" w:rsidP="006C0086">
            <w:pPr>
              <w:spacing w:line="276" w:lineRule="auto"/>
              <w:jc w:val="right"/>
              <w:rPr>
                <w:rFonts w:cs="Arial"/>
                <w:b/>
                <w:bCs/>
                <w:szCs w:val="24"/>
              </w:rPr>
            </w:pPr>
            <w:r w:rsidRPr="00D948C1">
              <w:rPr>
                <w:rFonts w:cs="Arial"/>
                <w:b/>
                <w:bCs/>
                <w:szCs w:val="24"/>
              </w:rPr>
              <w:t>2,819</w:t>
            </w:r>
          </w:p>
        </w:tc>
        <w:tc>
          <w:tcPr>
            <w:tcW w:w="408" w:type="pct"/>
            <w:shd w:val="clear" w:color="auto" w:fill="auto"/>
            <w:vAlign w:val="center"/>
          </w:tcPr>
          <w:p w14:paraId="7F65D8E6" w14:textId="74FE3A8A" w:rsidR="001824D9" w:rsidRPr="00D948C1" w:rsidRDefault="001824D9" w:rsidP="006C0086">
            <w:pPr>
              <w:spacing w:line="276" w:lineRule="auto"/>
              <w:jc w:val="right"/>
              <w:rPr>
                <w:rFonts w:cs="Arial"/>
                <w:b/>
                <w:bCs/>
                <w:szCs w:val="24"/>
              </w:rPr>
            </w:pPr>
            <w:r w:rsidRPr="00D948C1">
              <w:rPr>
                <w:rFonts w:cs="Arial"/>
                <w:b/>
                <w:bCs/>
                <w:szCs w:val="24"/>
              </w:rPr>
              <w:t>(2,790)</w:t>
            </w:r>
          </w:p>
        </w:tc>
        <w:tc>
          <w:tcPr>
            <w:tcW w:w="409" w:type="pct"/>
            <w:shd w:val="clear" w:color="auto" w:fill="auto"/>
            <w:vAlign w:val="center"/>
          </w:tcPr>
          <w:p w14:paraId="013EEC64" w14:textId="45055E1D" w:rsidR="001824D9" w:rsidRPr="00D948C1" w:rsidRDefault="001824D9" w:rsidP="006C0086">
            <w:pPr>
              <w:spacing w:line="276" w:lineRule="auto"/>
              <w:jc w:val="right"/>
              <w:rPr>
                <w:rFonts w:cs="Arial"/>
                <w:b/>
                <w:bCs/>
                <w:szCs w:val="24"/>
              </w:rPr>
            </w:pPr>
            <w:r w:rsidRPr="00D948C1">
              <w:rPr>
                <w:rFonts w:cs="Arial"/>
                <w:b/>
                <w:bCs/>
                <w:szCs w:val="24"/>
              </w:rPr>
              <w:t>29</w:t>
            </w:r>
          </w:p>
        </w:tc>
      </w:tr>
      <w:tr w:rsidR="001824D9" w:rsidRPr="00D948C1" w14:paraId="70C2F243" w14:textId="77777777" w:rsidTr="00233A66">
        <w:tc>
          <w:tcPr>
            <w:tcW w:w="1325" w:type="pct"/>
            <w:shd w:val="clear" w:color="auto" w:fill="auto"/>
          </w:tcPr>
          <w:p w14:paraId="79FEF973" w14:textId="77777777" w:rsidR="001824D9" w:rsidRPr="00D948C1" w:rsidRDefault="001824D9" w:rsidP="006C0086">
            <w:pPr>
              <w:spacing w:line="276" w:lineRule="auto"/>
              <w:rPr>
                <w:rFonts w:cs="Arial"/>
                <w:szCs w:val="24"/>
              </w:rPr>
            </w:pPr>
            <w:r w:rsidRPr="00D948C1">
              <w:rPr>
                <w:rFonts w:cs="Arial"/>
                <w:szCs w:val="24"/>
              </w:rPr>
              <w:t>Increase/(Decrease) in the year</w:t>
            </w:r>
          </w:p>
        </w:tc>
        <w:tc>
          <w:tcPr>
            <w:tcW w:w="398" w:type="pct"/>
            <w:shd w:val="clear" w:color="auto" w:fill="auto"/>
            <w:vAlign w:val="center"/>
          </w:tcPr>
          <w:p w14:paraId="45B49A20" w14:textId="4948F6B1" w:rsidR="001824D9" w:rsidRPr="00D948C1" w:rsidRDefault="001824D9" w:rsidP="006C0086">
            <w:pPr>
              <w:spacing w:line="276" w:lineRule="auto"/>
              <w:jc w:val="right"/>
              <w:rPr>
                <w:rFonts w:cs="Arial"/>
                <w:szCs w:val="24"/>
              </w:rPr>
            </w:pPr>
            <w:r w:rsidRPr="00D948C1">
              <w:rPr>
                <w:rFonts w:cs="Arial"/>
                <w:szCs w:val="24"/>
              </w:rPr>
              <w:t>(1,650)</w:t>
            </w:r>
          </w:p>
        </w:tc>
        <w:tc>
          <w:tcPr>
            <w:tcW w:w="456" w:type="pct"/>
            <w:shd w:val="clear" w:color="auto" w:fill="auto"/>
            <w:vAlign w:val="center"/>
          </w:tcPr>
          <w:p w14:paraId="3C89A673" w14:textId="4195C79D" w:rsidR="001824D9" w:rsidRPr="00D948C1" w:rsidRDefault="001824D9" w:rsidP="006C0086">
            <w:pPr>
              <w:spacing w:line="276" w:lineRule="auto"/>
              <w:jc w:val="right"/>
              <w:rPr>
                <w:rFonts w:cs="Arial"/>
                <w:szCs w:val="24"/>
              </w:rPr>
            </w:pPr>
            <w:r w:rsidRPr="00D948C1">
              <w:rPr>
                <w:rFonts w:cs="Arial"/>
                <w:szCs w:val="24"/>
              </w:rPr>
              <w:t>(484)</w:t>
            </w:r>
          </w:p>
        </w:tc>
        <w:tc>
          <w:tcPr>
            <w:tcW w:w="397" w:type="pct"/>
            <w:vAlign w:val="center"/>
          </w:tcPr>
          <w:p w14:paraId="07C3680A" w14:textId="693AC145" w:rsidR="001824D9" w:rsidRPr="00D948C1" w:rsidRDefault="001824D9" w:rsidP="006C0086">
            <w:pPr>
              <w:spacing w:line="276" w:lineRule="auto"/>
              <w:jc w:val="right"/>
              <w:rPr>
                <w:rFonts w:cs="Arial"/>
                <w:szCs w:val="24"/>
              </w:rPr>
            </w:pPr>
            <w:r w:rsidRPr="00D948C1">
              <w:rPr>
                <w:rFonts w:cs="Arial"/>
                <w:szCs w:val="24"/>
              </w:rPr>
              <w:t>(2,134)</w:t>
            </w:r>
          </w:p>
        </w:tc>
        <w:tc>
          <w:tcPr>
            <w:tcW w:w="402" w:type="pct"/>
            <w:shd w:val="clear" w:color="auto" w:fill="auto"/>
            <w:vAlign w:val="center"/>
          </w:tcPr>
          <w:p w14:paraId="6E7B0E70" w14:textId="64547831" w:rsidR="001824D9" w:rsidRPr="00D948C1" w:rsidRDefault="001824D9" w:rsidP="006C0086">
            <w:pPr>
              <w:spacing w:line="276" w:lineRule="auto"/>
              <w:jc w:val="right"/>
              <w:rPr>
                <w:rFonts w:cs="Arial"/>
                <w:szCs w:val="24"/>
              </w:rPr>
            </w:pPr>
            <w:r w:rsidRPr="00D948C1">
              <w:rPr>
                <w:rFonts w:cs="Arial"/>
                <w:szCs w:val="24"/>
              </w:rPr>
              <w:t>2,672</w:t>
            </w:r>
          </w:p>
        </w:tc>
        <w:tc>
          <w:tcPr>
            <w:tcW w:w="412" w:type="pct"/>
            <w:vAlign w:val="center"/>
          </w:tcPr>
          <w:p w14:paraId="01E5D17B" w14:textId="1C2424D2" w:rsidR="001824D9" w:rsidRPr="00D948C1" w:rsidRDefault="001824D9" w:rsidP="006C0086">
            <w:pPr>
              <w:spacing w:line="276" w:lineRule="auto"/>
              <w:jc w:val="right"/>
              <w:rPr>
                <w:rFonts w:cs="Arial"/>
                <w:szCs w:val="24"/>
              </w:rPr>
            </w:pPr>
            <w:r w:rsidRPr="00D948C1">
              <w:rPr>
                <w:rFonts w:cs="Arial"/>
                <w:szCs w:val="24"/>
              </w:rPr>
              <w:t>(13)</w:t>
            </w:r>
          </w:p>
        </w:tc>
        <w:tc>
          <w:tcPr>
            <w:tcW w:w="396" w:type="pct"/>
            <w:shd w:val="clear" w:color="auto" w:fill="auto"/>
            <w:vAlign w:val="center"/>
          </w:tcPr>
          <w:p w14:paraId="68A219A6" w14:textId="2E497452" w:rsidR="001824D9" w:rsidRPr="00D948C1" w:rsidRDefault="001824D9" w:rsidP="006C0086">
            <w:pPr>
              <w:spacing w:line="276" w:lineRule="auto"/>
              <w:jc w:val="right"/>
              <w:rPr>
                <w:rFonts w:cs="Arial"/>
                <w:szCs w:val="24"/>
              </w:rPr>
            </w:pPr>
            <w:r w:rsidRPr="00D948C1">
              <w:rPr>
                <w:rFonts w:cs="Arial"/>
                <w:szCs w:val="24"/>
              </w:rPr>
              <w:t>9</w:t>
            </w:r>
          </w:p>
        </w:tc>
        <w:tc>
          <w:tcPr>
            <w:tcW w:w="397" w:type="pct"/>
            <w:shd w:val="clear" w:color="auto" w:fill="auto"/>
            <w:vAlign w:val="center"/>
          </w:tcPr>
          <w:p w14:paraId="2DBED777" w14:textId="4B810BE7" w:rsidR="001824D9" w:rsidRPr="00D948C1" w:rsidRDefault="001824D9" w:rsidP="006C0086">
            <w:pPr>
              <w:spacing w:line="276" w:lineRule="auto"/>
              <w:jc w:val="right"/>
              <w:rPr>
                <w:rFonts w:cs="Arial"/>
                <w:szCs w:val="24"/>
              </w:rPr>
            </w:pPr>
            <w:r w:rsidRPr="00D948C1">
              <w:rPr>
                <w:rFonts w:cs="Arial"/>
                <w:szCs w:val="24"/>
              </w:rPr>
              <w:t>534</w:t>
            </w:r>
          </w:p>
        </w:tc>
        <w:tc>
          <w:tcPr>
            <w:tcW w:w="408" w:type="pct"/>
            <w:shd w:val="clear" w:color="auto" w:fill="auto"/>
            <w:vAlign w:val="center"/>
          </w:tcPr>
          <w:p w14:paraId="0D5CB8C4" w14:textId="4ADBB2A1" w:rsidR="001824D9" w:rsidRPr="00D948C1" w:rsidRDefault="001824D9" w:rsidP="006C0086">
            <w:pPr>
              <w:spacing w:line="276" w:lineRule="auto"/>
              <w:jc w:val="right"/>
              <w:rPr>
                <w:rFonts w:cs="Arial"/>
                <w:szCs w:val="24"/>
              </w:rPr>
            </w:pPr>
            <w:r w:rsidRPr="00D948C1">
              <w:rPr>
                <w:rFonts w:cs="Arial"/>
                <w:szCs w:val="24"/>
              </w:rPr>
              <w:t>250,660</w:t>
            </w:r>
          </w:p>
        </w:tc>
        <w:tc>
          <w:tcPr>
            <w:tcW w:w="409" w:type="pct"/>
            <w:shd w:val="clear" w:color="auto" w:fill="auto"/>
            <w:vAlign w:val="center"/>
          </w:tcPr>
          <w:p w14:paraId="3928E416" w14:textId="3C1CB5B9" w:rsidR="001824D9" w:rsidRPr="00D948C1" w:rsidRDefault="001824D9" w:rsidP="006C0086">
            <w:pPr>
              <w:spacing w:line="276" w:lineRule="auto"/>
              <w:jc w:val="right"/>
              <w:rPr>
                <w:rFonts w:cs="Arial"/>
                <w:szCs w:val="24"/>
              </w:rPr>
            </w:pPr>
            <w:r w:rsidRPr="00D948C1">
              <w:rPr>
                <w:rFonts w:cs="Arial"/>
                <w:szCs w:val="24"/>
              </w:rPr>
              <w:t>251,194</w:t>
            </w:r>
          </w:p>
        </w:tc>
      </w:tr>
      <w:tr w:rsidR="001824D9" w:rsidRPr="00D948C1" w14:paraId="1F5AB8FA" w14:textId="77777777" w:rsidTr="00233A66">
        <w:tc>
          <w:tcPr>
            <w:tcW w:w="1325" w:type="pct"/>
            <w:shd w:val="clear" w:color="auto" w:fill="auto"/>
          </w:tcPr>
          <w:p w14:paraId="61F7BA7C" w14:textId="2FD5DDB9" w:rsidR="001824D9" w:rsidRPr="00D948C1" w:rsidRDefault="001824D9" w:rsidP="006C0086">
            <w:pPr>
              <w:spacing w:line="276" w:lineRule="auto"/>
              <w:rPr>
                <w:rFonts w:cs="Arial"/>
                <w:b/>
                <w:bCs/>
                <w:szCs w:val="24"/>
              </w:rPr>
            </w:pPr>
            <w:r w:rsidRPr="00D948C1">
              <w:rPr>
                <w:rFonts w:cs="Arial"/>
                <w:b/>
                <w:bCs/>
                <w:szCs w:val="24"/>
              </w:rPr>
              <w:t xml:space="preserve">Balance </w:t>
            </w:r>
            <w:proofErr w:type="gramStart"/>
            <w:r w:rsidRPr="00D948C1">
              <w:rPr>
                <w:rFonts w:cs="Arial"/>
                <w:b/>
                <w:bCs/>
                <w:szCs w:val="24"/>
              </w:rPr>
              <w:t>at</w:t>
            </w:r>
            <w:proofErr w:type="gramEnd"/>
            <w:r w:rsidRPr="00D948C1">
              <w:rPr>
                <w:rFonts w:cs="Arial"/>
                <w:b/>
                <w:bCs/>
                <w:szCs w:val="24"/>
              </w:rPr>
              <w:t xml:space="preserve"> 31 March 2023 carried forwards</w:t>
            </w:r>
          </w:p>
        </w:tc>
        <w:tc>
          <w:tcPr>
            <w:tcW w:w="398" w:type="pct"/>
            <w:shd w:val="clear" w:color="auto" w:fill="auto"/>
            <w:vAlign w:val="center"/>
          </w:tcPr>
          <w:p w14:paraId="77BA1FC1" w14:textId="6B95BB60" w:rsidR="001824D9" w:rsidRPr="00D948C1" w:rsidRDefault="001824D9" w:rsidP="006C0086">
            <w:pPr>
              <w:spacing w:line="276" w:lineRule="auto"/>
              <w:jc w:val="right"/>
              <w:rPr>
                <w:rFonts w:cs="Arial"/>
                <w:b/>
                <w:bCs/>
                <w:szCs w:val="24"/>
              </w:rPr>
            </w:pPr>
            <w:r w:rsidRPr="00D948C1">
              <w:rPr>
                <w:rFonts w:cs="Arial"/>
                <w:b/>
                <w:bCs/>
                <w:szCs w:val="24"/>
              </w:rPr>
              <w:t>4,887</w:t>
            </w:r>
          </w:p>
        </w:tc>
        <w:tc>
          <w:tcPr>
            <w:tcW w:w="456" w:type="pct"/>
            <w:shd w:val="clear" w:color="auto" w:fill="auto"/>
            <w:vAlign w:val="center"/>
          </w:tcPr>
          <w:p w14:paraId="3A6120DB" w14:textId="0D92D82C" w:rsidR="001824D9" w:rsidRPr="00D948C1" w:rsidRDefault="001824D9" w:rsidP="006C0086">
            <w:pPr>
              <w:spacing w:line="276" w:lineRule="auto"/>
              <w:jc w:val="right"/>
              <w:rPr>
                <w:rFonts w:cs="Arial"/>
                <w:b/>
                <w:bCs/>
                <w:szCs w:val="24"/>
              </w:rPr>
            </w:pPr>
            <w:r w:rsidRPr="00D948C1">
              <w:rPr>
                <w:rFonts w:cs="Arial"/>
                <w:b/>
                <w:bCs/>
                <w:szCs w:val="24"/>
              </w:rPr>
              <w:t>9,258</w:t>
            </w:r>
          </w:p>
        </w:tc>
        <w:tc>
          <w:tcPr>
            <w:tcW w:w="397" w:type="pct"/>
            <w:vAlign w:val="center"/>
          </w:tcPr>
          <w:p w14:paraId="3B364135" w14:textId="06E9C459" w:rsidR="001824D9" w:rsidRPr="00D948C1" w:rsidRDefault="001824D9" w:rsidP="006C0086">
            <w:pPr>
              <w:spacing w:line="276" w:lineRule="auto"/>
              <w:jc w:val="right"/>
              <w:rPr>
                <w:rFonts w:cs="Arial"/>
                <w:b/>
                <w:bCs/>
                <w:szCs w:val="24"/>
              </w:rPr>
            </w:pPr>
            <w:r w:rsidRPr="00D948C1">
              <w:rPr>
                <w:rFonts w:cs="Arial"/>
                <w:b/>
                <w:bCs/>
                <w:szCs w:val="24"/>
              </w:rPr>
              <w:t>14,145</w:t>
            </w:r>
          </w:p>
        </w:tc>
        <w:tc>
          <w:tcPr>
            <w:tcW w:w="402" w:type="pct"/>
            <w:shd w:val="clear" w:color="auto" w:fill="auto"/>
            <w:vAlign w:val="center"/>
          </w:tcPr>
          <w:p w14:paraId="2B706B51" w14:textId="0E0B38D6" w:rsidR="001824D9" w:rsidRPr="00D948C1" w:rsidRDefault="001824D9" w:rsidP="006C0086">
            <w:pPr>
              <w:spacing w:line="276" w:lineRule="auto"/>
              <w:jc w:val="right"/>
              <w:rPr>
                <w:rFonts w:cs="Arial"/>
                <w:b/>
                <w:bCs/>
                <w:szCs w:val="24"/>
              </w:rPr>
            </w:pPr>
            <w:r w:rsidRPr="00D948C1">
              <w:rPr>
                <w:rFonts w:cs="Arial"/>
                <w:b/>
                <w:bCs/>
                <w:szCs w:val="24"/>
              </w:rPr>
              <w:t>20,344</w:t>
            </w:r>
          </w:p>
        </w:tc>
        <w:tc>
          <w:tcPr>
            <w:tcW w:w="412" w:type="pct"/>
            <w:vAlign w:val="center"/>
          </w:tcPr>
          <w:p w14:paraId="12D1CCD5" w14:textId="3522B183" w:rsidR="001824D9" w:rsidRPr="00D948C1" w:rsidRDefault="001824D9" w:rsidP="006C0086">
            <w:pPr>
              <w:spacing w:line="276" w:lineRule="auto"/>
              <w:jc w:val="right"/>
              <w:rPr>
                <w:rFonts w:cs="Arial"/>
                <w:b/>
                <w:bCs/>
                <w:szCs w:val="24"/>
              </w:rPr>
            </w:pPr>
            <w:r w:rsidRPr="00D948C1">
              <w:rPr>
                <w:rFonts w:cs="Arial"/>
                <w:b/>
                <w:bCs/>
                <w:szCs w:val="24"/>
              </w:rPr>
              <w:t>27</w:t>
            </w:r>
          </w:p>
        </w:tc>
        <w:tc>
          <w:tcPr>
            <w:tcW w:w="396" w:type="pct"/>
            <w:shd w:val="clear" w:color="auto" w:fill="auto"/>
            <w:vAlign w:val="center"/>
          </w:tcPr>
          <w:p w14:paraId="15ABC905" w14:textId="2858C0B3" w:rsidR="001824D9" w:rsidRPr="00D948C1" w:rsidRDefault="001824D9" w:rsidP="006C0086">
            <w:pPr>
              <w:spacing w:line="276" w:lineRule="auto"/>
              <w:jc w:val="right"/>
              <w:rPr>
                <w:rFonts w:cs="Arial"/>
                <w:b/>
                <w:bCs/>
                <w:szCs w:val="24"/>
              </w:rPr>
            </w:pPr>
            <w:r w:rsidRPr="00D948C1">
              <w:rPr>
                <w:rFonts w:cs="Arial"/>
                <w:b/>
                <w:bCs/>
                <w:szCs w:val="24"/>
              </w:rPr>
              <w:t>1,692</w:t>
            </w:r>
          </w:p>
        </w:tc>
        <w:tc>
          <w:tcPr>
            <w:tcW w:w="397" w:type="pct"/>
            <w:shd w:val="clear" w:color="auto" w:fill="auto"/>
            <w:vAlign w:val="center"/>
          </w:tcPr>
          <w:p w14:paraId="7A4B7CC9" w14:textId="4E2CC23A" w:rsidR="001824D9" w:rsidRPr="00D948C1" w:rsidRDefault="001824D9" w:rsidP="006C0086">
            <w:pPr>
              <w:spacing w:line="276" w:lineRule="auto"/>
              <w:jc w:val="right"/>
              <w:rPr>
                <w:rFonts w:cs="Arial"/>
                <w:b/>
                <w:bCs/>
                <w:szCs w:val="24"/>
              </w:rPr>
            </w:pPr>
            <w:r w:rsidRPr="00D948C1">
              <w:rPr>
                <w:rFonts w:cs="Arial"/>
                <w:b/>
                <w:bCs/>
                <w:szCs w:val="24"/>
              </w:rPr>
              <w:t>36,208</w:t>
            </w:r>
          </w:p>
        </w:tc>
        <w:tc>
          <w:tcPr>
            <w:tcW w:w="408" w:type="pct"/>
            <w:shd w:val="clear" w:color="auto" w:fill="auto"/>
            <w:vAlign w:val="center"/>
          </w:tcPr>
          <w:p w14:paraId="3CFF1F29" w14:textId="500822DE" w:rsidR="001824D9" w:rsidRPr="00D948C1" w:rsidRDefault="001824D9" w:rsidP="006C0086">
            <w:pPr>
              <w:spacing w:line="276" w:lineRule="auto"/>
              <w:jc w:val="right"/>
              <w:rPr>
                <w:rFonts w:cs="Arial"/>
                <w:b/>
                <w:bCs/>
                <w:szCs w:val="24"/>
              </w:rPr>
            </w:pPr>
            <w:r w:rsidRPr="00D948C1">
              <w:rPr>
                <w:rFonts w:cs="Arial"/>
                <w:b/>
                <w:bCs/>
                <w:szCs w:val="24"/>
              </w:rPr>
              <w:t>(538,699)</w:t>
            </w:r>
          </w:p>
        </w:tc>
        <w:tc>
          <w:tcPr>
            <w:tcW w:w="409" w:type="pct"/>
            <w:shd w:val="clear" w:color="auto" w:fill="auto"/>
            <w:vAlign w:val="center"/>
          </w:tcPr>
          <w:p w14:paraId="225B305A" w14:textId="07C2F13E" w:rsidR="001824D9" w:rsidRPr="00D948C1" w:rsidRDefault="001824D9" w:rsidP="006C0086">
            <w:pPr>
              <w:spacing w:line="276" w:lineRule="auto"/>
              <w:jc w:val="right"/>
              <w:rPr>
                <w:rFonts w:cs="Arial"/>
                <w:b/>
                <w:bCs/>
                <w:szCs w:val="24"/>
              </w:rPr>
            </w:pPr>
            <w:r w:rsidRPr="00D948C1">
              <w:rPr>
                <w:rFonts w:cs="Arial"/>
                <w:b/>
                <w:bCs/>
                <w:szCs w:val="24"/>
              </w:rPr>
              <w:t>(502,491)</w:t>
            </w:r>
          </w:p>
        </w:tc>
      </w:tr>
    </w:tbl>
    <w:p w14:paraId="12FE9547" w14:textId="04F23773" w:rsidR="00BE07C7" w:rsidRPr="00D948C1" w:rsidRDefault="00BE07C7" w:rsidP="006C0086">
      <w:pPr>
        <w:pStyle w:val="Heading1"/>
        <w:spacing w:line="276" w:lineRule="auto"/>
        <w:rPr>
          <w:sz w:val="22"/>
        </w:rPr>
        <w:sectPr w:rsidR="00BE07C7" w:rsidRPr="00D948C1" w:rsidSect="0050229D">
          <w:pgSz w:w="16840" w:h="11907" w:orient="landscape" w:code="9"/>
          <w:pgMar w:top="1134" w:right="851" w:bottom="851" w:left="737" w:header="720" w:footer="720" w:gutter="0"/>
          <w:cols w:space="720"/>
          <w:docGrid w:linePitch="326"/>
        </w:sectPr>
      </w:pPr>
    </w:p>
    <w:p w14:paraId="19D662B0" w14:textId="1600BA80" w:rsidR="0058297D" w:rsidRPr="00D948C1" w:rsidRDefault="002618EE" w:rsidP="006C0086">
      <w:pPr>
        <w:pStyle w:val="Heading1"/>
        <w:spacing w:line="276" w:lineRule="auto"/>
        <w:rPr>
          <w:szCs w:val="24"/>
        </w:rPr>
      </w:pPr>
      <w:bookmarkStart w:id="18" w:name="_Toc171068781"/>
      <w:r w:rsidRPr="00D948C1">
        <w:rPr>
          <w:szCs w:val="24"/>
        </w:rPr>
        <w:lastRenderedPageBreak/>
        <w:t>Balance Sheet</w:t>
      </w:r>
      <w:bookmarkEnd w:id="18"/>
    </w:p>
    <w:p w14:paraId="4DC6F97B" w14:textId="77777777" w:rsidR="00490917" w:rsidRPr="00D948C1" w:rsidRDefault="00490917" w:rsidP="006C0086">
      <w:pPr>
        <w:spacing w:line="276" w:lineRule="auto"/>
        <w:rPr>
          <w:szCs w:val="24"/>
        </w:rPr>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D948C1" w14:paraId="4FB80715" w14:textId="77777777" w:rsidTr="00611673">
        <w:trPr>
          <w:cantSplit/>
          <w:tblHeader/>
        </w:trPr>
        <w:tc>
          <w:tcPr>
            <w:tcW w:w="2684" w:type="pct"/>
            <w:shd w:val="clear" w:color="auto" w:fill="BD2716"/>
          </w:tcPr>
          <w:p w14:paraId="760967EE" w14:textId="77777777" w:rsidR="00FA18E2" w:rsidRPr="00D948C1" w:rsidRDefault="00FA18E2" w:rsidP="006C0086">
            <w:pPr>
              <w:spacing w:line="276" w:lineRule="auto"/>
              <w:jc w:val="center"/>
              <w:rPr>
                <w:color w:val="FFFFFF" w:themeColor="background1"/>
                <w:szCs w:val="24"/>
              </w:rPr>
            </w:pPr>
          </w:p>
        </w:tc>
        <w:tc>
          <w:tcPr>
            <w:tcW w:w="632" w:type="pct"/>
            <w:shd w:val="clear" w:color="auto" w:fill="BD2716"/>
            <w:vAlign w:val="center"/>
          </w:tcPr>
          <w:p w14:paraId="2F599137" w14:textId="254DD1F7" w:rsidR="00FA18E2" w:rsidRPr="00D948C1" w:rsidRDefault="00FA18E2" w:rsidP="006C0086">
            <w:pPr>
              <w:spacing w:line="276" w:lineRule="auto"/>
              <w:rPr>
                <w:color w:val="FFFFFF" w:themeColor="background1"/>
                <w:szCs w:val="24"/>
              </w:rPr>
            </w:pPr>
            <w:r w:rsidRPr="00D948C1">
              <w:rPr>
                <w:color w:val="FFFFFF" w:themeColor="background1"/>
                <w:szCs w:val="24"/>
              </w:rPr>
              <w:t>Notes</w:t>
            </w:r>
          </w:p>
        </w:tc>
        <w:tc>
          <w:tcPr>
            <w:tcW w:w="842" w:type="pct"/>
            <w:shd w:val="clear" w:color="auto" w:fill="BD2716"/>
            <w:vAlign w:val="center"/>
          </w:tcPr>
          <w:p w14:paraId="25B8EB6A" w14:textId="525440F2" w:rsidR="00FA18E2" w:rsidRPr="00D948C1" w:rsidRDefault="00FA18E2" w:rsidP="006C0086">
            <w:pPr>
              <w:spacing w:line="276" w:lineRule="auto"/>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1824D9" w:rsidRPr="00D948C1">
              <w:rPr>
                <w:color w:val="FFFFFF" w:themeColor="background1"/>
                <w:szCs w:val="24"/>
              </w:rPr>
              <w:t>4</w:t>
            </w:r>
          </w:p>
          <w:p w14:paraId="61E5179C" w14:textId="4C4D4D18" w:rsidR="00FA18E2" w:rsidRPr="00D948C1" w:rsidRDefault="00FA18E2" w:rsidP="006C0086">
            <w:pPr>
              <w:spacing w:line="276" w:lineRule="auto"/>
              <w:jc w:val="right"/>
              <w:rPr>
                <w:color w:val="FFFFFF" w:themeColor="background1"/>
                <w:szCs w:val="24"/>
              </w:rPr>
            </w:pPr>
            <w:r w:rsidRPr="00D948C1">
              <w:rPr>
                <w:color w:val="FFFFFF" w:themeColor="background1"/>
                <w:szCs w:val="24"/>
              </w:rPr>
              <w:t>£000</w:t>
            </w:r>
          </w:p>
        </w:tc>
        <w:tc>
          <w:tcPr>
            <w:tcW w:w="842" w:type="pct"/>
            <w:shd w:val="clear" w:color="auto" w:fill="BD2716"/>
            <w:vAlign w:val="center"/>
          </w:tcPr>
          <w:p w14:paraId="4EB1BD33" w14:textId="5C7F14C0" w:rsidR="00FA18E2" w:rsidRPr="00D948C1" w:rsidRDefault="00FA18E2" w:rsidP="006C0086">
            <w:pPr>
              <w:spacing w:line="276" w:lineRule="auto"/>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1824D9" w:rsidRPr="00D948C1">
              <w:rPr>
                <w:color w:val="FFFFFF" w:themeColor="background1"/>
                <w:szCs w:val="24"/>
              </w:rPr>
              <w:t>3</w:t>
            </w:r>
          </w:p>
          <w:p w14:paraId="7512E387" w14:textId="0B6A6C5E" w:rsidR="00FA18E2" w:rsidRPr="00D948C1" w:rsidRDefault="00FA18E2" w:rsidP="006C0086">
            <w:pPr>
              <w:spacing w:line="276" w:lineRule="auto"/>
              <w:jc w:val="right"/>
              <w:rPr>
                <w:color w:val="FFFFFF" w:themeColor="background1"/>
                <w:szCs w:val="24"/>
              </w:rPr>
            </w:pPr>
            <w:r w:rsidRPr="00D948C1">
              <w:rPr>
                <w:color w:val="FFFFFF" w:themeColor="background1"/>
                <w:szCs w:val="24"/>
              </w:rPr>
              <w:t>£000</w:t>
            </w:r>
          </w:p>
        </w:tc>
      </w:tr>
      <w:tr w:rsidR="00233A66" w:rsidRPr="00D948C1" w14:paraId="335DBE40" w14:textId="77777777" w:rsidTr="00036C34">
        <w:tc>
          <w:tcPr>
            <w:tcW w:w="5000" w:type="pct"/>
            <w:gridSpan w:val="4"/>
            <w:shd w:val="clear" w:color="auto" w:fill="D9D9D9" w:themeFill="background1" w:themeFillShade="D9"/>
          </w:tcPr>
          <w:p w14:paraId="4B0383D7" w14:textId="028AFEFA" w:rsidR="00233A66" w:rsidRPr="00D948C1" w:rsidRDefault="00233A66" w:rsidP="006C0086">
            <w:pPr>
              <w:pStyle w:val="CommentText"/>
              <w:tabs>
                <w:tab w:val="decimal" w:pos="601"/>
                <w:tab w:val="decimal" w:pos="723"/>
              </w:tabs>
              <w:spacing w:line="276" w:lineRule="auto"/>
              <w:rPr>
                <w:sz w:val="24"/>
                <w:szCs w:val="24"/>
              </w:rPr>
            </w:pPr>
            <w:r w:rsidRPr="00D948C1">
              <w:rPr>
                <w:b/>
                <w:sz w:val="24"/>
                <w:szCs w:val="24"/>
              </w:rPr>
              <w:t>Long-Term Assets</w:t>
            </w:r>
          </w:p>
        </w:tc>
      </w:tr>
      <w:tr w:rsidR="001824D9" w:rsidRPr="00D948C1" w14:paraId="2F6E96CD" w14:textId="77777777" w:rsidTr="00233A66">
        <w:tc>
          <w:tcPr>
            <w:tcW w:w="2684" w:type="pct"/>
          </w:tcPr>
          <w:p w14:paraId="111FF313" w14:textId="77777777" w:rsidR="001824D9" w:rsidRPr="00D948C1" w:rsidRDefault="001824D9" w:rsidP="006C0086">
            <w:pPr>
              <w:spacing w:line="276" w:lineRule="auto"/>
              <w:rPr>
                <w:szCs w:val="24"/>
              </w:rPr>
            </w:pPr>
            <w:r w:rsidRPr="00D948C1">
              <w:rPr>
                <w:szCs w:val="24"/>
              </w:rPr>
              <w:t>Property, Plant &amp; Equipment</w:t>
            </w:r>
          </w:p>
        </w:tc>
        <w:tc>
          <w:tcPr>
            <w:tcW w:w="632" w:type="pct"/>
            <w:vAlign w:val="bottom"/>
          </w:tcPr>
          <w:p w14:paraId="03643996" w14:textId="3AA53426" w:rsidR="001824D9" w:rsidRPr="00D948C1" w:rsidRDefault="001824D9" w:rsidP="006C0086">
            <w:pPr>
              <w:spacing w:line="276" w:lineRule="auto"/>
              <w:jc w:val="center"/>
              <w:rPr>
                <w:rStyle w:val="Hyperlink"/>
              </w:rPr>
            </w:pPr>
            <w:hyperlink w:anchor="N6" w:history="1">
              <w:r w:rsidRPr="00D948C1">
                <w:rPr>
                  <w:rStyle w:val="Hyperlink"/>
                  <w:szCs w:val="24"/>
                </w:rPr>
                <w:t>6</w:t>
              </w:r>
            </w:hyperlink>
          </w:p>
        </w:tc>
        <w:tc>
          <w:tcPr>
            <w:tcW w:w="842" w:type="pct"/>
            <w:vAlign w:val="center"/>
          </w:tcPr>
          <w:p w14:paraId="11BCEBE2" w14:textId="637F9AEC" w:rsidR="001824D9" w:rsidRPr="00D948C1" w:rsidRDefault="00CF5F1A" w:rsidP="006C0086">
            <w:pPr>
              <w:pStyle w:val="CommentText"/>
              <w:tabs>
                <w:tab w:val="decimal" w:pos="1350"/>
              </w:tabs>
              <w:spacing w:line="276" w:lineRule="auto"/>
              <w:jc w:val="right"/>
              <w:rPr>
                <w:sz w:val="24"/>
                <w:szCs w:val="24"/>
              </w:rPr>
            </w:pPr>
            <w:r w:rsidRPr="00D948C1">
              <w:rPr>
                <w:sz w:val="24"/>
                <w:szCs w:val="24"/>
              </w:rPr>
              <w:t>12</w:t>
            </w:r>
            <w:r w:rsidR="00F70902">
              <w:rPr>
                <w:sz w:val="24"/>
                <w:szCs w:val="24"/>
              </w:rPr>
              <w:t>7,349</w:t>
            </w:r>
          </w:p>
        </w:tc>
        <w:tc>
          <w:tcPr>
            <w:tcW w:w="842" w:type="pct"/>
            <w:shd w:val="clear" w:color="auto" w:fill="auto"/>
            <w:vAlign w:val="center"/>
          </w:tcPr>
          <w:p w14:paraId="236C3432" w14:textId="289ADF4B" w:rsidR="001824D9" w:rsidRPr="00D948C1" w:rsidRDefault="001824D9" w:rsidP="006C0086">
            <w:pPr>
              <w:pStyle w:val="CommentText"/>
              <w:tabs>
                <w:tab w:val="decimal" w:pos="1350"/>
              </w:tabs>
              <w:spacing w:line="276" w:lineRule="auto"/>
              <w:jc w:val="right"/>
              <w:rPr>
                <w:sz w:val="24"/>
                <w:szCs w:val="24"/>
              </w:rPr>
            </w:pPr>
            <w:r w:rsidRPr="00D948C1">
              <w:rPr>
                <w:sz w:val="24"/>
                <w:szCs w:val="24"/>
              </w:rPr>
              <w:t>125,717</w:t>
            </w:r>
          </w:p>
        </w:tc>
      </w:tr>
      <w:tr w:rsidR="001824D9" w:rsidRPr="00D948C1" w14:paraId="7980527F" w14:textId="77777777" w:rsidTr="00233A66">
        <w:tc>
          <w:tcPr>
            <w:tcW w:w="2684" w:type="pct"/>
          </w:tcPr>
          <w:p w14:paraId="3BF45836" w14:textId="77777777" w:rsidR="001824D9" w:rsidRPr="00D948C1" w:rsidRDefault="001824D9" w:rsidP="006C0086">
            <w:pPr>
              <w:spacing w:line="276" w:lineRule="auto"/>
              <w:rPr>
                <w:szCs w:val="24"/>
              </w:rPr>
            </w:pPr>
            <w:r w:rsidRPr="00D948C1">
              <w:rPr>
                <w:szCs w:val="24"/>
              </w:rPr>
              <w:t>Intangible Assets</w:t>
            </w:r>
          </w:p>
        </w:tc>
        <w:tc>
          <w:tcPr>
            <w:tcW w:w="632" w:type="pct"/>
          </w:tcPr>
          <w:p w14:paraId="5E44D793" w14:textId="6ECE6E84" w:rsidR="001824D9" w:rsidRPr="00D948C1" w:rsidRDefault="001824D9" w:rsidP="006C0086">
            <w:pPr>
              <w:spacing w:line="276" w:lineRule="auto"/>
              <w:jc w:val="center"/>
              <w:rPr>
                <w:rStyle w:val="Hyperlink"/>
              </w:rPr>
            </w:pPr>
            <w:hyperlink w:anchor="N7" w:history="1">
              <w:r w:rsidRPr="00D948C1">
                <w:rPr>
                  <w:rStyle w:val="Hyperlink"/>
                  <w:szCs w:val="24"/>
                </w:rPr>
                <w:t>7</w:t>
              </w:r>
            </w:hyperlink>
          </w:p>
        </w:tc>
        <w:tc>
          <w:tcPr>
            <w:tcW w:w="842" w:type="pct"/>
            <w:vAlign w:val="center"/>
          </w:tcPr>
          <w:p w14:paraId="27E8EF3A" w14:textId="17114815" w:rsidR="001824D9" w:rsidRPr="00D948C1" w:rsidRDefault="00F70902" w:rsidP="006C0086">
            <w:pPr>
              <w:pStyle w:val="CommentText"/>
              <w:tabs>
                <w:tab w:val="decimal" w:pos="1350"/>
              </w:tabs>
              <w:spacing w:line="276" w:lineRule="auto"/>
              <w:jc w:val="right"/>
              <w:rPr>
                <w:sz w:val="24"/>
                <w:szCs w:val="24"/>
              </w:rPr>
            </w:pPr>
            <w:r>
              <w:rPr>
                <w:sz w:val="24"/>
                <w:szCs w:val="24"/>
              </w:rPr>
              <w:t>453</w:t>
            </w:r>
          </w:p>
        </w:tc>
        <w:tc>
          <w:tcPr>
            <w:tcW w:w="842" w:type="pct"/>
            <w:shd w:val="clear" w:color="auto" w:fill="auto"/>
            <w:vAlign w:val="center"/>
          </w:tcPr>
          <w:p w14:paraId="6F6A82A0" w14:textId="1E657BF4" w:rsidR="001824D9" w:rsidRPr="00D948C1" w:rsidRDefault="001824D9" w:rsidP="006C0086">
            <w:pPr>
              <w:pStyle w:val="CommentText"/>
              <w:tabs>
                <w:tab w:val="decimal" w:pos="1350"/>
              </w:tabs>
              <w:spacing w:line="276" w:lineRule="auto"/>
              <w:jc w:val="right"/>
              <w:rPr>
                <w:sz w:val="24"/>
                <w:szCs w:val="24"/>
              </w:rPr>
            </w:pPr>
            <w:r w:rsidRPr="00D948C1">
              <w:rPr>
                <w:sz w:val="24"/>
                <w:szCs w:val="24"/>
              </w:rPr>
              <w:t>906</w:t>
            </w:r>
          </w:p>
        </w:tc>
      </w:tr>
      <w:tr w:rsidR="001824D9" w:rsidRPr="00D948C1" w14:paraId="237B57EA" w14:textId="77777777" w:rsidTr="00E1551C">
        <w:tc>
          <w:tcPr>
            <w:tcW w:w="2684" w:type="pct"/>
            <w:tcBorders>
              <w:top w:val="single" w:sz="4" w:space="0" w:color="auto"/>
              <w:left w:val="single" w:sz="4" w:space="0" w:color="auto"/>
              <w:bottom w:val="single" w:sz="4" w:space="0" w:color="auto"/>
              <w:right w:val="single" w:sz="4" w:space="0" w:color="auto"/>
            </w:tcBorders>
          </w:tcPr>
          <w:p w14:paraId="5EDFA5D7" w14:textId="50274D83" w:rsidR="001824D9" w:rsidRPr="00D948C1" w:rsidRDefault="001824D9" w:rsidP="006C0086">
            <w:pPr>
              <w:spacing w:line="276" w:lineRule="auto"/>
              <w:rPr>
                <w:bCs/>
                <w:szCs w:val="24"/>
              </w:rPr>
            </w:pPr>
            <w:r w:rsidRPr="00D948C1">
              <w:rPr>
                <w:bCs/>
                <w:szCs w:val="24"/>
              </w:rPr>
              <w:t>Long-Term Assets total</w:t>
            </w:r>
          </w:p>
        </w:tc>
        <w:tc>
          <w:tcPr>
            <w:tcW w:w="632" w:type="pct"/>
            <w:tcBorders>
              <w:top w:val="single" w:sz="4" w:space="0" w:color="auto"/>
              <w:left w:val="single" w:sz="4" w:space="0" w:color="auto"/>
              <w:bottom w:val="single" w:sz="4" w:space="0" w:color="auto"/>
              <w:right w:val="single" w:sz="4" w:space="0" w:color="auto"/>
            </w:tcBorders>
          </w:tcPr>
          <w:p w14:paraId="0B46DEE8" w14:textId="77777777" w:rsidR="001824D9" w:rsidRPr="00D948C1" w:rsidRDefault="001824D9" w:rsidP="006C0086">
            <w:pPr>
              <w:spacing w:line="276" w:lineRule="auto"/>
              <w:jc w:val="center"/>
              <w:rPr>
                <w:rStyle w:val="Hyperlink"/>
              </w:rPr>
            </w:pPr>
          </w:p>
        </w:tc>
        <w:tc>
          <w:tcPr>
            <w:tcW w:w="842" w:type="pct"/>
            <w:tcBorders>
              <w:top w:val="single" w:sz="4" w:space="0" w:color="auto"/>
              <w:left w:val="single" w:sz="4" w:space="0" w:color="auto"/>
              <w:bottom w:val="single" w:sz="4" w:space="0" w:color="auto"/>
              <w:right w:val="single" w:sz="4" w:space="0" w:color="auto"/>
            </w:tcBorders>
            <w:vAlign w:val="center"/>
          </w:tcPr>
          <w:p w14:paraId="44EA07F7" w14:textId="14417E03" w:rsidR="001824D9" w:rsidRPr="00D948C1" w:rsidRDefault="001824D9" w:rsidP="006C0086">
            <w:pPr>
              <w:pStyle w:val="CommentText"/>
              <w:tabs>
                <w:tab w:val="decimal" w:pos="1350"/>
              </w:tabs>
              <w:spacing w:line="276" w:lineRule="auto"/>
              <w:jc w:val="right"/>
              <w:rPr>
                <w:sz w:val="24"/>
                <w:szCs w:val="24"/>
              </w:rPr>
            </w:pPr>
            <w:r w:rsidRPr="00D948C1">
              <w:rPr>
                <w:sz w:val="24"/>
                <w:szCs w:val="24"/>
              </w:rPr>
              <w:t>12</w:t>
            </w:r>
            <w:r w:rsidR="00CF5F1A" w:rsidRPr="00D948C1">
              <w:rPr>
                <w:sz w:val="24"/>
                <w:szCs w:val="24"/>
              </w:rPr>
              <w:t>7,802</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241291A" w14:textId="74C6EF83" w:rsidR="001824D9" w:rsidRPr="00D948C1" w:rsidRDefault="001824D9" w:rsidP="006C0086">
            <w:pPr>
              <w:pStyle w:val="CommentText"/>
              <w:tabs>
                <w:tab w:val="decimal" w:pos="1350"/>
              </w:tabs>
              <w:spacing w:line="276" w:lineRule="auto"/>
              <w:jc w:val="right"/>
              <w:rPr>
                <w:sz w:val="24"/>
                <w:szCs w:val="24"/>
              </w:rPr>
            </w:pPr>
            <w:r w:rsidRPr="00D948C1">
              <w:rPr>
                <w:sz w:val="24"/>
                <w:szCs w:val="24"/>
              </w:rPr>
              <w:t>126,623</w:t>
            </w:r>
          </w:p>
        </w:tc>
      </w:tr>
    </w:tbl>
    <w:p w14:paraId="6F3A0AD9" w14:textId="77777777" w:rsidR="00FA18E2" w:rsidRPr="00D948C1" w:rsidRDefault="00FA18E2"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D948C1" w14:paraId="28F43B9A" w14:textId="77777777" w:rsidTr="00036C34">
        <w:tc>
          <w:tcPr>
            <w:tcW w:w="5000" w:type="pct"/>
            <w:gridSpan w:val="4"/>
            <w:shd w:val="clear" w:color="auto" w:fill="D9D9D9" w:themeFill="background1" w:themeFillShade="D9"/>
          </w:tcPr>
          <w:p w14:paraId="72C5CA71" w14:textId="2EB7E633" w:rsidR="00233A66" w:rsidRPr="00D948C1" w:rsidRDefault="00233A66" w:rsidP="006C0086">
            <w:pPr>
              <w:tabs>
                <w:tab w:val="decimal" w:pos="601"/>
                <w:tab w:val="decimal" w:pos="1350"/>
              </w:tabs>
              <w:spacing w:line="276" w:lineRule="auto"/>
              <w:rPr>
                <w:szCs w:val="24"/>
              </w:rPr>
            </w:pPr>
            <w:r w:rsidRPr="00D948C1">
              <w:rPr>
                <w:b/>
                <w:szCs w:val="24"/>
              </w:rPr>
              <w:t>Current Assets</w:t>
            </w:r>
          </w:p>
        </w:tc>
      </w:tr>
      <w:tr w:rsidR="001824D9" w:rsidRPr="00D948C1" w14:paraId="4ED860C4" w14:textId="77777777" w:rsidTr="00233A66">
        <w:tc>
          <w:tcPr>
            <w:tcW w:w="2684" w:type="pct"/>
          </w:tcPr>
          <w:p w14:paraId="44AC8B40" w14:textId="77777777" w:rsidR="001824D9" w:rsidRPr="00D948C1" w:rsidRDefault="001824D9" w:rsidP="006C0086">
            <w:pPr>
              <w:spacing w:line="276" w:lineRule="auto"/>
              <w:rPr>
                <w:szCs w:val="24"/>
              </w:rPr>
            </w:pPr>
            <w:r w:rsidRPr="00D948C1">
              <w:rPr>
                <w:szCs w:val="24"/>
              </w:rPr>
              <w:t>Inventories</w:t>
            </w:r>
          </w:p>
        </w:tc>
        <w:tc>
          <w:tcPr>
            <w:tcW w:w="632" w:type="pct"/>
          </w:tcPr>
          <w:p w14:paraId="0B5C6E20" w14:textId="77777777" w:rsidR="001824D9" w:rsidRPr="00D948C1" w:rsidRDefault="001824D9" w:rsidP="006C0086">
            <w:pPr>
              <w:pStyle w:val="CommentText"/>
              <w:tabs>
                <w:tab w:val="decimal" w:pos="1350"/>
              </w:tabs>
              <w:spacing w:line="276" w:lineRule="auto"/>
              <w:jc w:val="right"/>
              <w:rPr>
                <w:sz w:val="24"/>
                <w:szCs w:val="24"/>
              </w:rPr>
            </w:pPr>
          </w:p>
        </w:tc>
        <w:tc>
          <w:tcPr>
            <w:tcW w:w="842" w:type="pct"/>
            <w:vAlign w:val="center"/>
          </w:tcPr>
          <w:p w14:paraId="2A66E30E" w14:textId="79B8A1FB" w:rsidR="001824D9" w:rsidRPr="00D948C1" w:rsidRDefault="00CF5F1A" w:rsidP="006C0086">
            <w:pPr>
              <w:pStyle w:val="CommentText"/>
              <w:tabs>
                <w:tab w:val="decimal" w:pos="1350"/>
              </w:tabs>
              <w:spacing w:line="276" w:lineRule="auto"/>
              <w:jc w:val="right"/>
              <w:rPr>
                <w:sz w:val="24"/>
                <w:szCs w:val="24"/>
              </w:rPr>
            </w:pPr>
            <w:r w:rsidRPr="00D948C1">
              <w:rPr>
                <w:sz w:val="24"/>
                <w:szCs w:val="24"/>
              </w:rPr>
              <w:t>333</w:t>
            </w:r>
          </w:p>
        </w:tc>
        <w:tc>
          <w:tcPr>
            <w:tcW w:w="842" w:type="pct"/>
            <w:shd w:val="clear" w:color="auto" w:fill="auto"/>
            <w:vAlign w:val="center"/>
          </w:tcPr>
          <w:p w14:paraId="495F4317" w14:textId="05E48527" w:rsidR="001824D9" w:rsidRPr="00D948C1" w:rsidRDefault="001824D9" w:rsidP="006C0086">
            <w:pPr>
              <w:pStyle w:val="CommentText"/>
              <w:tabs>
                <w:tab w:val="decimal" w:pos="1350"/>
              </w:tabs>
              <w:spacing w:line="276" w:lineRule="auto"/>
              <w:jc w:val="right"/>
              <w:rPr>
                <w:sz w:val="24"/>
                <w:szCs w:val="24"/>
              </w:rPr>
            </w:pPr>
            <w:r w:rsidRPr="00D948C1">
              <w:rPr>
                <w:sz w:val="24"/>
                <w:szCs w:val="24"/>
              </w:rPr>
              <w:t>310</w:t>
            </w:r>
          </w:p>
        </w:tc>
      </w:tr>
      <w:tr w:rsidR="001824D9" w:rsidRPr="00D948C1" w14:paraId="22C73D30" w14:textId="77777777" w:rsidTr="00233A66">
        <w:tc>
          <w:tcPr>
            <w:tcW w:w="2684" w:type="pct"/>
          </w:tcPr>
          <w:p w14:paraId="0819A495" w14:textId="2B4A68D4" w:rsidR="001824D9" w:rsidRPr="00D948C1" w:rsidRDefault="001824D9" w:rsidP="006C0086">
            <w:pPr>
              <w:spacing w:line="276" w:lineRule="auto"/>
              <w:rPr>
                <w:szCs w:val="24"/>
              </w:rPr>
            </w:pPr>
            <w:r w:rsidRPr="00D948C1">
              <w:rPr>
                <w:szCs w:val="24"/>
              </w:rPr>
              <w:t>Short-Term Investments</w:t>
            </w:r>
          </w:p>
        </w:tc>
        <w:tc>
          <w:tcPr>
            <w:tcW w:w="632" w:type="pct"/>
          </w:tcPr>
          <w:p w14:paraId="44E5CE6B" w14:textId="0F3BB338" w:rsidR="001824D9" w:rsidRPr="00D948C1" w:rsidRDefault="001824D9" w:rsidP="006C0086">
            <w:pPr>
              <w:spacing w:line="276" w:lineRule="auto"/>
              <w:jc w:val="center"/>
              <w:rPr>
                <w:rStyle w:val="Hyperlink"/>
              </w:rPr>
            </w:pPr>
            <w:hyperlink w:anchor="N8" w:history="1">
              <w:r w:rsidRPr="00D948C1">
                <w:rPr>
                  <w:rStyle w:val="Hyperlink"/>
                  <w:szCs w:val="24"/>
                </w:rPr>
                <w:t>8</w:t>
              </w:r>
            </w:hyperlink>
          </w:p>
        </w:tc>
        <w:tc>
          <w:tcPr>
            <w:tcW w:w="842" w:type="pct"/>
            <w:vAlign w:val="center"/>
          </w:tcPr>
          <w:p w14:paraId="5ACB8F9D" w14:textId="5A2696B7" w:rsidR="001824D9" w:rsidRPr="00D948C1" w:rsidRDefault="00CF5F1A" w:rsidP="006C0086">
            <w:pPr>
              <w:pStyle w:val="CommentText"/>
              <w:tabs>
                <w:tab w:val="decimal" w:pos="1350"/>
              </w:tabs>
              <w:spacing w:line="276" w:lineRule="auto"/>
              <w:jc w:val="right"/>
              <w:rPr>
                <w:sz w:val="24"/>
                <w:szCs w:val="24"/>
              </w:rPr>
            </w:pPr>
            <w:r w:rsidRPr="00D948C1">
              <w:rPr>
                <w:sz w:val="24"/>
                <w:szCs w:val="24"/>
              </w:rPr>
              <w:t>23,500</w:t>
            </w:r>
          </w:p>
        </w:tc>
        <w:tc>
          <w:tcPr>
            <w:tcW w:w="842" w:type="pct"/>
            <w:shd w:val="clear" w:color="auto" w:fill="auto"/>
            <w:vAlign w:val="center"/>
          </w:tcPr>
          <w:p w14:paraId="4992FAF0" w14:textId="44B9A540" w:rsidR="001824D9" w:rsidRPr="00D948C1" w:rsidRDefault="001824D9" w:rsidP="006C0086">
            <w:pPr>
              <w:pStyle w:val="CommentText"/>
              <w:tabs>
                <w:tab w:val="decimal" w:pos="1350"/>
              </w:tabs>
              <w:spacing w:line="276" w:lineRule="auto"/>
              <w:jc w:val="right"/>
              <w:rPr>
                <w:sz w:val="24"/>
                <w:szCs w:val="24"/>
              </w:rPr>
            </w:pPr>
            <w:r w:rsidRPr="00D948C1">
              <w:rPr>
                <w:sz w:val="24"/>
                <w:szCs w:val="24"/>
              </w:rPr>
              <w:t>15,000</w:t>
            </w:r>
          </w:p>
        </w:tc>
      </w:tr>
      <w:tr w:rsidR="001824D9" w:rsidRPr="00D948C1" w14:paraId="65768B4B" w14:textId="77777777" w:rsidTr="00233A66">
        <w:tc>
          <w:tcPr>
            <w:tcW w:w="2684" w:type="pct"/>
          </w:tcPr>
          <w:p w14:paraId="50910678" w14:textId="0ACDF279" w:rsidR="001824D9" w:rsidRPr="00D948C1" w:rsidRDefault="001824D9" w:rsidP="006C0086">
            <w:pPr>
              <w:spacing w:line="276" w:lineRule="auto"/>
              <w:rPr>
                <w:szCs w:val="24"/>
              </w:rPr>
            </w:pPr>
            <w:r w:rsidRPr="00D948C1">
              <w:rPr>
                <w:szCs w:val="24"/>
              </w:rPr>
              <w:t>Short-Term Debtors</w:t>
            </w:r>
          </w:p>
        </w:tc>
        <w:tc>
          <w:tcPr>
            <w:tcW w:w="632" w:type="pct"/>
          </w:tcPr>
          <w:p w14:paraId="31553430" w14:textId="00572797" w:rsidR="001824D9" w:rsidRPr="00D948C1" w:rsidRDefault="001824D9" w:rsidP="006C0086">
            <w:pPr>
              <w:spacing w:line="276" w:lineRule="auto"/>
              <w:jc w:val="center"/>
              <w:rPr>
                <w:rStyle w:val="Hyperlink"/>
              </w:rPr>
            </w:pPr>
            <w:hyperlink w:anchor="N9" w:history="1">
              <w:r w:rsidRPr="00D948C1">
                <w:rPr>
                  <w:rStyle w:val="Hyperlink"/>
                  <w:szCs w:val="24"/>
                </w:rPr>
                <w:t>9</w:t>
              </w:r>
            </w:hyperlink>
          </w:p>
        </w:tc>
        <w:tc>
          <w:tcPr>
            <w:tcW w:w="842" w:type="pct"/>
            <w:vAlign w:val="center"/>
          </w:tcPr>
          <w:p w14:paraId="66B211AB" w14:textId="0C2E6B10" w:rsidR="001824D9" w:rsidRPr="00D948C1" w:rsidRDefault="00CF5F1A" w:rsidP="006C0086">
            <w:pPr>
              <w:pStyle w:val="CommentText"/>
              <w:tabs>
                <w:tab w:val="decimal" w:pos="1350"/>
              </w:tabs>
              <w:spacing w:line="276" w:lineRule="auto"/>
              <w:jc w:val="right"/>
              <w:rPr>
                <w:sz w:val="24"/>
                <w:szCs w:val="24"/>
              </w:rPr>
            </w:pPr>
            <w:r w:rsidRPr="00D948C1">
              <w:rPr>
                <w:sz w:val="24"/>
                <w:szCs w:val="24"/>
              </w:rPr>
              <w:t>18,604</w:t>
            </w:r>
          </w:p>
        </w:tc>
        <w:tc>
          <w:tcPr>
            <w:tcW w:w="842" w:type="pct"/>
            <w:shd w:val="clear" w:color="auto" w:fill="auto"/>
            <w:vAlign w:val="center"/>
          </w:tcPr>
          <w:p w14:paraId="08634E3C" w14:textId="6509EF9D" w:rsidR="001824D9" w:rsidRPr="00D948C1" w:rsidRDefault="001824D9" w:rsidP="006C0086">
            <w:pPr>
              <w:pStyle w:val="CommentText"/>
              <w:tabs>
                <w:tab w:val="decimal" w:pos="1350"/>
              </w:tabs>
              <w:spacing w:line="276" w:lineRule="auto"/>
              <w:jc w:val="right"/>
              <w:rPr>
                <w:sz w:val="24"/>
                <w:szCs w:val="24"/>
              </w:rPr>
            </w:pPr>
            <w:r w:rsidRPr="00D948C1">
              <w:rPr>
                <w:sz w:val="24"/>
                <w:szCs w:val="24"/>
              </w:rPr>
              <w:t>16,763</w:t>
            </w:r>
          </w:p>
        </w:tc>
      </w:tr>
      <w:tr w:rsidR="001824D9" w:rsidRPr="00D948C1" w14:paraId="114D9BE9" w14:textId="77777777" w:rsidTr="00233A66">
        <w:tc>
          <w:tcPr>
            <w:tcW w:w="2684" w:type="pct"/>
          </w:tcPr>
          <w:p w14:paraId="6B0C0EBB" w14:textId="77777777" w:rsidR="001824D9" w:rsidRPr="00D948C1" w:rsidRDefault="001824D9" w:rsidP="006C0086">
            <w:pPr>
              <w:spacing w:line="276" w:lineRule="auto"/>
              <w:rPr>
                <w:szCs w:val="24"/>
              </w:rPr>
            </w:pPr>
            <w:r w:rsidRPr="00D948C1">
              <w:rPr>
                <w:szCs w:val="24"/>
              </w:rPr>
              <w:t>Cash &amp; Cash Equivalents</w:t>
            </w:r>
          </w:p>
        </w:tc>
        <w:tc>
          <w:tcPr>
            <w:tcW w:w="632" w:type="pct"/>
          </w:tcPr>
          <w:p w14:paraId="583A6042" w14:textId="2A9680D5" w:rsidR="001824D9" w:rsidRPr="00D948C1" w:rsidRDefault="001824D9" w:rsidP="006C0086">
            <w:pPr>
              <w:spacing w:line="276" w:lineRule="auto"/>
              <w:jc w:val="center"/>
              <w:rPr>
                <w:rStyle w:val="Hyperlink"/>
              </w:rPr>
            </w:pPr>
            <w:hyperlink w:anchor="N10" w:history="1">
              <w:r w:rsidRPr="00D948C1">
                <w:rPr>
                  <w:rStyle w:val="Hyperlink"/>
                  <w:szCs w:val="24"/>
                </w:rPr>
                <w:t>10</w:t>
              </w:r>
            </w:hyperlink>
          </w:p>
        </w:tc>
        <w:tc>
          <w:tcPr>
            <w:tcW w:w="842" w:type="pct"/>
            <w:vAlign w:val="center"/>
          </w:tcPr>
          <w:p w14:paraId="489DFF37" w14:textId="26460B50" w:rsidR="001824D9" w:rsidRPr="00D948C1" w:rsidRDefault="00CF5F1A" w:rsidP="006C0086">
            <w:pPr>
              <w:pStyle w:val="CommentText"/>
              <w:tabs>
                <w:tab w:val="decimal" w:pos="1350"/>
              </w:tabs>
              <w:spacing w:line="276" w:lineRule="auto"/>
              <w:jc w:val="right"/>
              <w:rPr>
                <w:sz w:val="24"/>
                <w:szCs w:val="24"/>
              </w:rPr>
            </w:pPr>
            <w:r w:rsidRPr="00D948C1">
              <w:rPr>
                <w:sz w:val="24"/>
                <w:szCs w:val="24"/>
              </w:rPr>
              <w:t>4,297</w:t>
            </w:r>
          </w:p>
        </w:tc>
        <w:tc>
          <w:tcPr>
            <w:tcW w:w="842" w:type="pct"/>
            <w:shd w:val="clear" w:color="auto" w:fill="auto"/>
            <w:vAlign w:val="center"/>
          </w:tcPr>
          <w:p w14:paraId="43E0CDB0" w14:textId="5C548279" w:rsidR="001824D9" w:rsidRPr="00D948C1" w:rsidRDefault="001824D9" w:rsidP="006C0086">
            <w:pPr>
              <w:tabs>
                <w:tab w:val="decimal" w:pos="1350"/>
              </w:tabs>
              <w:spacing w:line="276" w:lineRule="auto"/>
              <w:jc w:val="right"/>
              <w:rPr>
                <w:szCs w:val="24"/>
              </w:rPr>
            </w:pPr>
            <w:r w:rsidRPr="00D948C1">
              <w:rPr>
                <w:szCs w:val="24"/>
              </w:rPr>
              <w:t>16,317</w:t>
            </w:r>
          </w:p>
        </w:tc>
      </w:tr>
      <w:tr w:rsidR="001824D9" w:rsidRPr="00D948C1" w14:paraId="6E20B2F6" w14:textId="77777777" w:rsidTr="00233A66">
        <w:trPr>
          <w:trHeight w:val="182"/>
        </w:trPr>
        <w:tc>
          <w:tcPr>
            <w:tcW w:w="2684" w:type="pct"/>
          </w:tcPr>
          <w:p w14:paraId="13A28AC3" w14:textId="54D5EB18" w:rsidR="001824D9" w:rsidRPr="00D948C1" w:rsidRDefault="001824D9" w:rsidP="006C0086">
            <w:pPr>
              <w:spacing w:line="276" w:lineRule="auto"/>
              <w:rPr>
                <w:szCs w:val="24"/>
              </w:rPr>
            </w:pPr>
            <w:r w:rsidRPr="00D948C1">
              <w:rPr>
                <w:szCs w:val="24"/>
              </w:rPr>
              <w:t>Current Assets total</w:t>
            </w:r>
          </w:p>
        </w:tc>
        <w:tc>
          <w:tcPr>
            <w:tcW w:w="632" w:type="pct"/>
          </w:tcPr>
          <w:p w14:paraId="5587BAAD" w14:textId="77777777" w:rsidR="001824D9" w:rsidRPr="00D948C1" w:rsidRDefault="001824D9" w:rsidP="006C0086">
            <w:pPr>
              <w:pStyle w:val="CommentText"/>
              <w:tabs>
                <w:tab w:val="decimal" w:pos="1350"/>
              </w:tabs>
              <w:spacing w:line="276" w:lineRule="auto"/>
              <w:jc w:val="right"/>
              <w:rPr>
                <w:sz w:val="24"/>
                <w:szCs w:val="24"/>
              </w:rPr>
            </w:pPr>
          </w:p>
        </w:tc>
        <w:tc>
          <w:tcPr>
            <w:tcW w:w="842" w:type="pct"/>
            <w:vAlign w:val="center"/>
          </w:tcPr>
          <w:p w14:paraId="5DB228D7" w14:textId="2990BFE4" w:rsidR="001824D9" w:rsidRPr="00D948C1" w:rsidRDefault="00CF5F1A" w:rsidP="006C0086">
            <w:pPr>
              <w:pStyle w:val="CommentText"/>
              <w:tabs>
                <w:tab w:val="decimal" w:pos="1350"/>
              </w:tabs>
              <w:spacing w:line="276" w:lineRule="auto"/>
              <w:jc w:val="right"/>
              <w:rPr>
                <w:sz w:val="24"/>
                <w:szCs w:val="24"/>
              </w:rPr>
            </w:pPr>
            <w:r w:rsidRPr="00D948C1">
              <w:rPr>
                <w:sz w:val="24"/>
                <w:szCs w:val="24"/>
              </w:rPr>
              <w:t>46,734</w:t>
            </w:r>
          </w:p>
        </w:tc>
        <w:tc>
          <w:tcPr>
            <w:tcW w:w="842" w:type="pct"/>
            <w:shd w:val="clear" w:color="auto" w:fill="auto"/>
            <w:vAlign w:val="center"/>
          </w:tcPr>
          <w:p w14:paraId="7EDD236E" w14:textId="6FAF1D05" w:rsidR="001824D9" w:rsidRPr="00D948C1" w:rsidRDefault="001824D9" w:rsidP="006C0086">
            <w:pPr>
              <w:pStyle w:val="CommentText"/>
              <w:tabs>
                <w:tab w:val="decimal" w:pos="1350"/>
              </w:tabs>
              <w:spacing w:line="276" w:lineRule="auto"/>
              <w:jc w:val="right"/>
              <w:rPr>
                <w:sz w:val="24"/>
                <w:szCs w:val="24"/>
              </w:rPr>
            </w:pPr>
            <w:r w:rsidRPr="00D948C1">
              <w:rPr>
                <w:sz w:val="24"/>
                <w:szCs w:val="24"/>
              </w:rPr>
              <w:t>48,390</w:t>
            </w:r>
          </w:p>
        </w:tc>
      </w:tr>
    </w:tbl>
    <w:p w14:paraId="20BF2C6E" w14:textId="77777777" w:rsidR="00FA18E2" w:rsidRPr="00D948C1" w:rsidRDefault="00FA18E2" w:rsidP="006C0086">
      <w:pPr>
        <w:spacing w:line="276" w:lineRule="auto"/>
      </w:pP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9"/>
        <w:gridCol w:w="1275"/>
        <w:gridCol w:w="1701"/>
        <w:gridCol w:w="1703"/>
        <w:gridCol w:w="12"/>
      </w:tblGrid>
      <w:tr w:rsidR="00233A66" w:rsidRPr="00D948C1" w14:paraId="29A85218" w14:textId="77777777" w:rsidTr="00BC3251">
        <w:tc>
          <w:tcPr>
            <w:tcW w:w="5000" w:type="pct"/>
            <w:gridSpan w:val="5"/>
            <w:shd w:val="clear" w:color="auto" w:fill="D9D9D9" w:themeFill="background1" w:themeFillShade="D9"/>
          </w:tcPr>
          <w:p w14:paraId="4FA02FE7" w14:textId="53B47043" w:rsidR="00233A66" w:rsidRPr="00D948C1" w:rsidRDefault="00233A66" w:rsidP="006C0086">
            <w:pPr>
              <w:tabs>
                <w:tab w:val="decimal" w:pos="601"/>
                <w:tab w:val="decimal" w:pos="792"/>
                <w:tab w:val="decimal" w:pos="1350"/>
              </w:tabs>
              <w:spacing w:line="276" w:lineRule="auto"/>
              <w:rPr>
                <w:szCs w:val="24"/>
              </w:rPr>
            </w:pPr>
            <w:r w:rsidRPr="00D948C1">
              <w:rPr>
                <w:b/>
                <w:szCs w:val="24"/>
              </w:rPr>
              <w:t>Current Liabilities</w:t>
            </w:r>
          </w:p>
        </w:tc>
      </w:tr>
      <w:tr w:rsidR="00CF5F1A" w:rsidRPr="00D948C1" w14:paraId="1743A6FC" w14:textId="77777777" w:rsidTr="005138FC">
        <w:trPr>
          <w:gridAfter w:val="1"/>
          <w:wAfter w:w="6" w:type="pct"/>
        </w:trPr>
        <w:tc>
          <w:tcPr>
            <w:tcW w:w="2678" w:type="pct"/>
          </w:tcPr>
          <w:p w14:paraId="0891E470" w14:textId="1BFCA8E6" w:rsidR="001824D9" w:rsidRPr="00D948C1" w:rsidRDefault="001824D9" w:rsidP="006C0086">
            <w:pPr>
              <w:spacing w:line="276" w:lineRule="auto"/>
              <w:rPr>
                <w:szCs w:val="24"/>
              </w:rPr>
            </w:pPr>
            <w:r w:rsidRPr="00D948C1">
              <w:rPr>
                <w:szCs w:val="24"/>
              </w:rPr>
              <w:t>Other Short-Term Liabilities</w:t>
            </w:r>
          </w:p>
        </w:tc>
        <w:tc>
          <w:tcPr>
            <w:tcW w:w="631" w:type="pct"/>
          </w:tcPr>
          <w:p w14:paraId="4FC16D61" w14:textId="11F40776" w:rsidR="001824D9" w:rsidRPr="00D948C1" w:rsidRDefault="001824D9" w:rsidP="006C0086">
            <w:pPr>
              <w:spacing w:line="276" w:lineRule="auto"/>
              <w:jc w:val="center"/>
              <w:rPr>
                <w:rStyle w:val="Hyperlink"/>
              </w:rPr>
            </w:pPr>
            <w:hyperlink w:anchor="N8" w:history="1">
              <w:r w:rsidRPr="00D948C1">
                <w:rPr>
                  <w:rStyle w:val="Hyperlink"/>
                  <w:szCs w:val="24"/>
                </w:rPr>
                <w:t>8</w:t>
              </w:r>
            </w:hyperlink>
          </w:p>
        </w:tc>
        <w:tc>
          <w:tcPr>
            <w:tcW w:w="842" w:type="pct"/>
            <w:shd w:val="clear" w:color="auto" w:fill="auto"/>
            <w:vAlign w:val="center"/>
          </w:tcPr>
          <w:p w14:paraId="5FF559FA" w14:textId="0257F184" w:rsidR="001824D9" w:rsidRPr="00D948C1" w:rsidRDefault="001824D9" w:rsidP="006C0086">
            <w:pPr>
              <w:pStyle w:val="CommentText"/>
              <w:tabs>
                <w:tab w:val="decimal" w:pos="1350"/>
              </w:tabs>
              <w:spacing w:line="276" w:lineRule="auto"/>
              <w:jc w:val="right"/>
              <w:rPr>
                <w:sz w:val="24"/>
                <w:szCs w:val="24"/>
              </w:rPr>
            </w:pPr>
            <w:r w:rsidRPr="00D948C1">
              <w:rPr>
                <w:sz w:val="24"/>
                <w:szCs w:val="24"/>
              </w:rPr>
              <w:t>(5</w:t>
            </w:r>
            <w:r w:rsidR="00CF5F1A" w:rsidRPr="00D948C1">
              <w:rPr>
                <w:sz w:val="24"/>
                <w:szCs w:val="24"/>
              </w:rPr>
              <w:t>61</w:t>
            </w:r>
            <w:r w:rsidRPr="00D948C1">
              <w:rPr>
                <w:sz w:val="24"/>
                <w:szCs w:val="24"/>
              </w:rPr>
              <w:t>)</w:t>
            </w:r>
          </w:p>
        </w:tc>
        <w:tc>
          <w:tcPr>
            <w:tcW w:w="843" w:type="pct"/>
            <w:shd w:val="clear" w:color="auto" w:fill="auto"/>
            <w:vAlign w:val="center"/>
          </w:tcPr>
          <w:p w14:paraId="5FD7A2A8" w14:textId="3DDB0494" w:rsidR="001824D9" w:rsidRPr="00D948C1" w:rsidRDefault="001824D9" w:rsidP="006C0086">
            <w:pPr>
              <w:tabs>
                <w:tab w:val="decimal" w:pos="1350"/>
              </w:tabs>
              <w:spacing w:line="276" w:lineRule="auto"/>
              <w:jc w:val="right"/>
              <w:rPr>
                <w:szCs w:val="24"/>
              </w:rPr>
            </w:pPr>
            <w:r w:rsidRPr="00D948C1">
              <w:rPr>
                <w:szCs w:val="24"/>
              </w:rPr>
              <w:t>(558)</w:t>
            </w:r>
          </w:p>
        </w:tc>
      </w:tr>
      <w:tr w:rsidR="00CF5F1A" w:rsidRPr="00D948C1" w14:paraId="7549EB55" w14:textId="77777777" w:rsidTr="005138FC">
        <w:trPr>
          <w:gridAfter w:val="1"/>
          <w:wAfter w:w="6" w:type="pct"/>
        </w:trPr>
        <w:tc>
          <w:tcPr>
            <w:tcW w:w="2678" w:type="pct"/>
          </w:tcPr>
          <w:p w14:paraId="0D3640A2" w14:textId="1E90D3E5" w:rsidR="001824D9" w:rsidRPr="00D948C1" w:rsidRDefault="001824D9" w:rsidP="006C0086">
            <w:pPr>
              <w:spacing w:line="276" w:lineRule="auto"/>
              <w:rPr>
                <w:szCs w:val="24"/>
              </w:rPr>
            </w:pPr>
            <w:r w:rsidRPr="00D948C1">
              <w:rPr>
                <w:szCs w:val="24"/>
              </w:rPr>
              <w:t>Short-Term Creditors</w:t>
            </w:r>
          </w:p>
        </w:tc>
        <w:tc>
          <w:tcPr>
            <w:tcW w:w="631" w:type="pct"/>
          </w:tcPr>
          <w:p w14:paraId="443A5ADE" w14:textId="59CF02B2" w:rsidR="001824D9" w:rsidRPr="00D948C1" w:rsidRDefault="001824D9" w:rsidP="006C0086">
            <w:pPr>
              <w:spacing w:line="276" w:lineRule="auto"/>
              <w:jc w:val="center"/>
              <w:rPr>
                <w:rStyle w:val="Hyperlink"/>
              </w:rPr>
            </w:pPr>
            <w:hyperlink w:anchor="N11" w:history="1">
              <w:r w:rsidRPr="00D948C1">
                <w:rPr>
                  <w:rStyle w:val="Hyperlink"/>
                  <w:szCs w:val="24"/>
                </w:rPr>
                <w:t>11</w:t>
              </w:r>
            </w:hyperlink>
          </w:p>
        </w:tc>
        <w:tc>
          <w:tcPr>
            <w:tcW w:w="842" w:type="pct"/>
            <w:shd w:val="clear" w:color="auto" w:fill="auto"/>
            <w:vAlign w:val="center"/>
          </w:tcPr>
          <w:p w14:paraId="755A5094" w14:textId="495A1DB2" w:rsidR="001824D9" w:rsidRPr="00D948C1" w:rsidRDefault="001824D9" w:rsidP="006C0086">
            <w:pPr>
              <w:pStyle w:val="CommentText"/>
              <w:tabs>
                <w:tab w:val="decimal" w:pos="1350"/>
              </w:tabs>
              <w:spacing w:line="276" w:lineRule="auto"/>
              <w:jc w:val="right"/>
              <w:rPr>
                <w:sz w:val="24"/>
                <w:szCs w:val="24"/>
              </w:rPr>
            </w:pPr>
            <w:r w:rsidRPr="00D948C1">
              <w:rPr>
                <w:sz w:val="24"/>
                <w:szCs w:val="24"/>
              </w:rPr>
              <w:t>(10,</w:t>
            </w:r>
            <w:r w:rsidR="00CF5F1A" w:rsidRPr="00D948C1">
              <w:rPr>
                <w:sz w:val="24"/>
                <w:szCs w:val="24"/>
              </w:rPr>
              <w:t>398</w:t>
            </w:r>
            <w:r w:rsidRPr="00D948C1">
              <w:rPr>
                <w:sz w:val="24"/>
                <w:szCs w:val="24"/>
              </w:rPr>
              <w:t>)</w:t>
            </w:r>
          </w:p>
        </w:tc>
        <w:tc>
          <w:tcPr>
            <w:tcW w:w="843" w:type="pct"/>
            <w:shd w:val="clear" w:color="auto" w:fill="auto"/>
            <w:vAlign w:val="center"/>
          </w:tcPr>
          <w:p w14:paraId="6E4BF6DD" w14:textId="69EB6E4E" w:rsidR="001824D9" w:rsidRPr="00D948C1" w:rsidRDefault="001824D9" w:rsidP="006C0086">
            <w:pPr>
              <w:tabs>
                <w:tab w:val="decimal" w:pos="1350"/>
              </w:tabs>
              <w:spacing w:line="276" w:lineRule="auto"/>
              <w:jc w:val="right"/>
              <w:rPr>
                <w:szCs w:val="24"/>
              </w:rPr>
            </w:pPr>
            <w:r w:rsidRPr="00D948C1">
              <w:rPr>
                <w:szCs w:val="24"/>
              </w:rPr>
              <w:t>(10,258)</w:t>
            </w:r>
          </w:p>
        </w:tc>
      </w:tr>
      <w:tr w:rsidR="00CF5F1A" w:rsidRPr="00D948C1" w14:paraId="6E1B7B90" w14:textId="77777777" w:rsidTr="005138FC">
        <w:trPr>
          <w:gridAfter w:val="1"/>
          <w:wAfter w:w="6" w:type="pct"/>
        </w:trPr>
        <w:tc>
          <w:tcPr>
            <w:tcW w:w="2678" w:type="pct"/>
          </w:tcPr>
          <w:p w14:paraId="3FC19443" w14:textId="125D4B3A" w:rsidR="001824D9" w:rsidRPr="00D948C1" w:rsidRDefault="001824D9" w:rsidP="006C0086">
            <w:pPr>
              <w:spacing w:line="276" w:lineRule="auto"/>
              <w:rPr>
                <w:szCs w:val="24"/>
              </w:rPr>
            </w:pPr>
            <w:r w:rsidRPr="00D948C1">
              <w:rPr>
                <w:szCs w:val="24"/>
              </w:rPr>
              <w:t>Current Liabilities total</w:t>
            </w:r>
          </w:p>
        </w:tc>
        <w:tc>
          <w:tcPr>
            <w:tcW w:w="631" w:type="pct"/>
          </w:tcPr>
          <w:p w14:paraId="2123CB3D" w14:textId="77777777" w:rsidR="001824D9" w:rsidRPr="00D948C1" w:rsidRDefault="001824D9" w:rsidP="006C0086">
            <w:pPr>
              <w:pStyle w:val="CommentText"/>
              <w:tabs>
                <w:tab w:val="decimal" w:pos="1350"/>
              </w:tabs>
              <w:spacing w:line="276" w:lineRule="auto"/>
              <w:jc w:val="right"/>
              <w:rPr>
                <w:sz w:val="24"/>
                <w:szCs w:val="24"/>
              </w:rPr>
            </w:pPr>
          </w:p>
        </w:tc>
        <w:tc>
          <w:tcPr>
            <w:tcW w:w="842" w:type="pct"/>
            <w:shd w:val="clear" w:color="auto" w:fill="auto"/>
            <w:vAlign w:val="center"/>
          </w:tcPr>
          <w:p w14:paraId="00619F91" w14:textId="11548D5C" w:rsidR="001824D9" w:rsidRPr="00D948C1" w:rsidRDefault="001824D9" w:rsidP="006C0086">
            <w:pPr>
              <w:pStyle w:val="CommentText"/>
              <w:tabs>
                <w:tab w:val="decimal" w:pos="1350"/>
              </w:tabs>
              <w:spacing w:line="276" w:lineRule="auto"/>
              <w:jc w:val="right"/>
              <w:rPr>
                <w:sz w:val="24"/>
                <w:szCs w:val="24"/>
              </w:rPr>
            </w:pPr>
            <w:r w:rsidRPr="00D948C1">
              <w:rPr>
                <w:sz w:val="24"/>
                <w:szCs w:val="24"/>
              </w:rPr>
              <w:t>(10,</w:t>
            </w:r>
            <w:r w:rsidR="00D723B5" w:rsidRPr="00D948C1">
              <w:rPr>
                <w:sz w:val="24"/>
                <w:szCs w:val="24"/>
              </w:rPr>
              <w:t>959</w:t>
            </w:r>
            <w:r w:rsidRPr="00D948C1">
              <w:rPr>
                <w:sz w:val="24"/>
                <w:szCs w:val="24"/>
              </w:rPr>
              <w:t>)</w:t>
            </w:r>
          </w:p>
        </w:tc>
        <w:tc>
          <w:tcPr>
            <w:tcW w:w="843" w:type="pct"/>
            <w:shd w:val="clear" w:color="auto" w:fill="auto"/>
            <w:vAlign w:val="center"/>
          </w:tcPr>
          <w:p w14:paraId="06BCD108" w14:textId="262F7180" w:rsidR="001824D9" w:rsidRPr="00D948C1" w:rsidRDefault="001824D9" w:rsidP="006C0086">
            <w:pPr>
              <w:tabs>
                <w:tab w:val="decimal" w:pos="1350"/>
              </w:tabs>
              <w:spacing w:line="276" w:lineRule="auto"/>
              <w:jc w:val="right"/>
              <w:rPr>
                <w:szCs w:val="24"/>
              </w:rPr>
            </w:pPr>
            <w:r w:rsidRPr="00D948C1">
              <w:rPr>
                <w:szCs w:val="24"/>
              </w:rPr>
              <w:t>(10,816)</w:t>
            </w:r>
          </w:p>
        </w:tc>
      </w:tr>
    </w:tbl>
    <w:p w14:paraId="61184CB4" w14:textId="77777777" w:rsidR="00FA18E2" w:rsidRPr="00D948C1" w:rsidRDefault="00FA18E2"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D948C1" w14:paraId="27F6061F" w14:textId="77777777" w:rsidTr="00036C34">
        <w:tc>
          <w:tcPr>
            <w:tcW w:w="5000" w:type="pct"/>
            <w:gridSpan w:val="4"/>
            <w:shd w:val="clear" w:color="auto" w:fill="D9D9D9" w:themeFill="background1" w:themeFillShade="D9"/>
          </w:tcPr>
          <w:p w14:paraId="1C6C4436" w14:textId="16D6C305" w:rsidR="00233A66" w:rsidRPr="00D948C1" w:rsidRDefault="00233A66" w:rsidP="006C0086">
            <w:pPr>
              <w:tabs>
                <w:tab w:val="decimal" w:pos="601"/>
                <w:tab w:val="decimal" w:pos="703"/>
                <w:tab w:val="decimal" w:pos="1350"/>
              </w:tabs>
              <w:spacing w:line="276" w:lineRule="auto"/>
              <w:rPr>
                <w:szCs w:val="24"/>
              </w:rPr>
            </w:pPr>
            <w:r w:rsidRPr="00D948C1">
              <w:rPr>
                <w:b/>
                <w:szCs w:val="24"/>
              </w:rPr>
              <w:t>Long-Term Liabilities</w:t>
            </w:r>
          </w:p>
        </w:tc>
      </w:tr>
      <w:tr w:rsidR="001824D9" w:rsidRPr="00D948C1" w14:paraId="43ED1FCE" w14:textId="77777777" w:rsidTr="00233A66">
        <w:tc>
          <w:tcPr>
            <w:tcW w:w="2684" w:type="pct"/>
          </w:tcPr>
          <w:p w14:paraId="04B39D92" w14:textId="02A0F20D" w:rsidR="001824D9" w:rsidRPr="00D948C1" w:rsidRDefault="001824D9" w:rsidP="006C0086">
            <w:pPr>
              <w:tabs>
                <w:tab w:val="left" w:pos="3900"/>
              </w:tabs>
              <w:spacing w:line="276" w:lineRule="auto"/>
              <w:rPr>
                <w:szCs w:val="24"/>
              </w:rPr>
            </w:pPr>
            <w:r w:rsidRPr="00D948C1">
              <w:rPr>
                <w:szCs w:val="24"/>
              </w:rPr>
              <w:t>Provisions</w:t>
            </w:r>
            <w:r w:rsidRPr="00D948C1">
              <w:rPr>
                <w:szCs w:val="24"/>
              </w:rPr>
              <w:tab/>
            </w:r>
          </w:p>
        </w:tc>
        <w:tc>
          <w:tcPr>
            <w:tcW w:w="632" w:type="pct"/>
          </w:tcPr>
          <w:p w14:paraId="3760958F" w14:textId="5591A414" w:rsidR="001824D9" w:rsidRPr="00D948C1" w:rsidRDefault="001824D9" w:rsidP="006C0086">
            <w:pPr>
              <w:spacing w:line="276" w:lineRule="auto"/>
              <w:jc w:val="center"/>
              <w:rPr>
                <w:rStyle w:val="Hyperlink"/>
              </w:rPr>
            </w:pPr>
            <w:hyperlink w:anchor="N12" w:history="1">
              <w:r w:rsidRPr="00D948C1">
                <w:rPr>
                  <w:rStyle w:val="Hyperlink"/>
                  <w:szCs w:val="24"/>
                </w:rPr>
                <w:t>12</w:t>
              </w:r>
            </w:hyperlink>
          </w:p>
        </w:tc>
        <w:tc>
          <w:tcPr>
            <w:tcW w:w="842" w:type="pct"/>
            <w:vAlign w:val="center"/>
          </w:tcPr>
          <w:p w14:paraId="79B0A3A8" w14:textId="704A7E52" w:rsidR="001824D9" w:rsidRPr="00D948C1" w:rsidRDefault="001439E5" w:rsidP="006C0086">
            <w:pPr>
              <w:pStyle w:val="CommentText"/>
              <w:tabs>
                <w:tab w:val="decimal" w:pos="1350"/>
              </w:tabs>
              <w:spacing w:line="276" w:lineRule="auto"/>
              <w:jc w:val="right"/>
              <w:rPr>
                <w:sz w:val="24"/>
                <w:szCs w:val="24"/>
              </w:rPr>
            </w:pPr>
            <w:r w:rsidRPr="00D948C1">
              <w:rPr>
                <w:sz w:val="24"/>
                <w:szCs w:val="24"/>
              </w:rPr>
              <w:t>(1,229)</w:t>
            </w:r>
          </w:p>
        </w:tc>
        <w:tc>
          <w:tcPr>
            <w:tcW w:w="842" w:type="pct"/>
            <w:shd w:val="clear" w:color="auto" w:fill="auto"/>
            <w:vAlign w:val="center"/>
          </w:tcPr>
          <w:p w14:paraId="040F40B8" w14:textId="072FC974" w:rsidR="001824D9" w:rsidRPr="00D948C1" w:rsidRDefault="001824D9" w:rsidP="006C0086">
            <w:pPr>
              <w:pStyle w:val="CommentText"/>
              <w:tabs>
                <w:tab w:val="decimal" w:pos="1350"/>
              </w:tabs>
              <w:spacing w:line="276" w:lineRule="auto"/>
              <w:jc w:val="right"/>
              <w:rPr>
                <w:sz w:val="24"/>
                <w:szCs w:val="24"/>
              </w:rPr>
            </w:pPr>
            <w:r w:rsidRPr="00D948C1">
              <w:rPr>
                <w:sz w:val="24"/>
                <w:szCs w:val="24"/>
              </w:rPr>
              <w:t>(1,239)</w:t>
            </w:r>
          </w:p>
        </w:tc>
      </w:tr>
      <w:tr w:rsidR="001824D9" w:rsidRPr="00D948C1" w14:paraId="2D3B9564" w14:textId="77777777" w:rsidTr="00233A66">
        <w:tc>
          <w:tcPr>
            <w:tcW w:w="2684" w:type="pct"/>
          </w:tcPr>
          <w:p w14:paraId="7E042688" w14:textId="58B200C5" w:rsidR="001824D9" w:rsidRPr="00D948C1" w:rsidRDefault="001824D9" w:rsidP="006C0086">
            <w:pPr>
              <w:spacing w:line="276" w:lineRule="auto"/>
              <w:rPr>
                <w:szCs w:val="24"/>
              </w:rPr>
            </w:pPr>
            <w:r w:rsidRPr="00D948C1">
              <w:rPr>
                <w:szCs w:val="24"/>
              </w:rPr>
              <w:t>Long-Term Borrowing</w:t>
            </w:r>
          </w:p>
        </w:tc>
        <w:tc>
          <w:tcPr>
            <w:tcW w:w="632" w:type="pct"/>
          </w:tcPr>
          <w:p w14:paraId="7F4FB273" w14:textId="4F5063AA" w:rsidR="001824D9" w:rsidRPr="00D948C1" w:rsidRDefault="001824D9" w:rsidP="006C0086">
            <w:pPr>
              <w:spacing w:line="276" w:lineRule="auto"/>
              <w:jc w:val="center"/>
              <w:rPr>
                <w:rStyle w:val="Hyperlink"/>
              </w:rPr>
            </w:pPr>
            <w:hyperlink w:anchor="N8" w:history="1">
              <w:r w:rsidRPr="00D948C1">
                <w:rPr>
                  <w:rStyle w:val="Hyperlink"/>
                  <w:szCs w:val="24"/>
                </w:rPr>
                <w:t>8</w:t>
              </w:r>
            </w:hyperlink>
          </w:p>
        </w:tc>
        <w:tc>
          <w:tcPr>
            <w:tcW w:w="842" w:type="pct"/>
            <w:vAlign w:val="center"/>
          </w:tcPr>
          <w:p w14:paraId="004736CE" w14:textId="4DE2B38D" w:rsidR="001824D9" w:rsidRPr="00D948C1" w:rsidRDefault="001439E5" w:rsidP="006C0086">
            <w:pPr>
              <w:pStyle w:val="CommentText"/>
              <w:tabs>
                <w:tab w:val="decimal" w:pos="1350"/>
              </w:tabs>
              <w:spacing w:line="276" w:lineRule="auto"/>
              <w:jc w:val="right"/>
              <w:rPr>
                <w:sz w:val="24"/>
                <w:szCs w:val="24"/>
              </w:rPr>
            </w:pPr>
            <w:r w:rsidRPr="00D948C1">
              <w:rPr>
                <w:sz w:val="24"/>
                <w:szCs w:val="24"/>
              </w:rPr>
              <w:t>(2,000)</w:t>
            </w:r>
          </w:p>
        </w:tc>
        <w:tc>
          <w:tcPr>
            <w:tcW w:w="842" w:type="pct"/>
            <w:shd w:val="clear" w:color="auto" w:fill="auto"/>
            <w:vAlign w:val="center"/>
          </w:tcPr>
          <w:p w14:paraId="27FE3670" w14:textId="4FBDC9B3" w:rsidR="001824D9" w:rsidRPr="00D948C1" w:rsidRDefault="001824D9" w:rsidP="006C0086">
            <w:pPr>
              <w:pStyle w:val="CommentText"/>
              <w:tabs>
                <w:tab w:val="decimal" w:pos="1350"/>
              </w:tabs>
              <w:spacing w:line="276" w:lineRule="auto"/>
              <w:jc w:val="right"/>
              <w:rPr>
                <w:sz w:val="24"/>
                <w:szCs w:val="24"/>
              </w:rPr>
            </w:pPr>
            <w:r w:rsidRPr="00D948C1">
              <w:rPr>
                <w:sz w:val="24"/>
                <w:szCs w:val="24"/>
              </w:rPr>
              <w:t>(2,000)</w:t>
            </w:r>
          </w:p>
        </w:tc>
      </w:tr>
      <w:tr w:rsidR="001824D9" w:rsidRPr="00D948C1" w14:paraId="6C35C4CF" w14:textId="77777777" w:rsidTr="00233A66">
        <w:tc>
          <w:tcPr>
            <w:tcW w:w="2684" w:type="pct"/>
            <w:vAlign w:val="center"/>
          </w:tcPr>
          <w:p w14:paraId="400AF1D2" w14:textId="53D82DDF" w:rsidR="001824D9" w:rsidRPr="00D948C1" w:rsidRDefault="001824D9" w:rsidP="006C0086">
            <w:pPr>
              <w:spacing w:line="276" w:lineRule="auto"/>
              <w:rPr>
                <w:szCs w:val="24"/>
              </w:rPr>
            </w:pPr>
            <w:r w:rsidRPr="00D948C1">
              <w:rPr>
                <w:szCs w:val="24"/>
              </w:rPr>
              <w:t>Other Long-Term Liabilities</w:t>
            </w:r>
          </w:p>
        </w:tc>
        <w:tc>
          <w:tcPr>
            <w:tcW w:w="632" w:type="pct"/>
          </w:tcPr>
          <w:p w14:paraId="0C821935" w14:textId="5A0C46C6" w:rsidR="001824D9" w:rsidRPr="00D948C1" w:rsidRDefault="001824D9" w:rsidP="006C0086">
            <w:pPr>
              <w:spacing w:line="276" w:lineRule="auto"/>
              <w:jc w:val="center"/>
              <w:rPr>
                <w:rStyle w:val="Hyperlink"/>
              </w:rPr>
            </w:pPr>
            <w:hyperlink w:anchor="N13" w:history="1">
              <w:r w:rsidRPr="00D948C1">
                <w:rPr>
                  <w:rStyle w:val="Hyperlink"/>
                  <w:szCs w:val="24"/>
                </w:rPr>
                <w:t>13</w:t>
              </w:r>
            </w:hyperlink>
          </w:p>
        </w:tc>
        <w:tc>
          <w:tcPr>
            <w:tcW w:w="842" w:type="pct"/>
            <w:vAlign w:val="center"/>
          </w:tcPr>
          <w:p w14:paraId="7EEBE724" w14:textId="1392ACCF" w:rsidR="001824D9" w:rsidRPr="00D948C1" w:rsidRDefault="001439E5" w:rsidP="006C0086">
            <w:pPr>
              <w:pStyle w:val="CommentText"/>
              <w:tabs>
                <w:tab w:val="decimal" w:pos="1350"/>
              </w:tabs>
              <w:spacing w:line="276" w:lineRule="auto"/>
              <w:jc w:val="right"/>
              <w:rPr>
                <w:sz w:val="24"/>
                <w:szCs w:val="24"/>
              </w:rPr>
            </w:pPr>
            <w:r w:rsidRPr="00D948C1">
              <w:rPr>
                <w:sz w:val="24"/>
                <w:szCs w:val="24"/>
              </w:rPr>
              <w:t>(663,299)</w:t>
            </w:r>
          </w:p>
        </w:tc>
        <w:tc>
          <w:tcPr>
            <w:tcW w:w="842" w:type="pct"/>
            <w:shd w:val="clear" w:color="auto" w:fill="auto"/>
            <w:vAlign w:val="center"/>
          </w:tcPr>
          <w:p w14:paraId="385ED89D" w14:textId="0BC10C3F" w:rsidR="001824D9" w:rsidRPr="00D948C1" w:rsidRDefault="001824D9" w:rsidP="006C0086">
            <w:pPr>
              <w:tabs>
                <w:tab w:val="decimal" w:pos="1350"/>
              </w:tabs>
              <w:spacing w:line="276" w:lineRule="auto"/>
              <w:jc w:val="right"/>
              <w:rPr>
                <w:szCs w:val="24"/>
              </w:rPr>
            </w:pPr>
            <w:r w:rsidRPr="00D948C1">
              <w:rPr>
                <w:szCs w:val="24"/>
              </w:rPr>
              <w:t>(663,449)</w:t>
            </w:r>
          </w:p>
        </w:tc>
      </w:tr>
      <w:tr w:rsidR="001824D9" w:rsidRPr="00D948C1" w14:paraId="4A7FDAF3" w14:textId="77777777" w:rsidTr="00233A66">
        <w:tc>
          <w:tcPr>
            <w:tcW w:w="2684" w:type="pct"/>
          </w:tcPr>
          <w:p w14:paraId="650E09D2" w14:textId="2BF5314C" w:rsidR="001824D9" w:rsidRPr="00D948C1" w:rsidRDefault="001824D9" w:rsidP="006C0086">
            <w:pPr>
              <w:pStyle w:val="CommentText"/>
              <w:spacing w:line="276" w:lineRule="auto"/>
              <w:rPr>
                <w:sz w:val="24"/>
                <w:szCs w:val="24"/>
              </w:rPr>
            </w:pPr>
            <w:r w:rsidRPr="00D948C1">
              <w:rPr>
                <w:sz w:val="24"/>
                <w:szCs w:val="24"/>
              </w:rPr>
              <w:t>Long-Term Liabilities total</w:t>
            </w:r>
          </w:p>
        </w:tc>
        <w:tc>
          <w:tcPr>
            <w:tcW w:w="632" w:type="pct"/>
          </w:tcPr>
          <w:p w14:paraId="0AF685F1" w14:textId="77777777" w:rsidR="001824D9" w:rsidRPr="00D948C1" w:rsidRDefault="001824D9" w:rsidP="006C0086">
            <w:pPr>
              <w:pStyle w:val="CommentText"/>
              <w:tabs>
                <w:tab w:val="decimal" w:pos="1350"/>
              </w:tabs>
              <w:spacing w:line="276" w:lineRule="auto"/>
              <w:jc w:val="right"/>
              <w:rPr>
                <w:sz w:val="24"/>
                <w:szCs w:val="24"/>
              </w:rPr>
            </w:pPr>
          </w:p>
        </w:tc>
        <w:tc>
          <w:tcPr>
            <w:tcW w:w="842" w:type="pct"/>
            <w:vAlign w:val="center"/>
          </w:tcPr>
          <w:p w14:paraId="669BAA3C" w14:textId="1FC48168" w:rsidR="001824D9" w:rsidRPr="00D948C1" w:rsidRDefault="001439E5" w:rsidP="006C0086">
            <w:pPr>
              <w:pStyle w:val="CommentText"/>
              <w:tabs>
                <w:tab w:val="decimal" w:pos="1350"/>
              </w:tabs>
              <w:spacing w:line="276" w:lineRule="auto"/>
              <w:jc w:val="right"/>
              <w:rPr>
                <w:sz w:val="24"/>
                <w:szCs w:val="24"/>
              </w:rPr>
            </w:pPr>
            <w:r w:rsidRPr="00D948C1">
              <w:rPr>
                <w:sz w:val="24"/>
                <w:szCs w:val="24"/>
              </w:rPr>
              <w:t>(666,529)</w:t>
            </w:r>
          </w:p>
        </w:tc>
        <w:tc>
          <w:tcPr>
            <w:tcW w:w="842" w:type="pct"/>
            <w:shd w:val="clear" w:color="auto" w:fill="auto"/>
            <w:vAlign w:val="center"/>
          </w:tcPr>
          <w:p w14:paraId="4CD72395" w14:textId="723986F1" w:rsidR="001824D9" w:rsidRPr="00D948C1" w:rsidRDefault="001824D9" w:rsidP="006C0086">
            <w:pPr>
              <w:tabs>
                <w:tab w:val="decimal" w:pos="1350"/>
              </w:tabs>
              <w:spacing w:line="276" w:lineRule="auto"/>
              <w:jc w:val="right"/>
              <w:rPr>
                <w:szCs w:val="24"/>
              </w:rPr>
            </w:pPr>
            <w:r w:rsidRPr="00D948C1">
              <w:rPr>
                <w:szCs w:val="24"/>
              </w:rPr>
              <w:t>(666,688)</w:t>
            </w:r>
          </w:p>
        </w:tc>
      </w:tr>
    </w:tbl>
    <w:p w14:paraId="165F26C0" w14:textId="77777777" w:rsidR="00F32423" w:rsidRPr="00D948C1" w:rsidRDefault="00F32423"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D948C1" w14:paraId="3907ADF3" w14:textId="77777777" w:rsidTr="00233A66">
        <w:tc>
          <w:tcPr>
            <w:tcW w:w="2684" w:type="pct"/>
          </w:tcPr>
          <w:p w14:paraId="7C453D70" w14:textId="77777777" w:rsidR="00FA18E2" w:rsidRPr="00D948C1" w:rsidRDefault="00FA18E2" w:rsidP="006C0086">
            <w:pPr>
              <w:spacing w:line="276" w:lineRule="auto"/>
              <w:rPr>
                <w:b/>
                <w:szCs w:val="24"/>
              </w:rPr>
            </w:pPr>
            <w:r w:rsidRPr="00D948C1">
              <w:rPr>
                <w:b/>
                <w:szCs w:val="24"/>
              </w:rPr>
              <w:t xml:space="preserve">Net Liabilities </w:t>
            </w:r>
          </w:p>
        </w:tc>
        <w:tc>
          <w:tcPr>
            <w:tcW w:w="632" w:type="pct"/>
          </w:tcPr>
          <w:p w14:paraId="10D180C1" w14:textId="77777777" w:rsidR="00FA18E2" w:rsidRPr="00D948C1" w:rsidRDefault="00FA18E2" w:rsidP="006C0086">
            <w:pPr>
              <w:pStyle w:val="CommentText"/>
              <w:tabs>
                <w:tab w:val="decimal" w:pos="1350"/>
              </w:tabs>
              <w:spacing w:line="276" w:lineRule="auto"/>
              <w:jc w:val="right"/>
              <w:rPr>
                <w:sz w:val="24"/>
                <w:szCs w:val="24"/>
              </w:rPr>
            </w:pPr>
          </w:p>
        </w:tc>
        <w:tc>
          <w:tcPr>
            <w:tcW w:w="842" w:type="pct"/>
            <w:vAlign w:val="center"/>
          </w:tcPr>
          <w:p w14:paraId="0752F770" w14:textId="0E7746C3" w:rsidR="00FA18E2" w:rsidRPr="00D948C1" w:rsidRDefault="00FA18E2" w:rsidP="006C0086">
            <w:pPr>
              <w:pStyle w:val="CommentText"/>
              <w:tabs>
                <w:tab w:val="decimal" w:pos="1350"/>
              </w:tabs>
              <w:spacing w:line="276" w:lineRule="auto"/>
              <w:jc w:val="right"/>
              <w:rPr>
                <w:b/>
                <w:bCs/>
                <w:sz w:val="24"/>
                <w:szCs w:val="24"/>
              </w:rPr>
            </w:pPr>
            <w:r w:rsidRPr="00D948C1">
              <w:rPr>
                <w:b/>
                <w:bCs/>
                <w:sz w:val="24"/>
                <w:szCs w:val="24"/>
              </w:rPr>
              <w:t>(502,</w:t>
            </w:r>
            <w:r w:rsidR="001439E5" w:rsidRPr="00D948C1">
              <w:rPr>
                <w:b/>
                <w:bCs/>
                <w:sz w:val="24"/>
                <w:szCs w:val="24"/>
              </w:rPr>
              <w:t>953</w:t>
            </w:r>
            <w:r w:rsidRPr="00D948C1">
              <w:rPr>
                <w:b/>
                <w:bCs/>
                <w:sz w:val="24"/>
                <w:szCs w:val="24"/>
              </w:rPr>
              <w:t>)</w:t>
            </w:r>
          </w:p>
        </w:tc>
        <w:tc>
          <w:tcPr>
            <w:tcW w:w="842" w:type="pct"/>
            <w:shd w:val="clear" w:color="auto" w:fill="auto"/>
            <w:vAlign w:val="center"/>
          </w:tcPr>
          <w:p w14:paraId="0BD9BC60" w14:textId="3583BC03" w:rsidR="00FA18E2" w:rsidRPr="00D948C1" w:rsidRDefault="001824D9" w:rsidP="006C0086">
            <w:pPr>
              <w:pStyle w:val="CommentText"/>
              <w:tabs>
                <w:tab w:val="decimal" w:pos="1350"/>
              </w:tabs>
              <w:spacing w:line="276" w:lineRule="auto"/>
              <w:jc w:val="right"/>
              <w:rPr>
                <w:b/>
                <w:bCs/>
                <w:sz w:val="24"/>
                <w:szCs w:val="24"/>
              </w:rPr>
            </w:pPr>
            <w:r w:rsidRPr="00D948C1">
              <w:rPr>
                <w:b/>
                <w:bCs/>
                <w:sz w:val="24"/>
                <w:szCs w:val="24"/>
              </w:rPr>
              <w:t>(502,491)</w:t>
            </w:r>
          </w:p>
        </w:tc>
      </w:tr>
    </w:tbl>
    <w:p w14:paraId="5B5E4161" w14:textId="77777777" w:rsidR="00F32423" w:rsidRPr="00D948C1" w:rsidRDefault="00F32423"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D948C1" w14:paraId="22B85105" w14:textId="77777777" w:rsidTr="00036C34">
        <w:tc>
          <w:tcPr>
            <w:tcW w:w="5000" w:type="pct"/>
            <w:gridSpan w:val="4"/>
            <w:shd w:val="clear" w:color="auto" w:fill="D9D9D9" w:themeFill="background1" w:themeFillShade="D9"/>
          </w:tcPr>
          <w:p w14:paraId="3D773EFD" w14:textId="5992B682" w:rsidR="00233A66" w:rsidRPr="00D948C1" w:rsidRDefault="00233A66" w:rsidP="006C0086">
            <w:pPr>
              <w:pStyle w:val="CommentText"/>
              <w:tabs>
                <w:tab w:val="decimal" w:pos="1350"/>
              </w:tabs>
              <w:spacing w:line="276" w:lineRule="auto"/>
              <w:rPr>
                <w:sz w:val="24"/>
                <w:szCs w:val="24"/>
              </w:rPr>
            </w:pPr>
            <w:r w:rsidRPr="00D948C1">
              <w:rPr>
                <w:b/>
                <w:sz w:val="24"/>
                <w:szCs w:val="24"/>
              </w:rPr>
              <w:t>Usable Reserves</w:t>
            </w:r>
          </w:p>
        </w:tc>
      </w:tr>
      <w:tr w:rsidR="001824D9" w:rsidRPr="00D948C1" w14:paraId="1A22FF8C" w14:textId="77777777" w:rsidTr="00233A66">
        <w:tc>
          <w:tcPr>
            <w:tcW w:w="2684" w:type="pct"/>
          </w:tcPr>
          <w:p w14:paraId="5780D26F" w14:textId="77777777" w:rsidR="001824D9" w:rsidRPr="00D948C1" w:rsidRDefault="001824D9" w:rsidP="006C0086">
            <w:pPr>
              <w:spacing w:line="276" w:lineRule="auto"/>
              <w:rPr>
                <w:szCs w:val="24"/>
              </w:rPr>
            </w:pPr>
            <w:r w:rsidRPr="00D948C1">
              <w:rPr>
                <w:szCs w:val="24"/>
              </w:rPr>
              <w:t>Revenue Reserves</w:t>
            </w:r>
          </w:p>
        </w:tc>
        <w:tc>
          <w:tcPr>
            <w:tcW w:w="632" w:type="pct"/>
          </w:tcPr>
          <w:p w14:paraId="074CB05C" w14:textId="054A6184" w:rsidR="001824D9" w:rsidRPr="00D948C1" w:rsidRDefault="001824D9" w:rsidP="006C0086">
            <w:pPr>
              <w:spacing w:line="276" w:lineRule="auto"/>
              <w:jc w:val="center"/>
              <w:rPr>
                <w:rStyle w:val="Hyperlink"/>
              </w:rPr>
            </w:pPr>
            <w:hyperlink w:anchor="N16" w:history="1">
              <w:r w:rsidRPr="00D948C1">
                <w:rPr>
                  <w:rStyle w:val="Hyperlink"/>
                  <w:szCs w:val="24"/>
                </w:rPr>
                <w:t>16</w:t>
              </w:r>
            </w:hyperlink>
          </w:p>
        </w:tc>
        <w:tc>
          <w:tcPr>
            <w:tcW w:w="842" w:type="pct"/>
            <w:vAlign w:val="center"/>
          </w:tcPr>
          <w:p w14:paraId="0415D9CC" w14:textId="609BD845" w:rsidR="001824D9" w:rsidRPr="00D948C1" w:rsidRDefault="001824D9" w:rsidP="006C0086">
            <w:pPr>
              <w:pStyle w:val="CommentText"/>
              <w:tabs>
                <w:tab w:val="decimal" w:pos="1350"/>
              </w:tabs>
              <w:spacing w:line="276" w:lineRule="auto"/>
              <w:jc w:val="right"/>
              <w:rPr>
                <w:sz w:val="24"/>
                <w:szCs w:val="24"/>
              </w:rPr>
            </w:pPr>
            <w:r w:rsidRPr="00D948C1">
              <w:rPr>
                <w:sz w:val="24"/>
                <w:szCs w:val="24"/>
              </w:rPr>
              <w:t>(14,1</w:t>
            </w:r>
            <w:r w:rsidR="001439E5" w:rsidRPr="00D948C1">
              <w:rPr>
                <w:sz w:val="24"/>
                <w:szCs w:val="24"/>
              </w:rPr>
              <w:t>04</w:t>
            </w:r>
            <w:r w:rsidRPr="00D948C1">
              <w:rPr>
                <w:sz w:val="24"/>
                <w:szCs w:val="24"/>
              </w:rPr>
              <w:t>)</w:t>
            </w:r>
          </w:p>
        </w:tc>
        <w:tc>
          <w:tcPr>
            <w:tcW w:w="842" w:type="pct"/>
            <w:shd w:val="clear" w:color="auto" w:fill="auto"/>
            <w:vAlign w:val="center"/>
          </w:tcPr>
          <w:p w14:paraId="78B7DFDA" w14:textId="025A485F" w:rsidR="001824D9" w:rsidRPr="00D948C1" w:rsidRDefault="001824D9" w:rsidP="006C0086">
            <w:pPr>
              <w:pStyle w:val="CommentText"/>
              <w:tabs>
                <w:tab w:val="decimal" w:pos="1350"/>
              </w:tabs>
              <w:spacing w:line="276" w:lineRule="auto"/>
              <w:jc w:val="right"/>
              <w:rPr>
                <w:sz w:val="24"/>
                <w:szCs w:val="24"/>
              </w:rPr>
            </w:pPr>
            <w:r w:rsidRPr="00D948C1">
              <w:rPr>
                <w:sz w:val="24"/>
                <w:szCs w:val="24"/>
              </w:rPr>
              <w:t>(14,145)</w:t>
            </w:r>
          </w:p>
        </w:tc>
      </w:tr>
      <w:tr w:rsidR="001824D9" w:rsidRPr="00D948C1" w14:paraId="4AAA4BBE" w14:textId="77777777" w:rsidTr="00233A66">
        <w:tc>
          <w:tcPr>
            <w:tcW w:w="2684" w:type="pct"/>
          </w:tcPr>
          <w:p w14:paraId="163FBB61" w14:textId="77777777" w:rsidR="001824D9" w:rsidRPr="00D948C1" w:rsidRDefault="001824D9" w:rsidP="006C0086">
            <w:pPr>
              <w:spacing w:line="276" w:lineRule="auto"/>
              <w:rPr>
                <w:szCs w:val="24"/>
              </w:rPr>
            </w:pPr>
            <w:r w:rsidRPr="00D948C1">
              <w:rPr>
                <w:szCs w:val="24"/>
              </w:rPr>
              <w:t>Capital Funding Reserve</w:t>
            </w:r>
          </w:p>
        </w:tc>
        <w:tc>
          <w:tcPr>
            <w:tcW w:w="632" w:type="pct"/>
          </w:tcPr>
          <w:p w14:paraId="099659AA" w14:textId="118BC432" w:rsidR="001824D9" w:rsidRPr="00D948C1" w:rsidRDefault="001824D9" w:rsidP="006C0086">
            <w:pPr>
              <w:spacing w:line="276" w:lineRule="auto"/>
              <w:jc w:val="center"/>
              <w:rPr>
                <w:rStyle w:val="Hyperlink"/>
              </w:rPr>
            </w:pPr>
            <w:hyperlink w:anchor="N16" w:history="1">
              <w:r w:rsidRPr="00D948C1">
                <w:rPr>
                  <w:rStyle w:val="Hyperlink"/>
                  <w:szCs w:val="24"/>
                </w:rPr>
                <w:t>16</w:t>
              </w:r>
            </w:hyperlink>
          </w:p>
        </w:tc>
        <w:tc>
          <w:tcPr>
            <w:tcW w:w="842" w:type="pct"/>
            <w:vAlign w:val="center"/>
          </w:tcPr>
          <w:p w14:paraId="26042AD1" w14:textId="2C9709B1" w:rsidR="001824D9" w:rsidRPr="00D948C1" w:rsidRDefault="001824D9" w:rsidP="006C0086">
            <w:pPr>
              <w:pStyle w:val="CommentText"/>
              <w:tabs>
                <w:tab w:val="decimal" w:pos="1350"/>
              </w:tabs>
              <w:spacing w:line="276" w:lineRule="auto"/>
              <w:jc w:val="right"/>
              <w:rPr>
                <w:sz w:val="24"/>
                <w:szCs w:val="24"/>
              </w:rPr>
            </w:pPr>
            <w:r w:rsidRPr="00D948C1">
              <w:rPr>
                <w:sz w:val="24"/>
                <w:szCs w:val="24"/>
              </w:rPr>
              <w:t>(</w:t>
            </w:r>
            <w:r w:rsidR="00707E5D">
              <w:rPr>
                <w:sz w:val="24"/>
                <w:szCs w:val="24"/>
              </w:rPr>
              <w:t>19,593</w:t>
            </w:r>
            <w:r w:rsidRPr="00D948C1">
              <w:rPr>
                <w:sz w:val="24"/>
                <w:szCs w:val="24"/>
              </w:rPr>
              <w:t>)</w:t>
            </w:r>
          </w:p>
        </w:tc>
        <w:tc>
          <w:tcPr>
            <w:tcW w:w="842" w:type="pct"/>
            <w:shd w:val="clear" w:color="auto" w:fill="auto"/>
            <w:vAlign w:val="center"/>
          </w:tcPr>
          <w:p w14:paraId="2B416EF0" w14:textId="28C65BD0" w:rsidR="001824D9" w:rsidRPr="00D948C1" w:rsidRDefault="001824D9" w:rsidP="006C0086">
            <w:pPr>
              <w:tabs>
                <w:tab w:val="decimal" w:pos="1350"/>
              </w:tabs>
              <w:spacing w:line="276" w:lineRule="auto"/>
              <w:jc w:val="right"/>
              <w:rPr>
                <w:szCs w:val="24"/>
              </w:rPr>
            </w:pPr>
            <w:r w:rsidRPr="00D948C1">
              <w:rPr>
                <w:szCs w:val="24"/>
              </w:rPr>
              <w:t>(20,344)</w:t>
            </w:r>
          </w:p>
        </w:tc>
      </w:tr>
      <w:tr w:rsidR="001824D9" w:rsidRPr="00D948C1" w14:paraId="315CBBC3" w14:textId="77777777" w:rsidTr="00233A66">
        <w:tc>
          <w:tcPr>
            <w:tcW w:w="2684" w:type="pct"/>
          </w:tcPr>
          <w:p w14:paraId="67E9AE8B" w14:textId="77777777" w:rsidR="001824D9" w:rsidRPr="00D948C1" w:rsidRDefault="001824D9" w:rsidP="006C0086">
            <w:pPr>
              <w:spacing w:line="276" w:lineRule="auto"/>
              <w:rPr>
                <w:szCs w:val="24"/>
              </w:rPr>
            </w:pPr>
            <w:r w:rsidRPr="00D948C1">
              <w:rPr>
                <w:szCs w:val="24"/>
              </w:rPr>
              <w:t>Capital Grants Unapplied Account</w:t>
            </w:r>
          </w:p>
        </w:tc>
        <w:tc>
          <w:tcPr>
            <w:tcW w:w="632" w:type="pct"/>
          </w:tcPr>
          <w:p w14:paraId="10298C0F" w14:textId="39F27154" w:rsidR="001824D9" w:rsidRPr="00D948C1" w:rsidRDefault="001824D9" w:rsidP="006C0086">
            <w:pPr>
              <w:spacing w:line="276" w:lineRule="auto"/>
              <w:jc w:val="center"/>
              <w:rPr>
                <w:rStyle w:val="Hyperlink"/>
              </w:rPr>
            </w:pPr>
            <w:hyperlink w:anchor="N16" w:history="1">
              <w:r w:rsidRPr="00D948C1">
                <w:rPr>
                  <w:rStyle w:val="Hyperlink"/>
                  <w:szCs w:val="24"/>
                </w:rPr>
                <w:t>16</w:t>
              </w:r>
            </w:hyperlink>
          </w:p>
        </w:tc>
        <w:tc>
          <w:tcPr>
            <w:tcW w:w="842" w:type="pct"/>
            <w:vAlign w:val="center"/>
          </w:tcPr>
          <w:p w14:paraId="0AD9FB45" w14:textId="50E2C5C8" w:rsidR="001824D9" w:rsidRPr="00D948C1" w:rsidRDefault="001439E5" w:rsidP="006C0086">
            <w:pPr>
              <w:pStyle w:val="CommentText"/>
              <w:tabs>
                <w:tab w:val="decimal" w:pos="1350"/>
              </w:tabs>
              <w:spacing w:line="276" w:lineRule="auto"/>
              <w:jc w:val="right"/>
              <w:rPr>
                <w:sz w:val="24"/>
                <w:szCs w:val="24"/>
              </w:rPr>
            </w:pPr>
            <w:r w:rsidRPr="00D948C1">
              <w:rPr>
                <w:sz w:val="24"/>
                <w:szCs w:val="24"/>
              </w:rPr>
              <w:t>-</w:t>
            </w:r>
          </w:p>
        </w:tc>
        <w:tc>
          <w:tcPr>
            <w:tcW w:w="842" w:type="pct"/>
            <w:shd w:val="clear" w:color="auto" w:fill="auto"/>
            <w:vAlign w:val="center"/>
          </w:tcPr>
          <w:p w14:paraId="0FE6DA6B" w14:textId="5BC1D0BA" w:rsidR="001824D9" w:rsidRPr="00D948C1" w:rsidRDefault="001824D9" w:rsidP="006C0086">
            <w:pPr>
              <w:tabs>
                <w:tab w:val="decimal" w:pos="1350"/>
              </w:tabs>
              <w:spacing w:line="276" w:lineRule="auto"/>
              <w:jc w:val="right"/>
              <w:rPr>
                <w:szCs w:val="24"/>
              </w:rPr>
            </w:pPr>
            <w:r w:rsidRPr="00D948C1">
              <w:rPr>
                <w:szCs w:val="24"/>
              </w:rPr>
              <w:t>(27)</w:t>
            </w:r>
          </w:p>
        </w:tc>
      </w:tr>
      <w:tr w:rsidR="001824D9" w:rsidRPr="00D948C1" w14:paraId="00F6B3DD" w14:textId="77777777" w:rsidTr="00233A66">
        <w:tc>
          <w:tcPr>
            <w:tcW w:w="2684" w:type="pct"/>
          </w:tcPr>
          <w:p w14:paraId="7255C046" w14:textId="77777777" w:rsidR="001824D9" w:rsidRPr="00D948C1" w:rsidRDefault="001824D9" w:rsidP="006C0086">
            <w:pPr>
              <w:spacing w:line="276" w:lineRule="auto"/>
              <w:rPr>
                <w:szCs w:val="24"/>
              </w:rPr>
            </w:pPr>
            <w:r w:rsidRPr="00D948C1">
              <w:rPr>
                <w:szCs w:val="24"/>
              </w:rPr>
              <w:t>Usable Capital Receipts Reserve</w:t>
            </w:r>
          </w:p>
        </w:tc>
        <w:tc>
          <w:tcPr>
            <w:tcW w:w="632" w:type="pct"/>
          </w:tcPr>
          <w:p w14:paraId="794E62B7" w14:textId="24F28214" w:rsidR="001824D9" w:rsidRPr="00D948C1" w:rsidRDefault="001824D9" w:rsidP="006C0086">
            <w:pPr>
              <w:spacing w:line="276" w:lineRule="auto"/>
              <w:jc w:val="center"/>
              <w:rPr>
                <w:rStyle w:val="Hyperlink"/>
              </w:rPr>
            </w:pPr>
            <w:hyperlink w:anchor="N16" w:history="1">
              <w:r w:rsidRPr="00D948C1">
                <w:rPr>
                  <w:rStyle w:val="Hyperlink"/>
                  <w:szCs w:val="24"/>
                </w:rPr>
                <w:t>16</w:t>
              </w:r>
            </w:hyperlink>
          </w:p>
        </w:tc>
        <w:tc>
          <w:tcPr>
            <w:tcW w:w="842" w:type="pct"/>
            <w:vAlign w:val="center"/>
          </w:tcPr>
          <w:p w14:paraId="5EBE202F" w14:textId="70A0FBD2" w:rsidR="001824D9" w:rsidRPr="00D948C1" w:rsidRDefault="001824D9" w:rsidP="006C0086">
            <w:pPr>
              <w:pStyle w:val="CommentText"/>
              <w:tabs>
                <w:tab w:val="decimal" w:pos="1350"/>
              </w:tabs>
              <w:spacing w:line="276" w:lineRule="auto"/>
              <w:jc w:val="right"/>
              <w:rPr>
                <w:sz w:val="24"/>
                <w:szCs w:val="24"/>
              </w:rPr>
            </w:pPr>
            <w:r w:rsidRPr="00D948C1">
              <w:rPr>
                <w:sz w:val="24"/>
                <w:szCs w:val="24"/>
              </w:rPr>
              <w:t>(</w:t>
            </w:r>
            <w:r w:rsidR="00EC11E7" w:rsidRPr="00D948C1">
              <w:rPr>
                <w:sz w:val="24"/>
                <w:szCs w:val="24"/>
              </w:rPr>
              <w:t>7</w:t>
            </w:r>
            <w:r w:rsidR="008B5A6A" w:rsidRPr="00D948C1">
              <w:rPr>
                <w:sz w:val="24"/>
                <w:szCs w:val="24"/>
              </w:rPr>
              <w:t>1</w:t>
            </w:r>
            <w:r w:rsidRPr="00D948C1">
              <w:rPr>
                <w:sz w:val="24"/>
                <w:szCs w:val="24"/>
              </w:rPr>
              <w:t>)</w:t>
            </w:r>
          </w:p>
        </w:tc>
        <w:tc>
          <w:tcPr>
            <w:tcW w:w="842" w:type="pct"/>
            <w:shd w:val="clear" w:color="auto" w:fill="auto"/>
            <w:vAlign w:val="center"/>
          </w:tcPr>
          <w:p w14:paraId="4B3AEBC5" w14:textId="59DFE75D" w:rsidR="001824D9" w:rsidRPr="00D948C1" w:rsidRDefault="001824D9" w:rsidP="006C0086">
            <w:pPr>
              <w:tabs>
                <w:tab w:val="decimal" w:pos="1350"/>
              </w:tabs>
              <w:spacing w:line="276" w:lineRule="auto"/>
              <w:jc w:val="right"/>
              <w:rPr>
                <w:szCs w:val="24"/>
              </w:rPr>
            </w:pPr>
            <w:r w:rsidRPr="00D948C1">
              <w:rPr>
                <w:szCs w:val="24"/>
              </w:rPr>
              <w:t>(1,692)</w:t>
            </w:r>
          </w:p>
        </w:tc>
      </w:tr>
      <w:tr w:rsidR="001824D9" w:rsidRPr="00D948C1" w14:paraId="7E7C63B6" w14:textId="77777777" w:rsidTr="00233A66">
        <w:tc>
          <w:tcPr>
            <w:tcW w:w="2684" w:type="pct"/>
          </w:tcPr>
          <w:p w14:paraId="371EF47D" w14:textId="5932F186" w:rsidR="001824D9" w:rsidRPr="00D948C1" w:rsidRDefault="001824D9" w:rsidP="006C0086">
            <w:pPr>
              <w:spacing w:line="276" w:lineRule="auto"/>
              <w:rPr>
                <w:bCs/>
                <w:szCs w:val="24"/>
              </w:rPr>
            </w:pPr>
            <w:r w:rsidRPr="00D948C1">
              <w:rPr>
                <w:bCs/>
                <w:szCs w:val="24"/>
              </w:rPr>
              <w:t>Usable Reserves total</w:t>
            </w:r>
          </w:p>
        </w:tc>
        <w:tc>
          <w:tcPr>
            <w:tcW w:w="632" w:type="pct"/>
          </w:tcPr>
          <w:p w14:paraId="30B55C80" w14:textId="0674F596" w:rsidR="001824D9" w:rsidRPr="00D948C1" w:rsidRDefault="001824D9" w:rsidP="006C0086">
            <w:pPr>
              <w:spacing w:line="276" w:lineRule="auto"/>
              <w:jc w:val="center"/>
              <w:rPr>
                <w:rStyle w:val="Hyperlink"/>
              </w:rPr>
            </w:pPr>
            <w:hyperlink w:anchor="N16" w:history="1">
              <w:r w:rsidRPr="00D948C1">
                <w:rPr>
                  <w:rStyle w:val="Hyperlink"/>
                  <w:szCs w:val="24"/>
                </w:rPr>
                <w:t>16</w:t>
              </w:r>
            </w:hyperlink>
          </w:p>
        </w:tc>
        <w:tc>
          <w:tcPr>
            <w:tcW w:w="842" w:type="pct"/>
            <w:vAlign w:val="center"/>
          </w:tcPr>
          <w:p w14:paraId="399641AE" w14:textId="64EDBA9D" w:rsidR="001824D9" w:rsidRPr="00D948C1" w:rsidRDefault="001824D9" w:rsidP="006C0086">
            <w:pPr>
              <w:pStyle w:val="CommentText"/>
              <w:tabs>
                <w:tab w:val="decimal" w:pos="1350"/>
              </w:tabs>
              <w:spacing w:line="276" w:lineRule="auto"/>
              <w:jc w:val="right"/>
              <w:rPr>
                <w:sz w:val="24"/>
                <w:szCs w:val="24"/>
              </w:rPr>
            </w:pPr>
            <w:r w:rsidRPr="00D948C1">
              <w:rPr>
                <w:sz w:val="24"/>
                <w:szCs w:val="24"/>
              </w:rPr>
              <w:t>(3</w:t>
            </w:r>
            <w:r w:rsidR="00707E5D">
              <w:rPr>
                <w:sz w:val="24"/>
                <w:szCs w:val="24"/>
              </w:rPr>
              <w:t>3</w:t>
            </w:r>
            <w:r w:rsidR="001439E5" w:rsidRPr="00D948C1">
              <w:rPr>
                <w:sz w:val="24"/>
                <w:szCs w:val="24"/>
              </w:rPr>
              <w:t>,</w:t>
            </w:r>
            <w:r w:rsidR="00707E5D">
              <w:rPr>
                <w:sz w:val="24"/>
                <w:szCs w:val="24"/>
              </w:rPr>
              <w:t>76</w:t>
            </w:r>
            <w:r w:rsidR="001439E5" w:rsidRPr="00D948C1">
              <w:rPr>
                <w:sz w:val="24"/>
                <w:szCs w:val="24"/>
              </w:rPr>
              <w:t>8</w:t>
            </w:r>
            <w:r w:rsidRPr="00D948C1">
              <w:rPr>
                <w:sz w:val="24"/>
                <w:szCs w:val="24"/>
              </w:rPr>
              <w:t>)</w:t>
            </w:r>
          </w:p>
        </w:tc>
        <w:tc>
          <w:tcPr>
            <w:tcW w:w="842" w:type="pct"/>
            <w:shd w:val="clear" w:color="auto" w:fill="auto"/>
            <w:vAlign w:val="center"/>
          </w:tcPr>
          <w:p w14:paraId="287397EE" w14:textId="2471F6C8" w:rsidR="001824D9" w:rsidRPr="00D948C1" w:rsidRDefault="001824D9" w:rsidP="006C0086">
            <w:pPr>
              <w:tabs>
                <w:tab w:val="decimal" w:pos="1350"/>
              </w:tabs>
              <w:spacing w:line="276" w:lineRule="auto"/>
              <w:jc w:val="right"/>
              <w:rPr>
                <w:szCs w:val="24"/>
              </w:rPr>
            </w:pPr>
            <w:r w:rsidRPr="00D948C1">
              <w:rPr>
                <w:szCs w:val="24"/>
              </w:rPr>
              <w:t>(36,208)</w:t>
            </w:r>
          </w:p>
        </w:tc>
      </w:tr>
    </w:tbl>
    <w:p w14:paraId="49FF17D4" w14:textId="1ACDDED9" w:rsidR="00F32423" w:rsidRPr="00D948C1" w:rsidRDefault="00F32423" w:rsidP="006C0086">
      <w:pPr>
        <w:spacing w:line="276" w:lineRule="auto"/>
      </w:pPr>
    </w:p>
    <w:p w14:paraId="66EAFC94" w14:textId="77777777" w:rsidR="00F32423" w:rsidRPr="00D948C1" w:rsidRDefault="00F32423" w:rsidP="006C0086">
      <w:pPr>
        <w:spacing w:line="276" w:lineRule="auto"/>
      </w:pPr>
      <w:r w:rsidRPr="00D948C1">
        <w:br w:type="page"/>
      </w:r>
    </w:p>
    <w:p w14:paraId="71CE84E9" w14:textId="77777777" w:rsidR="00F32423" w:rsidRPr="00D948C1" w:rsidRDefault="00F32423"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32423" w:rsidRPr="00D948C1" w14:paraId="2DF7DF7F" w14:textId="77777777" w:rsidTr="00611673">
        <w:tc>
          <w:tcPr>
            <w:tcW w:w="2684" w:type="pct"/>
            <w:shd w:val="clear" w:color="auto" w:fill="BD2716"/>
          </w:tcPr>
          <w:p w14:paraId="0F56B118" w14:textId="77777777" w:rsidR="00F32423" w:rsidRPr="00D948C1" w:rsidRDefault="00F32423" w:rsidP="006C0086">
            <w:pPr>
              <w:spacing w:before="240" w:line="276" w:lineRule="auto"/>
              <w:rPr>
                <w:b/>
                <w:color w:val="FFFFFF" w:themeColor="background1"/>
                <w:szCs w:val="24"/>
              </w:rPr>
            </w:pPr>
          </w:p>
        </w:tc>
        <w:tc>
          <w:tcPr>
            <w:tcW w:w="632" w:type="pct"/>
            <w:shd w:val="clear" w:color="auto" w:fill="BD2716"/>
            <w:vAlign w:val="center"/>
          </w:tcPr>
          <w:p w14:paraId="0BD4A736" w14:textId="76458E58" w:rsidR="00F32423" w:rsidRPr="00D948C1" w:rsidRDefault="00F32423" w:rsidP="006C0086">
            <w:pPr>
              <w:spacing w:before="240" w:line="276" w:lineRule="auto"/>
              <w:rPr>
                <w:rStyle w:val="Hyperlink"/>
                <w:color w:val="FFFFFF" w:themeColor="background1"/>
                <w:u w:val="none"/>
              </w:rPr>
            </w:pPr>
            <w:r w:rsidRPr="00D948C1">
              <w:rPr>
                <w:rStyle w:val="Hyperlink"/>
                <w:color w:val="FFFFFF" w:themeColor="background1"/>
                <w:u w:val="none"/>
              </w:rPr>
              <w:t>Notes</w:t>
            </w:r>
          </w:p>
        </w:tc>
        <w:tc>
          <w:tcPr>
            <w:tcW w:w="842" w:type="pct"/>
            <w:shd w:val="clear" w:color="auto" w:fill="BD2716"/>
            <w:vAlign w:val="center"/>
          </w:tcPr>
          <w:p w14:paraId="1C70B22D" w14:textId="38962267" w:rsidR="00F32423" w:rsidRPr="00D948C1" w:rsidRDefault="00F32423" w:rsidP="006C0086">
            <w:pPr>
              <w:spacing w:line="276" w:lineRule="auto"/>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C74045">
              <w:rPr>
                <w:color w:val="FFFFFF" w:themeColor="background1"/>
                <w:szCs w:val="24"/>
              </w:rPr>
              <w:t>4</w:t>
            </w:r>
          </w:p>
          <w:p w14:paraId="781F6CA6" w14:textId="18D41D31" w:rsidR="00F32423" w:rsidRPr="00D948C1" w:rsidRDefault="00F32423" w:rsidP="006C0086">
            <w:pPr>
              <w:spacing w:line="276" w:lineRule="auto"/>
              <w:jc w:val="right"/>
              <w:rPr>
                <w:color w:val="FFFFFF" w:themeColor="background1"/>
                <w:szCs w:val="24"/>
              </w:rPr>
            </w:pPr>
            <w:r w:rsidRPr="00D948C1">
              <w:rPr>
                <w:color w:val="FFFFFF" w:themeColor="background1"/>
                <w:szCs w:val="24"/>
              </w:rPr>
              <w:t>£000</w:t>
            </w:r>
          </w:p>
        </w:tc>
        <w:tc>
          <w:tcPr>
            <w:tcW w:w="842" w:type="pct"/>
            <w:shd w:val="clear" w:color="auto" w:fill="BD2716"/>
            <w:vAlign w:val="center"/>
          </w:tcPr>
          <w:p w14:paraId="6C6D1668" w14:textId="14A7D42A" w:rsidR="00F32423" w:rsidRPr="00D948C1" w:rsidRDefault="00F32423" w:rsidP="006C0086">
            <w:pPr>
              <w:spacing w:line="276" w:lineRule="auto"/>
              <w:jc w:val="right"/>
              <w:rPr>
                <w:color w:val="FFFFFF" w:themeColor="background1"/>
                <w:szCs w:val="24"/>
              </w:rPr>
            </w:pPr>
            <w:proofErr w:type="gramStart"/>
            <w:r w:rsidRPr="00D948C1">
              <w:rPr>
                <w:color w:val="FFFFFF" w:themeColor="background1"/>
                <w:szCs w:val="24"/>
              </w:rPr>
              <w:t>At</w:t>
            </w:r>
            <w:proofErr w:type="gramEnd"/>
            <w:r w:rsidRPr="00D948C1">
              <w:rPr>
                <w:color w:val="FFFFFF" w:themeColor="background1"/>
                <w:szCs w:val="24"/>
              </w:rPr>
              <w:t xml:space="preserve"> 31 March 202</w:t>
            </w:r>
            <w:r w:rsidR="00C74045">
              <w:rPr>
                <w:color w:val="FFFFFF" w:themeColor="background1"/>
                <w:szCs w:val="24"/>
              </w:rPr>
              <w:t>3</w:t>
            </w:r>
          </w:p>
          <w:p w14:paraId="689818AF" w14:textId="6CDCC48C" w:rsidR="00F32423" w:rsidRPr="00D948C1" w:rsidRDefault="00F32423" w:rsidP="006C0086">
            <w:pPr>
              <w:spacing w:line="276" w:lineRule="auto"/>
              <w:jc w:val="right"/>
              <w:rPr>
                <w:color w:val="FFFFFF" w:themeColor="background1"/>
                <w:szCs w:val="24"/>
              </w:rPr>
            </w:pPr>
            <w:r w:rsidRPr="00D948C1">
              <w:rPr>
                <w:color w:val="FFFFFF" w:themeColor="background1"/>
                <w:szCs w:val="24"/>
              </w:rPr>
              <w:t>£000</w:t>
            </w:r>
          </w:p>
        </w:tc>
      </w:tr>
      <w:tr w:rsidR="00233A66" w:rsidRPr="00D948C1" w14:paraId="5F6CD18A" w14:textId="77777777" w:rsidTr="00036C34">
        <w:tc>
          <w:tcPr>
            <w:tcW w:w="5000" w:type="pct"/>
            <w:gridSpan w:val="4"/>
            <w:shd w:val="clear" w:color="auto" w:fill="D9D9D9" w:themeFill="background1" w:themeFillShade="D9"/>
          </w:tcPr>
          <w:p w14:paraId="611E3890" w14:textId="4B4838CA" w:rsidR="00233A66" w:rsidRPr="00D948C1" w:rsidRDefault="00233A66" w:rsidP="006C0086">
            <w:pPr>
              <w:tabs>
                <w:tab w:val="decimal" w:pos="1350"/>
              </w:tabs>
              <w:spacing w:line="276" w:lineRule="auto"/>
              <w:rPr>
                <w:szCs w:val="24"/>
              </w:rPr>
            </w:pPr>
            <w:r w:rsidRPr="00D948C1">
              <w:rPr>
                <w:b/>
                <w:szCs w:val="24"/>
              </w:rPr>
              <w:t>Unusable Reserves</w:t>
            </w:r>
          </w:p>
        </w:tc>
      </w:tr>
      <w:tr w:rsidR="001824D9" w:rsidRPr="00D948C1" w14:paraId="6A9F6680" w14:textId="77777777" w:rsidTr="00233A66">
        <w:tc>
          <w:tcPr>
            <w:tcW w:w="2684" w:type="pct"/>
          </w:tcPr>
          <w:p w14:paraId="5A364972" w14:textId="77777777" w:rsidR="001824D9" w:rsidRPr="00D948C1" w:rsidRDefault="001824D9" w:rsidP="006C0086">
            <w:pPr>
              <w:spacing w:line="276" w:lineRule="auto"/>
              <w:rPr>
                <w:szCs w:val="24"/>
              </w:rPr>
            </w:pPr>
            <w:r w:rsidRPr="00D948C1">
              <w:rPr>
                <w:szCs w:val="24"/>
              </w:rPr>
              <w:t>Revaluation Reserve</w:t>
            </w:r>
          </w:p>
        </w:tc>
        <w:tc>
          <w:tcPr>
            <w:tcW w:w="632" w:type="pct"/>
          </w:tcPr>
          <w:p w14:paraId="7ABA47C1" w14:textId="4FFE376F" w:rsidR="001824D9" w:rsidRPr="00D948C1" w:rsidRDefault="001824D9" w:rsidP="006C0086">
            <w:pPr>
              <w:spacing w:line="276" w:lineRule="auto"/>
              <w:jc w:val="center"/>
              <w:rPr>
                <w:rStyle w:val="Hyperlink"/>
              </w:rPr>
            </w:pPr>
            <w:hyperlink w:anchor="N18" w:history="1">
              <w:r w:rsidRPr="00D948C1">
                <w:rPr>
                  <w:rStyle w:val="Hyperlink"/>
                  <w:szCs w:val="24"/>
                </w:rPr>
                <w:t>18</w:t>
              </w:r>
            </w:hyperlink>
          </w:p>
        </w:tc>
        <w:tc>
          <w:tcPr>
            <w:tcW w:w="842" w:type="pct"/>
            <w:vAlign w:val="center"/>
          </w:tcPr>
          <w:p w14:paraId="6FAC6EC8" w14:textId="328F793A" w:rsidR="001824D9" w:rsidRPr="00D948C1" w:rsidRDefault="001824D9" w:rsidP="006C0086">
            <w:pPr>
              <w:pStyle w:val="CommentText"/>
              <w:tabs>
                <w:tab w:val="decimal" w:pos="1350"/>
              </w:tabs>
              <w:spacing w:line="276" w:lineRule="auto"/>
              <w:jc w:val="right"/>
              <w:rPr>
                <w:sz w:val="24"/>
                <w:szCs w:val="24"/>
              </w:rPr>
            </w:pPr>
            <w:r w:rsidRPr="00D948C1">
              <w:rPr>
                <w:sz w:val="24"/>
                <w:szCs w:val="24"/>
              </w:rPr>
              <w:t>(7</w:t>
            </w:r>
            <w:r w:rsidR="001439E5" w:rsidRPr="00D948C1">
              <w:rPr>
                <w:sz w:val="24"/>
                <w:szCs w:val="24"/>
              </w:rPr>
              <w:t>3</w:t>
            </w:r>
            <w:r w:rsidRPr="00D948C1">
              <w:rPr>
                <w:sz w:val="24"/>
                <w:szCs w:val="24"/>
              </w:rPr>
              <w:t>,</w:t>
            </w:r>
            <w:r w:rsidR="001439E5" w:rsidRPr="00D948C1">
              <w:rPr>
                <w:sz w:val="24"/>
                <w:szCs w:val="24"/>
              </w:rPr>
              <w:t>418</w:t>
            </w:r>
            <w:r w:rsidRPr="00D948C1">
              <w:rPr>
                <w:sz w:val="24"/>
                <w:szCs w:val="24"/>
              </w:rPr>
              <w:t>)</w:t>
            </w:r>
          </w:p>
        </w:tc>
        <w:tc>
          <w:tcPr>
            <w:tcW w:w="842" w:type="pct"/>
            <w:shd w:val="clear" w:color="auto" w:fill="auto"/>
            <w:vAlign w:val="center"/>
          </w:tcPr>
          <w:p w14:paraId="48AF4FCF" w14:textId="6974665E" w:rsidR="001824D9" w:rsidRPr="00D948C1" w:rsidRDefault="001824D9" w:rsidP="006C0086">
            <w:pPr>
              <w:tabs>
                <w:tab w:val="decimal" w:pos="1350"/>
              </w:tabs>
              <w:spacing w:line="276" w:lineRule="auto"/>
              <w:jc w:val="right"/>
              <w:rPr>
                <w:szCs w:val="24"/>
              </w:rPr>
            </w:pPr>
            <w:r w:rsidRPr="00D948C1">
              <w:rPr>
                <w:szCs w:val="24"/>
              </w:rPr>
              <w:t>(75,306)</w:t>
            </w:r>
          </w:p>
        </w:tc>
      </w:tr>
      <w:tr w:rsidR="001824D9" w:rsidRPr="00D948C1" w14:paraId="756E60B9" w14:textId="77777777" w:rsidTr="00233A66">
        <w:tc>
          <w:tcPr>
            <w:tcW w:w="2684" w:type="pct"/>
          </w:tcPr>
          <w:p w14:paraId="384A834B" w14:textId="77777777" w:rsidR="001824D9" w:rsidRPr="00D948C1" w:rsidRDefault="001824D9" w:rsidP="006C0086">
            <w:pPr>
              <w:spacing w:line="276" w:lineRule="auto"/>
              <w:rPr>
                <w:szCs w:val="24"/>
              </w:rPr>
            </w:pPr>
            <w:r w:rsidRPr="00D948C1">
              <w:rPr>
                <w:szCs w:val="24"/>
              </w:rPr>
              <w:t>Capital Adjustment Account</w:t>
            </w:r>
          </w:p>
        </w:tc>
        <w:tc>
          <w:tcPr>
            <w:tcW w:w="632" w:type="pct"/>
          </w:tcPr>
          <w:p w14:paraId="0BCC69D6" w14:textId="66A18326" w:rsidR="001824D9" w:rsidRPr="00D948C1" w:rsidRDefault="001824D9" w:rsidP="006C0086">
            <w:pPr>
              <w:spacing w:line="276" w:lineRule="auto"/>
              <w:jc w:val="center"/>
              <w:rPr>
                <w:rStyle w:val="Hyperlink"/>
              </w:rPr>
            </w:pPr>
            <w:hyperlink w:anchor="N18" w:history="1">
              <w:r w:rsidRPr="00D948C1">
                <w:rPr>
                  <w:rStyle w:val="Hyperlink"/>
                  <w:szCs w:val="24"/>
                </w:rPr>
                <w:t>18</w:t>
              </w:r>
            </w:hyperlink>
          </w:p>
        </w:tc>
        <w:tc>
          <w:tcPr>
            <w:tcW w:w="842" w:type="pct"/>
            <w:vAlign w:val="center"/>
          </w:tcPr>
          <w:p w14:paraId="1D9BA399" w14:textId="281DC235" w:rsidR="001824D9" w:rsidRPr="00D948C1" w:rsidRDefault="001824D9" w:rsidP="006C0086">
            <w:pPr>
              <w:pStyle w:val="CommentText"/>
              <w:tabs>
                <w:tab w:val="decimal" w:pos="1350"/>
              </w:tabs>
              <w:spacing w:line="276" w:lineRule="auto"/>
              <w:jc w:val="right"/>
              <w:rPr>
                <w:sz w:val="24"/>
                <w:szCs w:val="24"/>
              </w:rPr>
            </w:pPr>
            <w:r w:rsidRPr="00D948C1">
              <w:rPr>
                <w:sz w:val="24"/>
                <w:szCs w:val="24"/>
              </w:rPr>
              <w:t>(</w:t>
            </w:r>
            <w:r w:rsidR="001439E5" w:rsidRPr="00D948C1">
              <w:rPr>
                <w:sz w:val="24"/>
                <w:szCs w:val="24"/>
              </w:rPr>
              <w:t>4</w:t>
            </w:r>
            <w:r w:rsidR="00707E5D">
              <w:rPr>
                <w:sz w:val="24"/>
                <w:szCs w:val="24"/>
              </w:rPr>
              <w:t>2,61</w:t>
            </w:r>
            <w:r w:rsidR="001439E5" w:rsidRPr="00D948C1">
              <w:rPr>
                <w:sz w:val="24"/>
                <w:szCs w:val="24"/>
              </w:rPr>
              <w:t>6</w:t>
            </w:r>
            <w:r w:rsidRPr="00D948C1">
              <w:rPr>
                <w:sz w:val="24"/>
                <w:szCs w:val="24"/>
              </w:rPr>
              <w:t>)</w:t>
            </w:r>
          </w:p>
        </w:tc>
        <w:tc>
          <w:tcPr>
            <w:tcW w:w="842" w:type="pct"/>
            <w:shd w:val="clear" w:color="auto" w:fill="auto"/>
            <w:vAlign w:val="center"/>
          </w:tcPr>
          <w:p w14:paraId="6ECDE742" w14:textId="4CA59C5C" w:rsidR="001824D9" w:rsidRPr="00D948C1" w:rsidRDefault="001824D9" w:rsidP="006C0086">
            <w:pPr>
              <w:tabs>
                <w:tab w:val="decimal" w:pos="1350"/>
              </w:tabs>
              <w:spacing w:line="276" w:lineRule="auto"/>
              <w:jc w:val="right"/>
              <w:rPr>
                <w:szCs w:val="24"/>
              </w:rPr>
            </w:pPr>
            <w:r w:rsidRPr="00D948C1">
              <w:rPr>
                <w:szCs w:val="24"/>
              </w:rPr>
              <w:t>(38,281)</w:t>
            </w:r>
          </w:p>
        </w:tc>
      </w:tr>
      <w:tr w:rsidR="001824D9" w:rsidRPr="00D948C1" w14:paraId="287EAC33" w14:textId="77777777" w:rsidTr="00233A66">
        <w:tc>
          <w:tcPr>
            <w:tcW w:w="2684" w:type="pct"/>
          </w:tcPr>
          <w:p w14:paraId="5243A135" w14:textId="77777777" w:rsidR="001824D9" w:rsidRPr="00D948C1" w:rsidRDefault="001824D9" w:rsidP="006C0086">
            <w:pPr>
              <w:spacing w:line="276" w:lineRule="auto"/>
              <w:rPr>
                <w:szCs w:val="24"/>
              </w:rPr>
            </w:pPr>
            <w:r w:rsidRPr="00D948C1">
              <w:rPr>
                <w:szCs w:val="24"/>
              </w:rPr>
              <w:t>Pension Reserve</w:t>
            </w:r>
          </w:p>
        </w:tc>
        <w:tc>
          <w:tcPr>
            <w:tcW w:w="632" w:type="pct"/>
          </w:tcPr>
          <w:p w14:paraId="25B3BFD5" w14:textId="205EA7CB" w:rsidR="001824D9" w:rsidRPr="00D948C1" w:rsidRDefault="001824D9" w:rsidP="006C0086">
            <w:pPr>
              <w:spacing w:line="276" w:lineRule="auto"/>
              <w:jc w:val="center"/>
              <w:rPr>
                <w:rStyle w:val="Hyperlink"/>
              </w:rPr>
            </w:pPr>
            <w:hyperlink w:anchor="N13" w:history="1">
              <w:r w:rsidRPr="00D948C1">
                <w:rPr>
                  <w:rStyle w:val="Hyperlink"/>
                  <w:szCs w:val="24"/>
                </w:rPr>
                <w:t>13</w:t>
              </w:r>
            </w:hyperlink>
            <w:r w:rsidRPr="00D948C1">
              <w:rPr>
                <w:rStyle w:val="Hyperlink"/>
                <w:szCs w:val="24"/>
              </w:rPr>
              <w:t>/</w:t>
            </w:r>
            <w:hyperlink w:anchor="N15" w:history="1">
              <w:r w:rsidRPr="00D948C1">
                <w:rPr>
                  <w:rStyle w:val="Hyperlink"/>
                  <w:szCs w:val="24"/>
                </w:rPr>
                <w:t>15</w:t>
              </w:r>
            </w:hyperlink>
            <w:r w:rsidRPr="00D948C1">
              <w:rPr>
                <w:rStyle w:val="Hyperlink"/>
                <w:szCs w:val="24"/>
              </w:rPr>
              <w:t>/</w:t>
            </w:r>
            <w:hyperlink w:anchor="N18" w:history="1">
              <w:r w:rsidRPr="00D948C1">
                <w:rPr>
                  <w:rStyle w:val="Hyperlink"/>
                  <w:szCs w:val="24"/>
                </w:rPr>
                <w:t>18</w:t>
              </w:r>
            </w:hyperlink>
          </w:p>
        </w:tc>
        <w:tc>
          <w:tcPr>
            <w:tcW w:w="842" w:type="pct"/>
            <w:vAlign w:val="center"/>
          </w:tcPr>
          <w:p w14:paraId="078C5103" w14:textId="3491129B" w:rsidR="001824D9" w:rsidRPr="00D948C1" w:rsidRDefault="001824D9" w:rsidP="006C0086">
            <w:pPr>
              <w:pStyle w:val="CommentText"/>
              <w:tabs>
                <w:tab w:val="decimal" w:pos="1350"/>
              </w:tabs>
              <w:spacing w:line="276" w:lineRule="auto"/>
              <w:jc w:val="right"/>
              <w:rPr>
                <w:sz w:val="24"/>
                <w:szCs w:val="24"/>
              </w:rPr>
            </w:pPr>
            <w:r w:rsidRPr="00D948C1">
              <w:rPr>
                <w:sz w:val="24"/>
                <w:szCs w:val="24"/>
              </w:rPr>
              <w:t>651,</w:t>
            </w:r>
            <w:r w:rsidR="001439E5" w:rsidRPr="00D948C1">
              <w:rPr>
                <w:sz w:val="24"/>
                <w:szCs w:val="24"/>
              </w:rPr>
              <w:t>920</w:t>
            </w:r>
          </w:p>
        </w:tc>
        <w:tc>
          <w:tcPr>
            <w:tcW w:w="842" w:type="pct"/>
            <w:shd w:val="clear" w:color="auto" w:fill="auto"/>
            <w:vAlign w:val="center"/>
          </w:tcPr>
          <w:p w14:paraId="30A3753A" w14:textId="417F489A" w:rsidR="001824D9" w:rsidRPr="00D948C1" w:rsidRDefault="001824D9" w:rsidP="006C0086">
            <w:pPr>
              <w:tabs>
                <w:tab w:val="decimal" w:pos="1350"/>
              </w:tabs>
              <w:spacing w:line="276" w:lineRule="auto"/>
              <w:jc w:val="right"/>
              <w:rPr>
                <w:szCs w:val="24"/>
              </w:rPr>
            </w:pPr>
            <w:r w:rsidRPr="00D948C1">
              <w:rPr>
                <w:szCs w:val="24"/>
              </w:rPr>
              <w:t>651,536</w:t>
            </w:r>
          </w:p>
        </w:tc>
      </w:tr>
      <w:tr w:rsidR="001824D9" w:rsidRPr="00D948C1" w14:paraId="569FD4F8" w14:textId="77777777" w:rsidTr="00233A66">
        <w:tc>
          <w:tcPr>
            <w:tcW w:w="2684" w:type="pct"/>
          </w:tcPr>
          <w:p w14:paraId="1F056D18" w14:textId="77777777" w:rsidR="001824D9" w:rsidRPr="00D948C1" w:rsidRDefault="001824D9" w:rsidP="006C0086">
            <w:pPr>
              <w:spacing w:line="276" w:lineRule="auto"/>
              <w:rPr>
                <w:szCs w:val="24"/>
              </w:rPr>
            </w:pPr>
            <w:r w:rsidRPr="00D948C1">
              <w:rPr>
                <w:szCs w:val="24"/>
              </w:rPr>
              <w:t>Collection Fund Adjustment Account</w:t>
            </w:r>
          </w:p>
        </w:tc>
        <w:tc>
          <w:tcPr>
            <w:tcW w:w="632" w:type="pct"/>
          </w:tcPr>
          <w:p w14:paraId="6E28249C" w14:textId="45ED4D5B" w:rsidR="001824D9" w:rsidRPr="00D948C1" w:rsidRDefault="001824D9" w:rsidP="006C0086">
            <w:pPr>
              <w:spacing w:line="276" w:lineRule="auto"/>
              <w:jc w:val="center"/>
              <w:rPr>
                <w:rStyle w:val="Hyperlink"/>
              </w:rPr>
            </w:pPr>
            <w:hyperlink w:anchor="N18" w:history="1">
              <w:r w:rsidRPr="00D948C1">
                <w:rPr>
                  <w:rStyle w:val="Hyperlink"/>
                  <w:szCs w:val="24"/>
                </w:rPr>
                <w:t>18</w:t>
              </w:r>
            </w:hyperlink>
          </w:p>
        </w:tc>
        <w:tc>
          <w:tcPr>
            <w:tcW w:w="842" w:type="pct"/>
            <w:vAlign w:val="center"/>
          </w:tcPr>
          <w:p w14:paraId="2E36E4F9" w14:textId="062C6726" w:rsidR="001824D9" w:rsidRPr="00D948C1" w:rsidRDefault="001824D9" w:rsidP="006C0086">
            <w:pPr>
              <w:pStyle w:val="CommentText"/>
              <w:tabs>
                <w:tab w:val="decimal" w:pos="1350"/>
              </w:tabs>
              <w:spacing w:line="276" w:lineRule="auto"/>
              <w:jc w:val="right"/>
              <w:rPr>
                <w:sz w:val="24"/>
                <w:szCs w:val="24"/>
              </w:rPr>
            </w:pPr>
            <w:r w:rsidRPr="00D948C1">
              <w:rPr>
                <w:sz w:val="24"/>
                <w:szCs w:val="24"/>
              </w:rPr>
              <w:t>(</w:t>
            </w:r>
            <w:r w:rsidR="001439E5" w:rsidRPr="00D948C1">
              <w:rPr>
                <w:sz w:val="24"/>
                <w:szCs w:val="24"/>
              </w:rPr>
              <w:t>120</w:t>
            </w:r>
            <w:r w:rsidRPr="00D948C1">
              <w:rPr>
                <w:sz w:val="24"/>
                <w:szCs w:val="24"/>
              </w:rPr>
              <w:t>)</w:t>
            </w:r>
          </w:p>
        </w:tc>
        <w:tc>
          <w:tcPr>
            <w:tcW w:w="842" w:type="pct"/>
            <w:shd w:val="clear" w:color="auto" w:fill="auto"/>
            <w:vAlign w:val="center"/>
          </w:tcPr>
          <w:p w14:paraId="49CCE2A2" w14:textId="69F92C21" w:rsidR="001824D9" w:rsidRPr="00D948C1" w:rsidRDefault="001824D9" w:rsidP="006C0086">
            <w:pPr>
              <w:tabs>
                <w:tab w:val="decimal" w:pos="1350"/>
              </w:tabs>
              <w:spacing w:line="276" w:lineRule="auto"/>
              <w:jc w:val="right"/>
              <w:rPr>
                <w:szCs w:val="24"/>
              </w:rPr>
            </w:pPr>
            <w:r w:rsidRPr="00D948C1">
              <w:rPr>
                <w:szCs w:val="24"/>
              </w:rPr>
              <w:t>(207)</w:t>
            </w:r>
          </w:p>
        </w:tc>
      </w:tr>
      <w:tr w:rsidR="001824D9" w:rsidRPr="00D948C1" w14:paraId="4C1488AA" w14:textId="77777777" w:rsidTr="00233A66">
        <w:trPr>
          <w:trHeight w:val="197"/>
        </w:trPr>
        <w:tc>
          <w:tcPr>
            <w:tcW w:w="2684" w:type="pct"/>
          </w:tcPr>
          <w:p w14:paraId="17481394" w14:textId="77777777" w:rsidR="001824D9" w:rsidRPr="00D948C1" w:rsidRDefault="001824D9" w:rsidP="006C0086">
            <w:pPr>
              <w:spacing w:line="276" w:lineRule="auto"/>
              <w:rPr>
                <w:szCs w:val="24"/>
              </w:rPr>
            </w:pPr>
            <w:r w:rsidRPr="00D948C1">
              <w:rPr>
                <w:szCs w:val="24"/>
              </w:rPr>
              <w:t>Accumulated Absences Adjustment Account</w:t>
            </w:r>
          </w:p>
        </w:tc>
        <w:tc>
          <w:tcPr>
            <w:tcW w:w="632" w:type="pct"/>
          </w:tcPr>
          <w:p w14:paraId="56AFAA4C" w14:textId="3BBD7FDD" w:rsidR="001824D9" w:rsidRPr="00D948C1" w:rsidRDefault="001824D9" w:rsidP="006C0086">
            <w:pPr>
              <w:spacing w:line="276" w:lineRule="auto"/>
              <w:jc w:val="center"/>
              <w:rPr>
                <w:rStyle w:val="Hyperlink"/>
              </w:rPr>
            </w:pPr>
            <w:hyperlink w:anchor="N18" w:history="1">
              <w:r w:rsidRPr="00D948C1">
                <w:rPr>
                  <w:rStyle w:val="Hyperlink"/>
                  <w:szCs w:val="24"/>
                </w:rPr>
                <w:t>18</w:t>
              </w:r>
            </w:hyperlink>
          </w:p>
        </w:tc>
        <w:tc>
          <w:tcPr>
            <w:tcW w:w="842" w:type="pct"/>
            <w:vAlign w:val="center"/>
          </w:tcPr>
          <w:p w14:paraId="4323C9AA" w14:textId="28528D4F" w:rsidR="001824D9" w:rsidRPr="00D948C1" w:rsidRDefault="001824D9" w:rsidP="006C0086">
            <w:pPr>
              <w:pStyle w:val="CommentText"/>
              <w:tabs>
                <w:tab w:val="decimal" w:pos="1350"/>
              </w:tabs>
              <w:spacing w:line="276" w:lineRule="auto"/>
              <w:jc w:val="right"/>
              <w:rPr>
                <w:sz w:val="24"/>
                <w:szCs w:val="24"/>
              </w:rPr>
            </w:pPr>
            <w:r w:rsidRPr="00D948C1">
              <w:rPr>
                <w:sz w:val="24"/>
                <w:szCs w:val="24"/>
              </w:rPr>
              <w:t>95</w:t>
            </w:r>
            <w:r w:rsidR="001439E5" w:rsidRPr="00D948C1">
              <w:rPr>
                <w:sz w:val="24"/>
                <w:szCs w:val="24"/>
              </w:rPr>
              <w:t>4</w:t>
            </w:r>
          </w:p>
        </w:tc>
        <w:tc>
          <w:tcPr>
            <w:tcW w:w="842" w:type="pct"/>
            <w:shd w:val="clear" w:color="auto" w:fill="auto"/>
            <w:vAlign w:val="center"/>
          </w:tcPr>
          <w:p w14:paraId="4B104182" w14:textId="1504293F" w:rsidR="001824D9" w:rsidRPr="00D948C1" w:rsidRDefault="001824D9" w:rsidP="006C0086">
            <w:pPr>
              <w:tabs>
                <w:tab w:val="decimal" w:pos="1350"/>
              </w:tabs>
              <w:spacing w:line="276" w:lineRule="auto"/>
              <w:jc w:val="right"/>
              <w:rPr>
                <w:szCs w:val="24"/>
              </w:rPr>
            </w:pPr>
            <w:r w:rsidRPr="00D948C1">
              <w:rPr>
                <w:szCs w:val="24"/>
              </w:rPr>
              <w:t>957</w:t>
            </w:r>
          </w:p>
        </w:tc>
      </w:tr>
      <w:tr w:rsidR="001824D9" w:rsidRPr="00D948C1" w14:paraId="75F617FB" w14:textId="77777777" w:rsidTr="00233A66">
        <w:tc>
          <w:tcPr>
            <w:tcW w:w="2684" w:type="pct"/>
          </w:tcPr>
          <w:p w14:paraId="0444D5A1" w14:textId="205DD539" w:rsidR="001824D9" w:rsidRPr="00D948C1" w:rsidRDefault="001824D9" w:rsidP="006C0086">
            <w:pPr>
              <w:spacing w:line="276" w:lineRule="auto"/>
              <w:rPr>
                <w:bCs/>
                <w:szCs w:val="24"/>
              </w:rPr>
            </w:pPr>
            <w:r w:rsidRPr="00D948C1">
              <w:rPr>
                <w:bCs/>
                <w:szCs w:val="24"/>
              </w:rPr>
              <w:t>Unusable Reserves total</w:t>
            </w:r>
          </w:p>
        </w:tc>
        <w:tc>
          <w:tcPr>
            <w:tcW w:w="632" w:type="pct"/>
          </w:tcPr>
          <w:p w14:paraId="24A4B6B7" w14:textId="6FDF1906" w:rsidR="001824D9" w:rsidRPr="00D948C1" w:rsidRDefault="001824D9" w:rsidP="006C0086">
            <w:pPr>
              <w:spacing w:line="276" w:lineRule="auto"/>
              <w:jc w:val="center"/>
              <w:rPr>
                <w:rStyle w:val="Hyperlink"/>
              </w:rPr>
            </w:pPr>
            <w:hyperlink w:anchor="N18" w:history="1">
              <w:r w:rsidRPr="00D948C1">
                <w:rPr>
                  <w:rStyle w:val="Hyperlink"/>
                  <w:szCs w:val="24"/>
                </w:rPr>
                <w:t>18</w:t>
              </w:r>
            </w:hyperlink>
          </w:p>
        </w:tc>
        <w:tc>
          <w:tcPr>
            <w:tcW w:w="842" w:type="pct"/>
            <w:vAlign w:val="center"/>
          </w:tcPr>
          <w:p w14:paraId="5FC4393C" w14:textId="465E9A36" w:rsidR="001824D9" w:rsidRPr="00D948C1" w:rsidRDefault="001824D9" w:rsidP="006C0086">
            <w:pPr>
              <w:pStyle w:val="CommentText"/>
              <w:tabs>
                <w:tab w:val="decimal" w:pos="1350"/>
              </w:tabs>
              <w:spacing w:line="276" w:lineRule="auto"/>
              <w:jc w:val="right"/>
              <w:rPr>
                <w:sz w:val="24"/>
                <w:szCs w:val="24"/>
              </w:rPr>
            </w:pPr>
            <w:r w:rsidRPr="00D948C1">
              <w:rPr>
                <w:sz w:val="24"/>
                <w:szCs w:val="24"/>
              </w:rPr>
              <w:t>53</w:t>
            </w:r>
            <w:r w:rsidR="00707E5D">
              <w:rPr>
                <w:sz w:val="24"/>
                <w:szCs w:val="24"/>
              </w:rPr>
              <w:t>6</w:t>
            </w:r>
            <w:r w:rsidR="001439E5" w:rsidRPr="00D948C1">
              <w:rPr>
                <w:sz w:val="24"/>
                <w:szCs w:val="24"/>
              </w:rPr>
              <w:t>,</w:t>
            </w:r>
            <w:r w:rsidR="00707E5D">
              <w:rPr>
                <w:sz w:val="24"/>
                <w:szCs w:val="24"/>
              </w:rPr>
              <w:t>720</w:t>
            </w:r>
          </w:p>
        </w:tc>
        <w:tc>
          <w:tcPr>
            <w:tcW w:w="842" w:type="pct"/>
            <w:shd w:val="clear" w:color="auto" w:fill="auto"/>
            <w:vAlign w:val="center"/>
          </w:tcPr>
          <w:p w14:paraId="3445A428" w14:textId="68F7F910" w:rsidR="001824D9" w:rsidRPr="00D948C1" w:rsidRDefault="001824D9" w:rsidP="006C0086">
            <w:pPr>
              <w:tabs>
                <w:tab w:val="decimal" w:pos="1350"/>
              </w:tabs>
              <w:spacing w:line="276" w:lineRule="auto"/>
              <w:jc w:val="right"/>
              <w:rPr>
                <w:szCs w:val="24"/>
              </w:rPr>
            </w:pPr>
            <w:r w:rsidRPr="00D948C1">
              <w:rPr>
                <w:szCs w:val="24"/>
              </w:rPr>
              <w:t>538,699</w:t>
            </w:r>
          </w:p>
        </w:tc>
      </w:tr>
    </w:tbl>
    <w:p w14:paraId="4AC9B057" w14:textId="77777777" w:rsidR="00F32423" w:rsidRPr="00D948C1" w:rsidRDefault="00F32423" w:rsidP="006C0086">
      <w:pPr>
        <w:spacing w:line="276" w:lineRule="auto"/>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D948C1" w14:paraId="71CD8CCE" w14:textId="77777777" w:rsidTr="00233A66">
        <w:tc>
          <w:tcPr>
            <w:tcW w:w="2684" w:type="pct"/>
          </w:tcPr>
          <w:p w14:paraId="61024DB4" w14:textId="77777777" w:rsidR="00FA18E2" w:rsidRPr="00D948C1" w:rsidRDefault="00FA18E2" w:rsidP="006C0086">
            <w:pPr>
              <w:spacing w:line="276" w:lineRule="auto"/>
              <w:rPr>
                <w:b/>
                <w:szCs w:val="24"/>
              </w:rPr>
            </w:pPr>
            <w:r w:rsidRPr="00D948C1">
              <w:rPr>
                <w:b/>
                <w:szCs w:val="24"/>
              </w:rPr>
              <w:t>Total Reserves</w:t>
            </w:r>
          </w:p>
        </w:tc>
        <w:tc>
          <w:tcPr>
            <w:tcW w:w="632" w:type="pct"/>
          </w:tcPr>
          <w:p w14:paraId="1A936933" w14:textId="77777777" w:rsidR="00FA18E2" w:rsidRPr="00D948C1" w:rsidRDefault="00FA18E2" w:rsidP="006C0086">
            <w:pPr>
              <w:pStyle w:val="CommentText"/>
              <w:tabs>
                <w:tab w:val="decimal" w:pos="1350"/>
              </w:tabs>
              <w:spacing w:line="276" w:lineRule="auto"/>
              <w:jc w:val="right"/>
              <w:rPr>
                <w:sz w:val="24"/>
                <w:szCs w:val="24"/>
              </w:rPr>
            </w:pPr>
          </w:p>
        </w:tc>
        <w:tc>
          <w:tcPr>
            <w:tcW w:w="842" w:type="pct"/>
            <w:vAlign w:val="center"/>
          </w:tcPr>
          <w:p w14:paraId="306BEE40" w14:textId="12924603" w:rsidR="00FA18E2" w:rsidRPr="00D948C1" w:rsidRDefault="00FA18E2" w:rsidP="006C0086">
            <w:pPr>
              <w:pStyle w:val="CommentText"/>
              <w:tabs>
                <w:tab w:val="decimal" w:pos="1350"/>
              </w:tabs>
              <w:spacing w:line="276" w:lineRule="auto"/>
              <w:jc w:val="right"/>
              <w:rPr>
                <w:b/>
                <w:bCs/>
                <w:sz w:val="24"/>
                <w:szCs w:val="24"/>
              </w:rPr>
            </w:pPr>
            <w:r w:rsidRPr="00D948C1">
              <w:rPr>
                <w:b/>
                <w:bCs/>
                <w:sz w:val="24"/>
                <w:szCs w:val="24"/>
              </w:rPr>
              <w:t>502,</w:t>
            </w:r>
            <w:r w:rsidR="001439E5" w:rsidRPr="00D948C1">
              <w:rPr>
                <w:b/>
                <w:bCs/>
                <w:sz w:val="24"/>
                <w:szCs w:val="24"/>
              </w:rPr>
              <w:t>953</w:t>
            </w:r>
          </w:p>
        </w:tc>
        <w:tc>
          <w:tcPr>
            <w:tcW w:w="842" w:type="pct"/>
            <w:shd w:val="clear" w:color="auto" w:fill="auto"/>
            <w:vAlign w:val="center"/>
          </w:tcPr>
          <w:p w14:paraId="37F7ACEC" w14:textId="1250B849" w:rsidR="00FA18E2" w:rsidRPr="00D948C1" w:rsidRDefault="001824D9" w:rsidP="006C0086">
            <w:pPr>
              <w:pStyle w:val="CommentText"/>
              <w:tabs>
                <w:tab w:val="decimal" w:pos="1350"/>
              </w:tabs>
              <w:spacing w:line="276" w:lineRule="auto"/>
              <w:jc w:val="right"/>
              <w:rPr>
                <w:b/>
                <w:bCs/>
                <w:sz w:val="24"/>
                <w:szCs w:val="24"/>
              </w:rPr>
            </w:pPr>
            <w:r w:rsidRPr="00D948C1">
              <w:rPr>
                <w:b/>
                <w:bCs/>
                <w:sz w:val="24"/>
                <w:szCs w:val="24"/>
              </w:rPr>
              <w:t>502,491</w:t>
            </w:r>
          </w:p>
        </w:tc>
      </w:tr>
    </w:tbl>
    <w:p w14:paraId="0B814987" w14:textId="77777777" w:rsidR="00BE07C7" w:rsidRPr="00D948C1" w:rsidRDefault="00BE07C7" w:rsidP="006C0086">
      <w:pPr>
        <w:spacing w:line="276" w:lineRule="auto"/>
        <w:jc w:val="both"/>
        <w:rPr>
          <w:szCs w:val="24"/>
        </w:rPr>
      </w:pPr>
    </w:p>
    <w:p w14:paraId="33641819" w14:textId="3952D35B" w:rsidR="00A32EA2" w:rsidRPr="00D948C1" w:rsidRDefault="00C37996" w:rsidP="006C0086">
      <w:pPr>
        <w:spacing w:line="276" w:lineRule="auto"/>
        <w:rPr>
          <w:szCs w:val="24"/>
        </w:rPr>
      </w:pPr>
      <w:r w:rsidRPr="00D948C1">
        <w:rPr>
          <w:szCs w:val="24"/>
        </w:rPr>
        <w:t xml:space="preserve">This Statement of Accounts is that upon which the Auditor should enter his certificate and opinion. It presents a true and fair view of the financial position of the Authority </w:t>
      </w:r>
      <w:proofErr w:type="gramStart"/>
      <w:r w:rsidRPr="00D948C1">
        <w:rPr>
          <w:szCs w:val="24"/>
        </w:rPr>
        <w:t>at</w:t>
      </w:r>
      <w:proofErr w:type="gramEnd"/>
      <w:r w:rsidRPr="00D948C1">
        <w:rPr>
          <w:szCs w:val="24"/>
        </w:rPr>
        <w:t xml:space="preserve"> 31 March </w:t>
      </w:r>
      <w:r w:rsidR="000870F3" w:rsidRPr="00D948C1">
        <w:rPr>
          <w:szCs w:val="24"/>
        </w:rPr>
        <w:t>202</w:t>
      </w:r>
      <w:r w:rsidR="001824D9" w:rsidRPr="00D948C1">
        <w:rPr>
          <w:szCs w:val="24"/>
        </w:rPr>
        <w:t>4</w:t>
      </w:r>
      <w:r w:rsidR="000870F3" w:rsidRPr="00D948C1">
        <w:rPr>
          <w:szCs w:val="24"/>
        </w:rPr>
        <w:t xml:space="preserve"> </w:t>
      </w:r>
      <w:r w:rsidRPr="00D948C1">
        <w:rPr>
          <w:szCs w:val="24"/>
        </w:rPr>
        <w:t>and its income and expenditure for the year then ended.</w:t>
      </w:r>
    </w:p>
    <w:p w14:paraId="2139A82C" w14:textId="77777777" w:rsidR="000870F3" w:rsidRPr="00D948C1" w:rsidRDefault="000870F3" w:rsidP="006C0086">
      <w:pPr>
        <w:spacing w:line="276" w:lineRule="auto"/>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1661"/>
        <w:gridCol w:w="4391"/>
      </w:tblGrid>
      <w:tr w:rsidR="00EB128F" w:rsidRPr="00D948C1" w14:paraId="39E4C1FB" w14:textId="77777777" w:rsidTr="00773567">
        <w:trPr>
          <w:trHeight w:val="729"/>
        </w:trPr>
        <w:tc>
          <w:tcPr>
            <w:tcW w:w="4415" w:type="dxa"/>
          </w:tcPr>
          <w:p w14:paraId="3B59139A" w14:textId="2B9783DF" w:rsidR="00EF1CEF" w:rsidRPr="00D948C1" w:rsidRDefault="00D062BC" w:rsidP="006C0086">
            <w:pPr>
              <w:spacing w:line="276" w:lineRule="auto"/>
              <w:jc w:val="both"/>
              <w:rPr>
                <w:rFonts w:ascii="Brush Script MT" w:hAnsi="Brush Script MT"/>
                <w:sz w:val="48"/>
                <w:szCs w:val="48"/>
              </w:rPr>
            </w:pPr>
            <w:r w:rsidRPr="00D948C1">
              <w:rPr>
                <w:rFonts w:ascii="Brush Script MT" w:hAnsi="Brush Script MT"/>
                <w:sz w:val="48"/>
                <w:szCs w:val="48"/>
              </w:rPr>
              <w:t>Steven Brown</w:t>
            </w:r>
          </w:p>
          <w:p w14:paraId="21FD3FD7" w14:textId="4503BC3C" w:rsidR="00EB128F" w:rsidRPr="00D948C1" w:rsidRDefault="00EB128F" w:rsidP="006C0086">
            <w:pPr>
              <w:spacing w:line="276" w:lineRule="auto"/>
              <w:jc w:val="both"/>
              <w:rPr>
                <w:sz w:val="20"/>
              </w:rPr>
            </w:pPr>
          </w:p>
        </w:tc>
        <w:tc>
          <w:tcPr>
            <w:tcW w:w="1661" w:type="dxa"/>
          </w:tcPr>
          <w:p w14:paraId="0B86DCE5" w14:textId="77777777" w:rsidR="00EB128F" w:rsidRPr="00D948C1" w:rsidRDefault="00EB128F" w:rsidP="006C0086">
            <w:pPr>
              <w:spacing w:line="276" w:lineRule="auto"/>
              <w:jc w:val="both"/>
              <w:rPr>
                <w:sz w:val="20"/>
              </w:rPr>
            </w:pPr>
          </w:p>
        </w:tc>
        <w:tc>
          <w:tcPr>
            <w:tcW w:w="4391" w:type="dxa"/>
          </w:tcPr>
          <w:p w14:paraId="45334352" w14:textId="17E08629" w:rsidR="005138FC" w:rsidRPr="00D948C1" w:rsidRDefault="005138FC" w:rsidP="006C0086">
            <w:pPr>
              <w:spacing w:line="276" w:lineRule="auto"/>
              <w:jc w:val="both"/>
              <w:rPr>
                <w:rFonts w:ascii="Brush Script MT" w:hAnsi="Brush Script MT"/>
                <w:sz w:val="48"/>
                <w:szCs w:val="48"/>
              </w:rPr>
            </w:pPr>
            <w:r w:rsidRPr="00D948C1">
              <w:rPr>
                <w:rFonts w:ascii="Brush Script MT" w:hAnsi="Brush Script MT"/>
                <w:sz w:val="48"/>
                <w:szCs w:val="48"/>
              </w:rPr>
              <w:t>Mark Clifford</w:t>
            </w:r>
          </w:p>
          <w:p w14:paraId="4FD50319" w14:textId="54E15A40" w:rsidR="00EB128F" w:rsidRPr="00D948C1" w:rsidRDefault="00EB128F" w:rsidP="006C0086">
            <w:pPr>
              <w:spacing w:line="276" w:lineRule="auto"/>
              <w:jc w:val="both"/>
              <w:rPr>
                <w:sz w:val="20"/>
              </w:rPr>
            </w:pPr>
          </w:p>
        </w:tc>
      </w:tr>
      <w:tr w:rsidR="00EB128F" w:rsidRPr="00D948C1" w14:paraId="77CCDD32" w14:textId="77777777" w:rsidTr="00773567">
        <w:tc>
          <w:tcPr>
            <w:tcW w:w="4415" w:type="dxa"/>
          </w:tcPr>
          <w:p w14:paraId="206052FB" w14:textId="5BE1CCDD" w:rsidR="00D062BC" w:rsidRPr="00D948C1" w:rsidRDefault="00D062BC" w:rsidP="006C0086">
            <w:pPr>
              <w:spacing w:line="276" w:lineRule="auto"/>
              <w:jc w:val="both"/>
              <w:rPr>
                <w:szCs w:val="24"/>
              </w:rPr>
            </w:pPr>
            <w:r w:rsidRPr="00D948C1">
              <w:rPr>
                <w:szCs w:val="24"/>
              </w:rPr>
              <w:t>Steven Brown CGMA</w:t>
            </w:r>
          </w:p>
          <w:p w14:paraId="4DA198D2" w14:textId="77777777" w:rsidR="00EB128F" w:rsidRPr="00D948C1" w:rsidRDefault="00EB128F" w:rsidP="006C0086">
            <w:pPr>
              <w:spacing w:line="276" w:lineRule="auto"/>
              <w:rPr>
                <w:szCs w:val="24"/>
              </w:rPr>
            </w:pPr>
            <w:r w:rsidRPr="00D948C1">
              <w:rPr>
                <w:szCs w:val="24"/>
              </w:rPr>
              <w:t>Treasurer to the Combined Fire Authority</w:t>
            </w:r>
          </w:p>
          <w:p w14:paraId="4B708C13" w14:textId="4AAFFBED" w:rsidR="00EB128F" w:rsidRPr="00D948C1" w:rsidRDefault="00844496" w:rsidP="006C0086">
            <w:pPr>
              <w:spacing w:line="276" w:lineRule="auto"/>
              <w:jc w:val="both"/>
              <w:rPr>
                <w:szCs w:val="24"/>
              </w:rPr>
            </w:pPr>
            <w:r>
              <w:rPr>
                <w:szCs w:val="24"/>
              </w:rPr>
              <w:t>25</w:t>
            </w:r>
            <w:r w:rsidRPr="00844496">
              <w:rPr>
                <w:szCs w:val="24"/>
                <w:vertAlign w:val="superscript"/>
              </w:rPr>
              <w:t>th</w:t>
            </w:r>
            <w:r>
              <w:rPr>
                <w:szCs w:val="24"/>
              </w:rPr>
              <w:t xml:space="preserve"> November 2024</w:t>
            </w:r>
          </w:p>
        </w:tc>
        <w:tc>
          <w:tcPr>
            <w:tcW w:w="1661" w:type="dxa"/>
          </w:tcPr>
          <w:p w14:paraId="37BAA24C" w14:textId="77777777" w:rsidR="00EB128F" w:rsidRPr="00D948C1" w:rsidRDefault="00EB128F" w:rsidP="006C0086">
            <w:pPr>
              <w:spacing w:line="276" w:lineRule="auto"/>
              <w:jc w:val="both"/>
              <w:rPr>
                <w:szCs w:val="24"/>
              </w:rPr>
            </w:pPr>
          </w:p>
        </w:tc>
        <w:tc>
          <w:tcPr>
            <w:tcW w:w="4391" w:type="dxa"/>
          </w:tcPr>
          <w:p w14:paraId="0DF11EF2" w14:textId="18FAC066" w:rsidR="00EB128F" w:rsidRPr="00D948C1" w:rsidRDefault="00E949AD" w:rsidP="006C0086">
            <w:pPr>
              <w:spacing w:line="276" w:lineRule="auto"/>
              <w:rPr>
                <w:szCs w:val="24"/>
              </w:rPr>
            </w:pPr>
            <w:r w:rsidRPr="00D948C1">
              <w:rPr>
                <w:szCs w:val="24"/>
              </w:rPr>
              <w:t>Mark Clifford</w:t>
            </w:r>
          </w:p>
          <w:p w14:paraId="763CDB83" w14:textId="77777777" w:rsidR="00EB128F" w:rsidRPr="00D948C1" w:rsidRDefault="00EB128F" w:rsidP="006C0086">
            <w:pPr>
              <w:spacing w:line="276" w:lineRule="auto"/>
              <w:rPr>
                <w:szCs w:val="24"/>
              </w:rPr>
            </w:pPr>
            <w:r w:rsidRPr="00D948C1">
              <w:rPr>
                <w:szCs w:val="24"/>
              </w:rPr>
              <w:t>Chair of Audit Committee</w:t>
            </w:r>
          </w:p>
          <w:p w14:paraId="17BE3A3C" w14:textId="370F4DDE" w:rsidR="00EB128F" w:rsidRPr="00D948C1" w:rsidRDefault="00844496" w:rsidP="006C0086">
            <w:pPr>
              <w:spacing w:line="276" w:lineRule="auto"/>
              <w:jc w:val="both"/>
              <w:rPr>
                <w:szCs w:val="24"/>
              </w:rPr>
            </w:pPr>
            <w:r>
              <w:rPr>
                <w:szCs w:val="24"/>
              </w:rPr>
              <w:t>25</w:t>
            </w:r>
            <w:r w:rsidRPr="00844496">
              <w:rPr>
                <w:szCs w:val="24"/>
                <w:vertAlign w:val="superscript"/>
              </w:rPr>
              <w:t>th</w:t>
            </w:r>
            <w:r>
              <w:rPr>
                <w:szCs w:val="24"/>
              </w:rPr>
              <w:t xml:space="preserve"> November 2024</w:t>
            </w:r>
          </w:p>
        </w:tc>
      </w:tr>
    </w:tbl>
    <w:p w14:paraId="2C29AB01" w14:textId="77777777" w:rsidR="00773567" w:rsidRPr="00D948C1" w:rsidRDefault="00773567" w:rsidP="006C0086">
      <w:pPr>
        <w:tabs>
          <w:tab w:val="left" w:pos="720"/>
          <w:tab w:val="right" w:pos="5760"/>
        </w:tabs>
        <w:spacing w:line="276" w:lineRule="auto"/>
        <w:jc w:val="center"/>
        <w:rPr>
          <w:b/>
          <w:sz w:val="22"/>
        </w:rPr>
      </w:pPr>
    </w:p>
    <w:p w14:paraId="5FBE98CF" w14:textId="77777777" w:rsidR="005D04CB" w:rsidRPr="00D948C1" w:rsidRDefault="005D04CB" w:rsidP="006C0086">
      <w:pPr>
        <w:spacing w:line="276" w:lineRule="auto"/>
        <w:rPr>
          <w:b/>
          <w:sz w:val="22"/>
          <w:szCs w:val="22"/>
        </w:rPr>
      </w:pPr>
      <w:bookmarkStart w:id="19" w:name="Cashflow"/>
      <w:bookmarkEnd w:id="19"/>
      <w:r w:rsidRPr="00D948C1">
        <w:rPr>
          <w:sz w:val="22"/>
          <w:szCs w:val="22"/>
        </w:rPr>
        <w:br w:type="page"/>
      </w:r>
    </w:p>
    <w:p w14:paraId="55922220" w14:textId="5FAFB1BC" w:rsidR="00D90216" w:rsidRPr="00D948C1" w:rsidRDefault="005C1944" w:rsidP="006C0086">
      <w:pPr>
        <w:pStyle w:val="Heading1"/>
        <w:spacing w:line="276" w:lineRule="auto"/>
        <w:rPr>
          <w:szCs w:val="24"/>
        </w:rPr>
      </w:pPr>
      <w:bookmarkStart w:id="20" w:name="_Toc171068782"/>
      <w:r w:rsidRPr="00D948C1">
        <w:rPr>
          <w:szCs w:val="24"/>
        </w:rPr>
        <w:lastRenderedPageBreak/>
        <w:t>Cash Flow Statement</w:t>
      </w:r>
      <w:bookmarkEnd w:id="20"/>
    </w:p>
    <w:p w14:paraId="6233FA84" w14:textId="77777777" w:rsidR="00D90216" w:rsidRPr="00D948C1" w:rsidRDefault="00D90216" w:rsidP="006C0086">
      <w:pPr>
        <w:spacing w:line="276" w:lineRule="auto"/>
        <w:ind w:left="540" w:hanging="540"/>
        <w:rPr>
          <w:szCs w:val="24"/>
          <w:u w:val="single"/>
        </w:rPr>
      </w:pPr>
    </w:p>
    <w:p w14:paraId="7F1E926F" w14:textId="6F07706C" w:rsidR="00D90216" w:rsidRPr="00D948C1" w:rsidRDefault="00D90216" w:rsidP="006C0086">
      <w:pPr>
        <w:spacing w:line="276" w:lineRule="auto"/>
        <w:rPr>
          <w:szCs w:val="24"/>
        </w:rPr>
      </w:pPr>
      <w:r w:rsidRPr="00D948C1">
        <w:rPr>
          <w:szCs w:val="24"/>
        </w:rPr>
        <w:t>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amounts of net cash flows arising from operating activities is an indicator of the extent to which the operations are funded by way of taxation and grant income or from the recipients of services provided by the Authority. Investing activities represent the extent to which cash outflows have been made for resources which are intended to contribute to the Author</w:t>
      </w:r>
      <w:r w:rsidR="00F73C99" w:rsidRPr="00D948C1">
        <w:rPr>
          <w:szCs w:val="24"/>
        </w:rPr>
        <w:t>ity’s future service delivery.</w:t>
      </w:r>
    </w:p>
    <w:p w14:paraId="52E4AF86" w14:textId="77777777" w:rsidR="00D90216" w:rsidRPr="00D948C1" w:rsidRDefault="00D90216" w:rsidP="006C0086">
      <w:pPr>
        <w:spacing w:line="276" w:lineRule="auto"/>
        <w:rPr>
          <w:sz w:val="2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1824D9" w:rsidRPr="00D948C1" w14:paraId="271FFD36" w14:textId="77777777" w:rsidTr="00611673">
        <w:trPr>
          <w:trHeight w:hRule="exact" w:val="578"/>
          <w:tblHeader/>
        </w:trPr>
        <w:tc>
          <w:tcPr>
            <w:tcW w:w="4927" w:type="dxa"/>
            <w:shd w:val="clear" w:color="auto" w:fill="BD2716"/>
          </w:tcPr>
          <w:p w14:paraId="60F71C1E" w14:textId="77777777" w:rsidR="001824D9" w:rsidRPr="00D948C1" w:rsidRDefault="001824D9" w:rsidP="006C0086">
            <w:pPr>
              <w:pStyle w:val="Footer"/>
              <w:tabs>
                <w:tab w:val="clear" w:pos="4153"/>
                <w:tab w:val="clear" w:pos="8306"/>
                <w:tab w:val="left" w:pos="284"/>
              </w:tabs>
              <w:spacing w:line="276" w:lineRule="auto"/>
              <w:rPr>
                <w:color w:val="FFFFFF" w:themeColor="background1"/>
                <w:szCs w:val="24"/>
              </w:rPr>
            </w:pPr>
          </w:p>
        </w:tc>
        <w:tc>
          <w:tcPr>
            <w:tcW w:w="1100" w:type="dxa"/>
            <w:shd w:val="clear" w:color="auto" w:fill="BD2716"/>
            <w:vAlign w:val="center"/>
          </w:tcPr>
          <w:p w14:paraId="54DAA8D4" w14:textId="2D96C9E8" w:rsidR="001824D9" w:rsidRPr="00D948C1" w:rsidRDefault="001824D9" w:rsidP="006C0086">
            <w:pPr>
              <w:pStyle w:val="Footer"/>
              <w:tabs>
                <w:tab w:val="clear" w:pos="4153"/>
                <w:tab w:val="clear" w:pos="8306"/>
                <w:tab w:val="left" w:pos="284"/>
              </w:tabs>
              <w:spacing w:line="276" w:lineRule="auto"/>
              <w:rPr>
                <w:color w:val="FFFFFF" w:themeColor="background1"/>
                <w:szCs w:val="24"/>
              </w:rPr>
            </w:pPr>
            <w:r w:rsidRPr="00D948C1">
              <w:rPr>
                <w:color w:val="FFFFFF" w:themeColor="background1"/>
                <w:szCs w:val="24"/>
              </w:rPr>
              <w:t>Notes</w:t>
            </w:r>
          </w:p>
        </w:tc>
        <w:tc>
          <w:tcPr>
            <w:tcW w:w="1134" w:type="dxa"/>
            <w:shd w:val="clear" w:color="auto" w:fill="BD2716"/>
            <w:vAlign w:val="center"/>
          </w:tcPr>
          <w:p w14:paraId="1DFB0FAE" w14:textId="2579C0EE" w:rsidR="001824D9" w:rsidRPr="00D948C1" w:rsidRDefault="001824D9" w:rsidP="006C0086">
            <w:pPr>
              <w:tabs>
                <w:tab w:val="decimal" w:pos="743"/>
                <w:tab w:val="decimal" w:pos="882"/>
              </w:tabs>
              <w:spacing w:line="276" w:lineRule="auto"/>
              <w:jc w:val="right"/>
              <w:rPr>
                <w:color w:val="FFFFFF" w:themeColor="background1"/>
                <w:szCs w:val="24"/>
              </w:rPr>
            </w:pPr>
            <w:r w:rsidRPr="00D948C1">
              <w:rPr>
                <w:color w:val="FFFFFF" w:themeColor="background1"/>
                <w:szCs w:val="24"/>
              </w:rPr>
              <w:t>2023/24</w:t>
            </w:r>
          </w:p>
          <w:p w14:paraId="02FE9EBE" w14:textId="60D9A908" w:rsidR="001824D9" w:rsidRPr="00D948C1" w:rsidRDefault="001824D9" w:rsidP="006C0086">
            <w:pPr>
              <w:tabs>
                <w:tab w:val="decimal" w:pos="743"/>
                <w:tab w:val="decimal" w:pos="882"/>
              </w:tabs>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6014067F" w14:textId="77777777" w:rsidR="001824D9" w:rsidRPr="00D948C1" w:rsidRDefault="001824D9" w:rsidP="006C0086">
            <w:pPr>
              <w:tabs>
                <w:tab w:val="decimal" w:pos="743"/>
                <w:tab w:val="decimal" w:pos="882"/>
              </w:tabs>
              <w:spacing w:line="276" w:lineRule="auto"/>
              <w:jc w:val="right"/>
              <w:rPr>
                <w:color w:val="FFFFFF" w:themeColor="background1"/>
                <w:szCs w:val="24"/>
              </w:rPr>
            </w:pPr>
            <w:r w:rsidRPr="00D948C1">
              <w:rPr>
                <w:color w:val="FFFFFF" w:themeColor="background1"/>
                <w:szCs w:val="24"/>
              </w:rPr>
              <w:t>2023/24</w:t>
            </w:r>
          </w:p>
          <w:p w14:paraId="7D1C8B74" w14:textId="2A281E02" w:rsidR="001824D9" w:rsidRPr="00D948C1" w:rsidRDefault="001824D9" w:rsidP="006C0086">
            <w:pPr>
              <w:tabs>
                <w:tab w:val="decimal" w:pos="743"/>
                <w:tab w:val="decimal" w:pos="882"/>
              </w:tabs>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AEA2752" w14:textId="77777777" w:rsidR="001824D9" w:rsidRPr="00D948C1" w:rsidRDefault="001824D9" w:rsidP="006C0086">
            <w:pPr>
              <w:tabs>
                <w:tab w:val="decimal" w:pos="743"/>
                <w:tab w:val="decimal" w:pos="882"/>
              </w:tabs>
              <w:spacing w:line="276" w:lineRule="auto"/>
              <w:jc w:val="right"/>
              <w:rPr>
                <w:color w:val="FFFFFF" w:themeColor="background1"/>
                <w:szCs w:val="24"/>
              </w:rPr>
            </w:pPr>
            <w:r w:rsidRPr="00D948C1">
              <w:rPr>
                <w:color w:val="FFFFFF" w:themeColor="background1"/>
                <w:szCs w:val="24"/>
              </w:rPr>
              <w:t>2022/23</w:t>
            </w:r>
          </w:p>
          <w:p w14:paraId="4B1ED655" w14:textId="63F355F8" w:rsidR="001824D9" w:rsidRPr="00D948C1" w:rsidRDefault="001824D9" w:rsidP="006C0086">
            <w:pPr>
              <w:tabs>
                <w:tab w:val="decimal" w:pos="742"/>
                <w:tab w:val="decimal" w:pos="882"/>
              </w:tabs>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791148BA" w14:textId="76FDAF91" w:rsidR="001824D9" w:rsidRPr="00D948C1" w:rsidRDefault="001824D9" w:rsidP="006C0086">
            <w:pPr>
              <w:tabs>
                <w:tab w:val="decimal" w:pos="742"/>
                <w:tab w:val="decimal" w:pos="882"/>
              </w:tabs>
              <w:spacing w:line="276" w:lineRule="auto"/>
              <w:jc w:val="right"/>
              <w:rPr>
                <w:color w:val="FFFFFF" w:themeColor="background1"/>
                <w:szCs w:val="24"/>
              </w:rPr>
            </w:pPr>
            <w:r w:rsidRPr="00D948C1">
              <w:rPr>
                <w:color w:val="FFFFFF" w:themeColor="background1"/>
                <w:szCs w:val="24"/>
              </w:rPr>
              <w:t>2022/23£000</w:t>
            </w:r>
          </w:p>
        </w:tc>
      </w:tr>
      <w:tr w:rsidR="001824D9" w:rsidRPr="00D948C1" w14:paraId="1F9D3C7E" w14:textId="77777777" w:rsidTr="00036C34">
        <w:trPr>
          <w:trHeight w:hRule="exact" w:val="300"/>
        </w:trPr>
        <w:tc>
          <w:tcPr>
            <w:tcW w:w="4927" w:type="dxa"/>
          </w:tcPr>
          <w:p w14:paraId="0F641F65" w14:textId="21C3FC8A"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Net deficit on the provision of services</w:t>
            </w:r>
          </w:p>
        </w:tc>
        <w:tc>
          <w:tcPr>
            <w:tcW w:w="1100" w:type="dxa"/>
            <w:vAlign w:val="center"/>
          </w:tcPr>
          <w:p w14:paraId="7F9870B6" w14:textId="77777777" w:rsidR="001824D9" w:rsidRPr="00D948C1" w:rsidRDefault="001824D9" w:rsidP="006C0086">
            <w:pPr>
              <w:pStyle w:val="Footer"/>
              <w:tabs>
                <w:tab w:val="clear" w:pos="4153"/>
                <w:tab w:val="clear" w:pos="8306"/>
                <w:tab w:val="left" w:pos="284"/>
              </w:tabs>
              <w:spacing w:line="276" w:lineRule="auto"/>
              <w:jc w:val="center"/>
              <w:rPr>
                <w:szCs w:val="24"/>
              </w:rPr>
            </w:pPr>
          </w:p>
        </w:tc>
        <w:tc>
          <w:tcPr>
            <w:tcW w:w="1134" w:type="dxa"/>
            <w:vAlign w:val="center"/>
          </w:tcPr>
          <w:p w14:paraId="0F152037" w14:textId="434A06DC" w:rsidR="001824D9" w:rsidRPr="00D948C1" w:rsidRDefault="001824D9" w:rsidP="006C0086">
            <w:pPr>
              <w:tabs>
                <w:tab w:val="decimal" w:pos="743"/>
                <w:tab w:val="decimal" w:pos="882"/>
              </w:tabs>
              <w:spacing w:line="276" w:lineRule="auto"/>
              <w:jc w:val="right"/>
              <w:rPr>
                <w:szCs w:val="24"/>
              </w:rPr>
            </w:pPr>
          </w:p>
        </w:tc>
        <w:tc>
          <w:tcPr>
            <w:tcW w:w="1134" w:type="dxa"/>
            <w:vAlign w:val="center"/>
          </w:tcPr>
          <w:p w14:paraId="38818C23" w14:textId="2B80A622" w:rsidR="001824D9" w:rsidRPr="00D948C1" w:rsidRDefault="001824D9" w:rsidP="006C0086">
            <w:pPr>
              <w:pStyle w:val="CommentText"/>
              <w:tabs>
                <w:tab w:val="decimal" w:pos="743"/>
              </w:tabs>
              <w:spacing w:line="276" w:lineRule="auto"/>
              <w:jc w:val="right"/>
              <w:rPr>
                <w:sz w:val="24"/>
                <w:szCs w:val="24"/>
              </w:rPr>
            </w:pPr>
            <w:r w:rsidRPr="00D948C1">
              <w:rPr>
                <w:sz w:val="24"/>
                <w:szCs w:val="24"/>
              </w:rPr>
              <w:t>(</w:t>
            </w:r>
            <w:r w:rsidR="001020F8" w:rsidRPr="00D948C1">
              <w:rPr>
                <w:sz w:val="24"/>
                <w:szCs w:val="24"/>
              </w:rPr>
              <w:t>5,838</w:t>
            </w:r>
            <w:r w:rsidRPr="00D948C1">
              <w:rPr>
                <w:sz w:val="24"/>
                <w:szCs w:val="24"/>
              </w:rPr>
              <w:t>)</w:t>
            </w:r>
          </w:p>
        </w:tc>
        <w:tc>
          <w:tcPr>
            <w:tcW w:w="1134" w:type="dxa"/>
            <w:vAlign w:val="center"/>
          </w:tcPr>
          <w:p w14:paraId="5CE9F05B" w14:textId="77777777" w:rsidR="001824D9" w:rsidRPr="00D948C1" w:rsidRDefault="001824D9" w:rsidP="006C0086">
            <w:pPr>
              <w:tabs>
                <w:tab w:val="decimal" w:pos="742"/>
              </w:tabs>
              <w:spacing w:line="276" w:lineRule="auto"/>
              <w:jc w:val="right"/>
              <w:rPr>
                <w:szCs w:val="24"/>
              </w:rPr>
            </w:pPr>
          </w:p>
        </w:tc>
        <w:tc>
          <w:tcPr>
            <w:tcW w:w="1134" w:type="dxa"/>
            <w:vAlign w:val="center"/>
          </w:tcPr>
          <w:p w14:paraId="15B6C481" w14:textId="5FFAE184" w:rsidR="001824D9" w:rsidRPr="00D948C1" w:rsidRDefault="001824D9" w:rsidP="006C0086">
            <w:pPr>
              <w:pStyle w:val="CommentText"/>
              <w:tabs>
                <w:tab w:val="decimal" w:pos="743"/>
              </w:tabs>
              <w:spacing w:line="276" w:lineRule="auto"/>
              <w:jc w:val="right"/>
              <w:rPr>
                <w:sz w:val="24"/>
                <w:szCs w:val="24"/>
              </w:rPr>
            </w:pPr>
            <w:r w:rsidRPr="00D948C1">
              <w:rPr>
                <w:sz w:val="24"/>
                <w:szCs w:val="24"/>
              </w:rPr>
              <w:t>(15,347)</w:t>
            </w:r>
          </w:p>
        </w:tc>
      </w:tr>
      <w:tr w:rsidR="001824D9" w:rsidRPr="00D948C1" w14:paraId="2806C46A" w14:textId="77777777" w:rsidTr="00A066AE">
        <w:trPr>
          <w:trHeight w:hRule="exact" w:val="587"/>
        </w:trPr>
        <w:tc>
          <w:tcPr>
            <w:tcW w:w="4927" w:type="dxa"/>
          </w:tcPr>
          <w:p w14:paraId="7481CC42" w14:textId="28516456" w:rsidR="001824D9" w:rsidRPr="00D948C1" w:rsidRDefault="001824D9" w:rsidP="006C0086">
            <w:pPr>
              <w:tabs>
                <w:tab w:val="left" w:pos="284"/>
              </w:tabs>
              <w:spacing w:line="276" w:lineRule="auto"/>
              <w:rPr>
                <w:szCs w:val="24"/>
              </w:rPr>
            </w:pPr>
            <w:r w:rsidRPr="00D948C1">
              <w:rPr>
                <w:szCs w:val="24"/>
              </w:rPr>
              <w:t>Adjustments to net deficit on the provision of services for non-cash movements</w:t>
            </w:r>
          </w:p>
        </w:tc>
        <w:tc>
          <w:tcPr>
            <w:tcW w:w="1100" w:type="dxa"/>
            <w:vAlign w:val="center"/>
          </w:tcPr>
          <w:p w14:paraId="39F4D6C4" w14:textId="0CCC842E" w:rsidR="001824D9" w:rsidRPr="00D948C1" w:rsidRDefault="001824D9" w:rsidP="006C0086">
            <w:pPr>
              <w:tabs>
                <w:tab w:val="left" w:pos="284"/>
              </w:tabs>
              <w:spacing w:line="276" w:lineRule="auto"/>
              <w:jc w:val="center"/>
              <w:rPr>
                <w:rStyle w:val="Hyperlink"/>
              </w:rPr>
            </w:pPr>
            <w:hyperlink w:anchor="N23" w:history="1">
              <w:r w:rsidRPr="00D948C1">
                <w:rPr>
                  <w:rStyle w:val="Hyperlink"/>
                  <w:szCs w:val="24"/>
                </w:rPr>
                <w:t>23</w:t>
              </w:r>
            </w:hyperlink>
          </w:p>
        </w:tc>
        <w:tc>
          <w:tcPr>
            <w:tcW w:w="1134" w:type="dxa"/>
            <w:vAlign w:val="center"/>
          </w:tcPr>
          <w:p w14:paraId="3285FE88" w14:textId="3D648D62" w:rsidR="001824D9" w:rsidRPr="00D948C1" w:rsidRDefault="001824D9" w:rsidP="006C0086">
            <w:pPr>
              <w:tabs>
                <w:tab w:val="decimal" w:pos="743"/>
              </w:tabs>
              <w:spacing w:line="276" w:lineRule="auto"/>
              <w:jc w:val="right"/>
              <w:rPr>
                <w:bCs/>
                <w:szCs w:val="24"/>
              </w:rPr>
            </w:pPr>
          </w:p>
        </w:tc>
        <w:tc>
          <w:tcPr>
            <w:tcW w:w="1134" w:type="dxa"/>
            <w:vAlign w:val="center"/>
          </w:tcPr>
          <w:p w14:paraId="5982794D" w14:textId="1176195F" w:rsidR="001824D9" w:rsidRPr="00D948C1" w:rsidRDefault="001020F8" w:rsidP="006C0086">
            <w:pPr>
              <w:tabs>
                <w:tab w:val="decimal" w:pos="743"/>
              </w:tabs>
              <w:spacing w:line="276" w:lineRule="auto"/>
              <w:jc w:val="right"/>
              <w:rPr>
                <w:bCs/>
                <w:szCs w:val="24"/>
              </w:rPr>
            </w:pPr>
            <w:r w:rsidRPr="00D948C1">
              <w:rPr>
                <w:bCs/>
                <w:szCs w:val="24"/>
              </w:rPr>
              <w:t>8,914</w:t>
            </w:r>
          </w:p>
        </w:tc>
        <w:tc>
          <w:tcPr>
            <w:tcW w:w="1134" w:type="dxa"/>
            <w:vAlign w:val="center"/>
          </w:tcPr>
          <w:p w14:paraId="7D746D44" w14:textId="77777777" w:rsidR="001824D9" w:rsidRPr="00D948C1" w:rsidRDefault="001824D9" w:rsidP="006C0086">
            <w:pPr>
              <w:tabs>
                <w:tab w:val="decimal" w:pos="743"/>
              </w:tabs>
              <w:spacing w:line="276" w:lineRule="auto"/>
              <w:jc w:val="right"/>
              <w:rPr>
                <w:bCs/>
                <w:szCs w:val="24"/>
              </w:rPr>
            </w:pPr>
          </w:p>
        </w:tc>
        <w:tc>
          <w:tcPr>
            <w:tcW w:w="1134" w:type="dxa"/>
            <w:vAlign w:val="center"/>
          </w:tcPr>
          <w:p w14:paraId="7690B1ED" w14:textId="458CAF2C" w:rsidR="001824D9" w:rsidRPr="00D948C1" w:rsidRDefault="001824D9" w:rsidP="006C0086">
            <w:pPr>
              <w:tabs>
                <w:tab w:val="decimal" w:pos="743"/>
              </w:tabs>
              <w:spacing w:line="276" w:lineRule="auto"/>
              <w:jc w:val="right"/>
              <w:rPr>
                <w:bCs/>
                <w:szCs w:val="24"/>
              </w:rPr>
            </w:pPr>
            <w:r w:rsidRPr="00D948C1">
              <w:rPr>
                <w:bCs/>
                <w:szCs w:val="24"/>
              </w:rPr>
              <w:t>15,940</w:t>
            </w:r>
          </w:p>
        </w:tc>
      </w:tr>
      <w:tr w:rsidR="001824D9" w:rsidRPr="00D948C1" w14:paraId="4522AD1A" w14:textId="77777777" w:rsidTr="00036C34">
        <w:trPr>
          <w:trHeight w:hRule="exact" w:val="820"/>
        </w:trPr>
        <w:tc>
          <w:tcPr>
            <w:tcW w:w="4927" w:type="dxa"/>
          </w:tcPr>
          <w:p w14:paraId="5DDB7602" w14:textId="77777777" w:rsidR="001824D9" w:rsidRPr="00D948C1" w:rsidRDefault="001824D9" w:rsidP="006C0086">
            <w:pPr>
              <w:tabs>
                <w:tab w:val="left" w:pos="284"/>
              </w:tabs>
              <w:spacing w:line="276" w:lineRule="auto"/>
              <w:rPr>
                <w:szCs w:val="24"/>
              </w:rPr>
            </w:pPr>
            <w:r w:rsidRPr="00D948C1">
              <w:rPr>
                <w:szCs w:val="24"/>
              </w:rPr>
              <w:t>Adjustments for items included in the net (deficit) on the provision of services that are investing and financing activities</w:t>
            </w:r>
          </w:p>
        </w:tc>
        <w:tc>
          <w:tcPr>
            <w:tcW w:w="1100" w:type="dxa"/>
            <w:vAlign w:val="center"/>
          </w:tcPr>
          <w:p w14:paraId="27E7B745"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474B011E" w14:textId="2CD0E29D" w:rsidR="001824D9" w:rsidRPr="00D948C1" w:rsidRDefault="001824D9" w:rsidP="006C0086">
            <w:pPr>
              <w:tabs>
                <w:tab w:val="decimal" w:pos="743"/>
              </w:tabs>
              <w:spacing w:line="276" w:lineRule="auto"/>
              <w:jc w:val="right"/>
              <w:rPr>
                <w:bCs/>
                <w:szCs w:val="24"/>
              </w:rPr>
            </w:pPr>
          </w:p>
        </w:tc>
        <w:tc>
          <w:tcPr>
            <w:tcW w:w="1134" w:type="dxa"/>
            <w:vAlign w:val="center"/>
          </w:tcPr>
          <w:p w14:paraId="2376C64C" w14:textId="4A994282" w:rsidR="001824D9" w:rsidRPr="00D948C1" w:rsidRDefault="001020F8" w:rsidP="006C0086">
            <w:pPr>
              <w:pStyle w:val="CommentText"/>
              <w:tabs>
                <w:tab w:val="decimal" w:pos="743"/>
              </w:tabs>
              <w:spacing w:line="276" w:lineRule="auto"/>
              <w:jc w:val="right"/>
              <w:rPr>
                <w:bCs/>
                <w:sz w:val="24"/>
                <w:szCs w:val="24"/>
              </w:rPr>
            </w:pPr>
            <w:r w:rsidRPr="00D948C1">
              <w:rPr>
                <w:bCs/>
                <w:sz w:val="24"/>
                <w:szCs w:val="24"/>
              </w:rPr>
              <w:t>578</w:t>
            </w:r>
          </w:p>
        </w:tc>
        <w:tc>
          <w:tcPr>
            <w:tcW w:w="1134" w:type="dxa"/>
            <w:vAlign w:val="center"/>
          </w:tcPr>
          <w:p w14:paraId="1EA228C1" w14:textId="77777777" w:rsidR="001824D9" w:rsidRPr="00D948C1" w:rsidRDefault="001824D9" w:rsidP="006C0086">
            <w:pPr>
              <w:tabs>
                <w:tab w:val="decimal" w:pos="743"/>
              </w:tabs>
              <w:spacing w:line="276" w:lineRule="auto"/>
              <w:jc w:val="right"/>
              <w:rPr>
                <w:bCs/>
                <w:szCs w:val="24"/>
              </w:rPr>
            </w:pPr>
          </w:p>
        </w:tc>
        <w:tc>
          <w:tcPr>
            <w:tcW w:w="1134" w:type="dxa"/>
            <w:vAlign w:val="center"/>
          </w:tcPr>
          <w:p w14:paraId="4E02311B" w14:textId="5B4F3F7B" w:rsidR="001824D9" w:rsidRPr="00D948C1" w:rsidRDefault="001824D9" w:rsidP="006C0086">
            <w:pPr>
              <w:pStyle w:val="CommentText"/>
              <w:tabs>
                <w:tab w:val="decimal" w:pos="743"/>
              </w:tabs>
              <w:spacing w:line="276" w:lineRule="auto"/>
              <w:jc w:val="right"/>
              <w:rPr>
                <w:bCs/>
                <w:sz w:val="24"/>
                <w:szCs w:val="24"/>
              </w:rPr>
            </w:pPr>
            <w:r w:rsidRPr="00D948C1">
              <w:rPr>
                <w:bCs/>
                <w:sz w:val="24"/>
                <w:szCs w:val="24"/>
              </w:rPr>
              <w:t>699</w:t>
            </w:r>
          </w:p>
        </w:tc>
      </w:tr>
      <w:tr w:rsidR="001824D9" w:rsidRPr="00D948C1" w14:paraId="133A9507" w14:textId="77777777" w:rsidTr="00036C34">
        <w:trPr>
          <w:trHeight w:hRule="exact" w:val="300"/>
        </w:trPr>
        <w:tc>
          <w:tcPr>
            <w:tcW w:w="4927" w:type="dxa"/>
          </w:tcPr>
          <w:p w14:paraId="3A816E97" w14:textId="77777777" w:rsidR="001824D9" w:rsidRPr="00D948C1" w:rsidRDefault="001824D9" w:rsidP="006C0086">
            <w:pPr>
              <w:tabs>
                <w:tab w:val="left" w:pos="284"/>
              </w:tabs>
              <w:spacing w:line="276" w:lineRule="auto"/>
              <w:rPr>
                <w:b/>
                <w:szCs w:val="24"/>
              </w:rPr>
            </w:pPr>
            <w:r w:rsidRPr="00D948C1">
              <w:rPr>
                <w:b/>
                <w:szCs w:val="24"/>
              </w:rPr>
              <w:t>Net cash flows from Operating Activities</w:t>
            </w:r>
          </w:p>
        </w:tc>
        <w:tc>
          <w:tcPr>
            <w:tcW w:w="1100" w:type="dxa"/>
            <w:vAlign w:val="center"/>
          </w:tcPr>
          <w:p w14:paraId="504208EF"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127C786A" w14:textId="5FDD3370" w:rsidR="001824D9" w:rsidRPr="00D948C1" w:rsidRDefault="001824D9" w:rsidP="006C0086">
            <w:pPr>
              <w:tabs>
                <w:tab w:val="decimal" w:pos="743"/>
              </w:tabs>
              <w:spacing w:line="276" w:lineRule="auto"/>
              <w:jc w:val="right"/>
              <w:rPr>
                <w:b/>
                <w:szCs w:val="24"/>
              </w:rPr>
            </w:pPr>
          </w:p>
        </w:tc>
        <w:tc>
          <w:tcPr>
            <w:tcW w:w="1134" w:type="dxa"/>
            <w:vAlign w:val="center"/>
          </w:tcPr>
          <w:p w14:paraId="4C244104" w14:textId="1348B212" w:rsidR="001824D9" w:rsidRPr="00D948C1" w:rsidRDefault="001020F8" w:rsidP="006C0086">
            <w:pPr>
              <w:pStyle w:val="CommentText"/>
              <w:tabs>
                <w:tab w:val="decimal" w:pos="743"/>
              </w:tabs>
              <w:spacing w:line="276" w:lineRule="auto"/>
              <w:jc w:val="right"/>
              <w:rPr>
                <w:b/>
                <w:sz w:val="24"/>
                <w:szCs w:val="24"/>
              </w:rPr>
            </w:pPr>
            <w:r w:rsidRPr="00D948C1">
              <w:rPr>
                <w:b/>
                <w:sz w:val="24"/>
                <w:szCs w:val="24"/>
              </w:rPr>
              <w:t>3,654</w:t>
            </w:r>
          </w:p>
        </w:tc>
        <w:tc>
          <w:tcPr>
            <w:tcW w:w="1134" w:type="dxa"/>
            <w:vAlign w:val="center"/>
          </w:tcPr>
          <w:p w14:paraId="25DF0D5F" w14:textId="77777777" w:rsidR="001824D9" w:rsidRPr="00D948C1" w:rsidRDefault="001824D9" w:rsidP="006C0086">
            <w:pPr>
              <w:tabs>
                <w:tab w:val="decimal" w:pos="743"/>
              </w:tabs>
              <w:spacing w:line="276" w:lineRule="auto"/>
              <w:jc w:val="right"/>
              <w:rPr>
                <w:b/>
                <w:szCs w:val="24"/>
              </w:rPr>
            </w:pPr>
          </w:p>
        </w:tc>
        <w:tc>
          <w:tcPr>
            <w:tcW w:w="1134" w:type="dxa"/>
            <w:vAlign w:val="center"/>
          </w:tcPr>
          <w:p w14:paraId="7910C3F5" w14:textId="510E6124" w:rsidR="001824D9" w:rsidRPr="00D948C1" w:rsidRDefault="001824D9" w:rsidP="006C0086">
            <w:pPr>
              <w:pStyle w:val="CommentText"/>
              <w:tabs>
                <w:tab w:val="decimal" w:pos="743"/>
              </w:tabs>
              <w:spacing w:line="276" w:lineRule="auto"/>
              <w:jc w:val="right"/>
              <w:rPr>
                <w:b/>
                <w:sz w:val="24"/>
                <w:szCs w:val="24"/>
              </w:rPr>
            </w:pPr>
            <w:r w:rsidRPr="00D948C1">
              <w:rPr>
                <w:b/>
                <w:sz w:val="24"/>
                <w:szCs w:val="24"/>
              </w:rPr>
              <w:t>1,292</w:t>
            </w:r>
          </w:p>
        </w:tc>
      </w:tr>
    </w:tbl>
    <w:p w14:paraId="7C0C084A" w14:textId="77777777" w:rsidR="00DD2894" w:rsidRPr="00D948C1" w:rsidRDefault="00DD2894" w:rsidP="006C0086">
      <w:pPr>
        <w:spacing w:line="276" w:lineRule="auto"/>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D948C1" w14:paraId="08E23E5D" w14:textId="77777777" w:rsidTr="00036C34">
        <w:trPr>
          <w:trHeight w:hRule="exact" w:val="334"/>
        </w:trPr>
        <w:tc>
          <w:tcPr>
            <w:tcW w:w="10563" w:type="dxa"/>
            <w:gridSpan w:val="6"/>
            <w:shd w:val="clear" w:color="auto" w:fill="D9D9D9" w:themeFill="background1" w:themeFillShade="D9"/>
          </w:tcPr>
          <w:p w14:paraId="2F0FB6BD" w14:textId="329F12A1" w:rsidR="00DD2894" w:rsidRPr="00D948C1" w:rsidRDefault="00DD2894" w:rsidP="006C0086">
            <w:pPr>
              <w:pStyle w:val="Footer"/>
              <w:tabs>
                <w:tab w:val="clear" w:pos="4153"/>
                <w:tab w:val="clear" w:pos="8306"/>
                <w:tab w:val="left" w:pos="284"/>
              </w:tabs>
              <w:spacing w:line="276" w:lineRule="auto"/>
              <w:rPr>
                <w:b/>
                <w:bCs/>
                <w:szCs w:val="24"/>
              </w:rPr>
            </w:pPr>
            <w:r w:rsidRPr="00D948C1">
              <w:rPr>
                <w:b/>
                <w:bCs/>
                <w:szCs w:val="24"/>
              </w:rPr>
              <w:t>Investing activities</w:t>
            </w:r>
          </w:p>
        </w:tc>
      </w:tr>
      <w:tr w:rsidR="001824D9" w:rsidRPr="00D948C1" w14:paraId="29925C5D" w14:textId="77777777" w:rsidTr="00036C34">
        <w:trPr>
          <w:trHeight w:hRule="exact" w:val="582"/>
        </w:trPr>
        <w:tc>
          <w:tcPr>
            <w:tcW w:w="4927" w:type="dxa"/>
          </w:tcPr>
          <w:p w14:paraId="2D728916" w14:textId="77777777" w:rsidR="001824D9" w:rsidRPr="00D948C1" w:rsidRDefault="001824D9" w:rsidP="006C0086">
            <w:pPr>
              <w:tabs>
                <w:tab w:val="left" w:pos="284"/>
              </w:tabs>
              <w:spacing w:line="276" w:lineRule="auto"/>
              <w:rPr>
                <w:szCs w:val="24"/>
              </w:rPr>
            </w:pPr>
            <w:r w:rsidRPr="00D948C1">
              <w:rPr>
                <w:szCs w:val="24"/>
              </w:rPr>
              <w:t>Purchase of property plant and equipment &amp; other capital spend</w:t>
            </w:r>
          </w:p>
        </w:tc>
        <w:tc>
          <w:tcPr>
            <w:tcW w:w="1100" w:type="dxa"/>
            <w:vAlign w:val="center"/>
          </w:tcPr>
          <w:p w14:paraId="161B4898" w14:textId="4001074F" w:rsidR="001824D9" w:rsidRPr="00D948C1" w:rsidRDefault="001824D9" w:rsidP="006C0086">
            <w:pPr>
              <w:tabs>
                <w:tab w:val="left" w:pos="284"/>
              </w:tabs>
              <w:spacing w:line="276" w:lineRule="auto"/>
              <w:jc w:val="center"/>
              <w:rPr>
                <w:rStyle w:val="Hyperlink"/>
              </w:rPr>
            </w:pPr>
            <w:hyperlink w:anchor="N6" w:history="1">
              <w:r w:rsidRPr="00D948C1">
                <w:rPr>
                  <w:rStyle w:val="Hyperlink"/>
                  <w:szCs w:val="24"/>
                </w:rPr>
                <w:t>6</w:t>
              </w:r>
            </w:hyperlink>
            <w:r w:rsidRPr="00D948C1">
              <w:rPr>
                <w:rStyle w:val="Hyperlink"/>
              </w:rPr>
              <w:t>/</w:t>
            </w:r>
            <w:hyperlink w:anchor="N7" w:history="1">
              <w:r w:rsidRPr="00D948C1">
                <w:rPr>
                  <w:rStyle w:val="Hyperlink"/>
                  <w:szCs w:val="24"/>
                </w:rPr>
                <w:t>7</w:t>
              </w:r>
            </w:hyperlink>
          </w:p>
        </w:tc>
        <w:tc>
          <w:tcPr>
            <w:tcW w:w="1134" w:type="dxa"/>
            <w:vAlign w:val="center"/>
          </w:tcPr>
          <w:p w14:paraId="1E01EF41" w14:textId="613DFFBC" w:rsidR="001824D9" w:rsidRPr="00D948C1" w:rsidRDefault="001824D9" w:rsidP="006C0086">
            <w:pPr>
              <w:tabs>
                <w:tab w:val="decimal" w:pos="743"/>
              </w:tabs>
              <w:spacing w:line="276" w:lineRule="auto"/>
              <w:jc w:val="right"/>
              <w:rPr>
                <w:bCs/>
                <w:szCs w:val="24"/>
              </w:rPr>
            </w:pPr>
            <w:r w:rsidRPr="00D948C1">
              <w:rPr>
                <w:bCs/>
                <w:szCs w:val="24"/>
              </w:rPr>
              <w:t>(</w:t>
            </w:r>
            <w:r w:rsidR="001020F8" w:rsidRPr="00D948C1">
              <w:rPr>
                <w:bCs/>
                <w:szCs w:val="24"/>
              </w:rPr>
              <w:t>6,074</w:t>
            </w:r>
            <w:r w:rsidRPr="00D948C1">
              <w:rPr>
                <w:bCs/>
                <w:szCs w:val="24"/>
              </w:rPr>
              <w:t>)</w:t>
            </w:r>
          </w:p>
        </w:tc>
        <w:tc>
          <w:tcPr>
            <w:tcW w:w="1134" w:type="dxa"/>
            <w:vAlign w:val="center"/>
          </w:tcPr>
          <w:p w14:paraId="4B44576C" w14:textId="77777777" w:rsidR="001824D9" w:rsidRPr="00D948C1" w:rsidRDefault="001824D9" w:rsidP="006C0086">
            <w:pPr>
              <w:tabs>
                <w:tab w:val="decimal" w:pos="743"/>
              </w:tabs>
              <w:spacing w:line="276" w:lineRule="auto"/>
              <w:jc w:val="right"/>
              <w:rPr>
                <w:bCs/>
                <w:szCs w:val="24"/>
              </w:rPr>
            </w:pPr>
          </w:p>
        </w:tc>
        <w:tc>
          <w:tcPr>
            <w:tcW w:w="1134" w:type="dxa"/>
            <w:vAlign w:val="center"/>
          </w:tcPr>
          <w:p w14:paraId="17DA96AA" w14:textId="18B0DCC3" w:rsidR="001824D9" w:rsidRPr="00D948C1" w:rsidRDefault="001824D9" w:rsidP="006C0086">
            <w:pPr>
              <w:tabs>
                <w:tab w:val="decimal" w:pos="743"/>
              </w:tabs>
              <w:spacing w:line="276" w:lineRule="auto"/>
              <w:jc w:val="right"/>
              <w:rPr>
                <w:bCs/>
                <w:szCs w:val="24"/>
              </w:rPr>
            </w:pPr>
            <w:r w:rsidRPr="00D948C1">
              <w:rPr>
                <w:bCs/>
                <w:szCs w:val="24"/>
              </w:rPr>
              <w:t>(1,680)</w:t>
            </w:r>
          </w:p>
        </w:tc>
        <w:tc>
          <w:tcPr>
            <w:tcW w:w="1134" w:type="dxa"/>
            <w:vAlign w:val="center"/>
          </w:tcPr>
          <w:p w14:paraId="37D2B5B9" w14:textId="77777777" w:rsidR="001824D9" w:rsidRPr="00D948C1" w:rsidRDefault="001824D9" w:rsidP="006C0086">
            <w:pPr>
              <w:tabs>
                <w:tab w:val="decimal" w:pos="743"/>
              </w:tabs>
              <w:spacing w:line="276" w:lineRule="auto"/>
              <w:jc w:val="right"/>
              <w:rPr>
                <w:bCs/>
                <w:szCs w:val="24"/>
              </w:rPr>
            </w:pPr>
          </w:p>
        </w:tc>
      </w:tr>
      <w:tr w:rsidR="001824D9" w:rsidRPr="00D948C1" w14:paraId="2CCE33B0" w14:textId="77777777" w:rsidTr="00036C34">
        <w:trPr>
          <w:trHeight w:hRule="exact" w:val="300"/>
        </w:trPr>
        <w:tc>
          <w:tcPr>
            <w:tcW w:w="4927" w:type="dxa"/>
          </w:tcPr>
          <w:p w14:paraId="7E93E35C" w14:textId="2C006A9C"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(Increase)/Decrease in long-term deposits</w:t>
            </w:r>
          </w:p>
        </w:tc>
        <w:tc>
          <w:tcPr>
            <w:tcW w:w="1100" w:type="dxa"/>
            <w:vAlign w:val="center"/>
          </w:tcPr>
          <w:p w14:paraId="72B77876"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0A8647F9" w14:textId="3FB79A62" w:rsidR="001824D9" w:rsidRPr="00D948C1" w:rsidRDefault="001020F8" w:rsidP="006C0086">
            <w:pPr>
              <w:tabs>
                <w:tab w:val="decimal" w:pos="743"/>
              </w:tabs>
              <w:spacing w:line="276" w:lineRule="auto"/>
              <w:jc w:val="right"/>
              <w:rPr>
                <w:szCs w:val="24"/>
              </w:rPr>
            </w:pPr>
            <w:r w:rsidRPr="00D948C1">
              <w:rPr>
                <w:szCs w:val="24"/>
              </w:rPr>
              <w:t>-</w:t>
            </w:r>
          </w:p>
        </w:tc>
        <w:tc>
          <w:tcPr>
            <w:tcW w:w="1134" w:type="dxa"/>
            <w:vAlign w:val="center"/>
          </w:tcPr>
          <w:p w14:paraId="5C83BF32"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454AD3A8" w14:textId="4E229063" w:rsidR="001824D9" w:rsidRPr="00D948C1" w:rsidRDefault="001824D9" w:rsidP="006C0086">
            <w:pPr>
              <w:tabs>
                <w:tab w:val="decimal" w:pos="743"/>
              </w:tabs>
              <w:spacing w:line="276" w:lineRule="auto"/>
              <w:jc w:val="right"/>
              <w:rPr>
                <w:szCs w:val="24"/>
              </w:rPr>
            </w:pPr>
            <w:r w:rsidRPr="00D948C1">
              <w:rPr>
                <w:szCs w:val="24"/>
              </w:rPr>
              <w:t>5,000</w:t>
            </w:r>
          </w:p>
        </w:tc>
        <w:tc>
          <w:tcPr>
            <w:tcW w:w="1134" w:type="dxa"/>
            <w:vAlign w:val="center"/>
          </w:tcPr>
          <w:p w14:paraId="62A69C7C"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68AFA0B9" w14:textId="77777777" w:rsidTr="00036C34">
        <w:trPr>
          <w:trHeight w:hRule="exact" w:val="300"/>
        </w:trPr>
        <w:tc>
          <w:tcPr>
            <w:tcW w:w="4927" w:type="dxa"/>
          </w:tcPr>
          <w:p w14:paraId="43415029" w14:textId="50AB35A2"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(Increase)/Decrease in short-term deposits</w:t>
            </w:r>
          </w:p>
        </w:tc>
        <w:tc>
          <w:tcPr>
            <w:tcW w:w="1100" w:type="dxa"/>
            <w:vAlign w:val="center"/>
          </w:tcPr>
          <w:p w14:paraId="116128E1"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3BAD0658" w14:textId="6787A4D7" w:rsidR="001824D9" w:rsidRPr="00D948C1" w:rsidRDefault="001824D9" w:rsidP="006C0086">
            <w:pPr>
              <w:tabs>
                <w:tab w:val="decimal" w:pos="743"/>
              </w:tabs>
              <w:spacing w:line="276" w:lineRule="auto"/>
              <w:jc w:val="right"/>
              <w:rPr>
                <w:szCs w:val="24"/>
              </w:rPr>
            </w:pPr>
            <w:r w:rsidRPr="00D948C1">
              <w:rPr>
                <w:szCs w:val="24"/>
              </w:rPr>
              <w:t>(</w:t>
            </w:r>
            <w:r w:rsidR="001020F8" w:rsidRPr="00D948C1">
              <w:rPr>
                <w:szCs w:val="24"/>
              </w:rPr>
              <w:t>8,5</w:t>
            </w:r>
            <w:r w:rsidRPr="00D948C1">
              <w:rPr>
                <w:szCs w:val="24"/>
              </w:rPr>
              <w:t>00)</w:t>
            </w:r>
          </w:p>
        </w:tc>
        <w:tc>
          <w:tcPr>
            <w:tcW w:w="1134" w:type="dxa"/>
            <w:vAlign w:val="center"/>
          </w:tcPr>
          <w:p w14:paraId="77D92273"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600B96BA" w14:textId="5E764A32" w:rsidR="001824D9" w:rsidRPr="00D948C1" w:rsidRDefault="001824D9" w:rsidP="006C0086">
            <w:pPr>
              <w:tabs>
                <w:tab w:val="decimal" w:pos="743"/>
              </w:tabs>
              <w:spacing w:line="276" w:lineRule="auto"/>
              <w:jc w:val="right"/>
              <w:rPr>
                <w:szCs w:val="24"/>
              </w:rPr>
            </w:pPr>
            <w:r w:rsidRPr="00D948C1">
              <w:rPr>
                <w:szCs w:val="24"/>
              </w:rPr>
              <w:t>(5,000)</w:t>
            </w:r>
          </w:p>
        </w:tc>
        <w:tc>
          <w:tcPr>
            <w:tcW w:w="1134" w:type="dxa"/>
            <w:vAlign w:val="center"/>
          </w:tcPr>
          <w:p w14:paraId="37A24EA3"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44D25AA8" w14:textId="77777777" w:rsidTr="00036C34">
        <w:trPr>
          <w:trHeight w:hRule="exact" w:val="300"/>
        </w:trPr>
        <w:tc>
          <w:tcPr>
            <w:tcW w:w="4927" w:type="dxa"/>
          </w:tcPr>
          <w:p w14:paraId="3D967782" w14:textId="77777777"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Receipts from investing activities</w:t>
            </w:r>
          </w:p>
        </w:tc>
        <w:tc>
          <w:tcPr>
            <w:tcW w:w="1100" w:type="dxa"/>
            <w:vAlign w:val="center"/>
          </w:tcPr>
          <w:p w14:paraId="150F08E4" w14:textId="5E76AE5E" w:rsidR="001824D9" w:rsidRPr="00D948C1" w:rsidRDefault="001824D9" w:rsidP="006C0086">
            <w:pPr>
              <w:tabs>
                <w:tab w:val="left" w:pos="284"/>
              </w:tabs>
              <w:spacing w:line="276" w:lineRule="auto"/>
              <w:jc w:val="center"/>
              <w:rPr>
                <w:rStyle w:val="Hyperlink"/>
              </w:rPr>
            </w:pPr>
            <w:hyperlink w:anchor="N24" w:history="1">
              <w:r w:rsidRPr="00D948C1">
                <w:rPr>
                  <w:rStyle w:val="Hyperlink"/>
                  <w:szCs w:val="24"/>
                </w:rPr>
                <w:t>24</w:t>
              </w:r>
            </w:hyperlink>
          </w:p>
        </w:tc>
        <w:tc>
          <w:tcPr>
            <w:tcW w:w="1134" w:type="dxa"/>
            <w:vAlign w:val="center"/>
          </w:tcPr>
          <w:p w14:paraId="507396CF" w14:textId="6944FB66" w:rsidR="001824D9" w:rsidRPr="00D948C1" w:rsidRDefault="001020F8" w:rsidP="006C0086">
            <w:pPr>
              <w:tabs>
                <w:tab w:val="decimal" w:pos="743"/>
              </w:tabs>
              <w:spacing w:line="276" w:lineRule="auto"/>
              <w:jc w:val="right"/>
              <w:rPr>
                <w:szCs w:val="24"/>
              </w:rPr>
            </w:pPr>
            <w:r w:rsidRPr="00D948C1">
              <w:rPr>
                <w:szCs w:val="24"/>
              </w:rPr>
              <w:t>763</w:t>
            </w:r>
          </w:p>
        </w:tc>
        <w:tc>
          <w:tcPr>
            <w:tcW w:w="1134" w:type="dxa"/>
            <w:vAlign w:val="center"/>
          </w:tcPr>
          <w:p w14:paraId="7D6D6234"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685D7161" w14:textId="2D78B939" w:rsidR="001824D9" w:rsidRPr="00D948C1" w:rsidRDefault="001824D9" w:rsidP="006C0086">
            <w:pPr>
              <w:tabs>
                <w:tab w:val="decimal" w:pos="743"/>
              </w:tabs>
              <w:spacing w:line="276" w:lineRule="auto"/>
              <w:jc w:val="right"/>
              <w:rPr>
                <w:szCs w:val="24"/>
              </w:rPr>
            </w:pPr>
            <w:r w:rsidRPr="00D948C1">
              <w:rPr>
                <w:szCs w:val="24"/>
              </w:rPr>
              <w:t>667</w:t>
            </w:r>
          </w:p>
        </w:tc>
        <w:tc>
          <w:tcPr>
            <w:tcW w:w="1134" w:type="dxa"/>
            <w:vAlign w:val="center"/>
          </w:tcPr>
          <w:p w14:paraId="63D38641"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2AF2D529" w14:textId="77777777" w:rsidTr="00036C34">
        <w:trPr>
          <w:trHeight w:hRule="exact" w:val="300"/>
        </w:trPr>
        <w:tc>
          <w:tcPr>
            <w:tcW w:w="4927" w:type="dxa"/>
          </w:tcPr>
          <w:p w14:paraId="1996C803" w14:textId="77777777" w:rsidR="001824D9" w:rsidRPr="00D948C1" w:rsidRDefault="001824D9" w:rsidP="006C0086">
            <w:pPr>
              <w:tabs>
                <w:tab w:val="left" w:pos="284"/>
              </w:tabs>
              <w:spacing w:line="276" w:lineRule="auto"/>
              <w:rPr>
                <w:szCs w:val="24"/>
              </w:rPr>
            </w:pPr>
            <w:r w:rsidRPr="00D948C1">
              <w:rPr>
                <w:szCs w:val="24"/>
              </w:rPr>
              <w:t>Net cash flows from investing activities</w:t>
            </w:r>
          </w:p>
        </w:tc>
        <w:tc>
          <w:tcPr>
            <w:tcW w:w="1100" w:type="dxa"/>
            <w:vAlign w:val="center"/>
          </w:tcPr>
          <w:p w14:paraId="0A8EC716"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4883E040" w14:textId="419A75ED" w:rsidR="001824D9" w:rsidRPr="00D948C1" w:rsidRDefault="001824D9" w:rsidP="006C0086">
            <w:pPr>
              <w:tabs>
                <w:tab w:val="decimal" w:pos="743"/>
              </w:tabs>
              <w:spacing w:line="276" w:lineRule="auto"/>
              <w:jc w:val="right"/>
              <w:rPr>
                <w:szCs w:val="24"/>
              </w:rPr>
            </w:pPr>
          </w:p>
        </w:tc>
        <w:tc>
          <w:tcPr>
            <w:tcW w:w="1134" w:type="dxa"/>
            <w:vAlign w:val="center"/>
          </w:tcPr>
          <w:p w14:paraId="063EC3D5" w14:textId="1A167329" w:rsidR="001824D9" w:rsidRPr="00D948C1" w:rsidRDefault="001824D9" w:rsidP="006C0086">
            <w:pPr>
              <w:pStyle w:val="CommentText"/>
              <w:tabs>
                <w:tab w:val="decimal" w:pos="743"/>
              </w:tabs>
              <w:spacing w:line="276" w:lineRule="auto"/>
              <w:jc w:val="right"/>
              <w:rPr>
                <w:sz w:val="24"/>
                <w:szCs w:val="24"/>
              </w:rPr>
            </w:pPr>
            <w:r w:rsidRPr="00D948C1">
              <w:rPr>
                <w:sz w:val="24"/>
                <w:szCs w:val="24"/>
              </w:rPr>
              <w:t>(1</w:t>
            </w:r>
            <w:r w:rsidR="001020F8" w:rsidRPr="00D948C1">
              <w:rPr>
                <w:sz w:val="24"/>
                <w:szCs w:val="24"/>
              </w:rPr>
              <w:t>3,810</w:t>
            </w:r>
            <w:r w:rsidRPr="00D948C1">
              <w:rPr>
                <w:sz w:val="24"/>
                <w:szCs w:val="24"/>
              </w:rPr>
              <w:t>)</w:t>
            </w:r>
          </w:p>
        </w:tc>
        <w:tc>
          <w:tcPr>
            <w:tcW w:w="1134" w:type="dxa"/>
            <w:vAlign w:val="center"/>
          </w:tcPr>
          <w:p w14:paraId="30EB67EB" w14:textId="77777777" w:rsidR="001824D9" w:rsidRPr="00D948C1" w:rsidRDefault="001824D9" w:rsidP="006C0086">
            <w:pPr>
              <w:tabs>
                <w:tab w:val="decimal" w:pos="743"/>
              </w:tabs>
              <w:spacing w:line="276" w:lineRule="auto"/>
              <w:jc w:val="right"/>
              <w:rPr>
                <w:szCs w:val="24"/>
              </w:rPr>
            </w:pPr>
          </w:p>
        </w:tc>
        <w:tc>
          <w:tcPr>
            <w:tcW w:w="1134" w:type="dxa"/>
            <w:vAlign w:val="center"/>
          </w:tcPr>
          <w:p w14:paraId="51FE7C49" w14:textId="7A3FDFFA" w:rsidR="001824D9" w:rsidRPr="00D948C1" w:rsidRDefault="001824D9" w:rsidP="006C0086">
            <w:pPr>
              <w:pStyle w:val="CommentText"/>
              <w:tabs>
                <w:tab w:val="decimal" w:pos="743"/>
              </w:tabs>
              <w:spacing w:line="276" w:lineRule="auto"/>
              <w:jc w:val="right"/>
              <w:rPr>
                <w:sz w:val="24"/>
                <w:szCs w:val="24"/>
              </w:rPr>
            </w:pPr>
            <w:r w:rsidRPr="00D948C1">
              <w:rPr>
                <w:sz w:val="24"/>
                <w:szCs w:val="24"/>
              </w:rPr>
              <w:t>(1,013)</w:t>
            </w:r>
          </w:p>
        </w:tc>
      </w:tr>
    </w:tbl>
    <w:p w14:paraId="74A6F784" w14:textId="77777777" w:rsidR="00DD2894" w:rsidRPr="00D948C1" w:rsidRDefault="00DD2894" w:rsidP="006C0086">
      <w:pPr>
        <w:spacing w:line="276" w:lineRule="auto"/>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D948C1" w14:paraId="19434437" w14:textId="77777777" w:rsidTr="00036C34">
        <w:trPr>
          <w:trHeight w:hRule="exact" w:val="334"/>
        </w:trPr>
        <w:tc>
          <w:tcPr>
            <w:tcW w:w="10563" w:type="dxa"/>
            <w:gridSpan w:val="6"/>
            <w:shd w:val="clear" w:color="auto" w:fill="D9D9D9" w:themeFill="background1" w:themeFillShade="D9"/>
          </w:tcPr>
          <w:p w14:paraId="2D0AFAC6" w14:textId="0550FEBA" w:rsidR="00DD2894" w:rsidRPr="00D948C1" w:rsidRDefault="00DD2894" w:rsidP="006C0086">
            <w:pPr>
              <w:tabs>
                <w:tab w:val="decimal" w:pos="742"/>
              </w:tabs>
              <w:spacing w:line="276" w:lineRule="auto"/>
              <w:rPr>
                <w:b/>
                <w:bCs/>
                <w:szCs w:val="24"/>
              </w:rPr>
            </w:pPr>
            <w:r w:rsidRPr="00D948C1">
              <w:rPr>
                <w:b/>
                <w:bCs/>
                <w:szCs w:val="24"/>
              </w:rPr>
              <w:t>Financing activities</w:t>
            </w:r>
          </w:p>
        </w:tc>
      </w:tr>
      <w:tr w:rsidR="001824D9" w:rsidRPr="00D948C1" w14:paraId="1D10DEA3" w14:textId="77777777" w:rsidTr="0076078A">
        <w:trPr>
          <w:trHeight w:hRule="exact" w:val="1363"/>
        </w:trPr>
        <w:tc>
          <w:tcPr>
            <w:tcW w:w="4927" w:type="dxa"/>
          </w:tcPr>
          <w:p w14:paraId="4AB1F216" w14:textId="2D528BF3"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Cash payments for the reduction of the outstanding liabilities relating to finance leases and on-balance sheet</w:t>
            </w:r>
            <w:r w:rsidR="0076078A">
              <w:rPr>
                <w:szCs w:val="24"/>
              </w:rPr>
              <w:t xml:space="preserve"> private finance initiative </w:t>
            </w:r>
            <w:r w:rsidRPr="00D948C1">
              <w:rPr>
                <w:szCs w:val="24"/>
              </w:rPr>
              <w:t>contracts</w:t>
            </w:r>
          </w:p>
        </w:tc>
        <w:tc>
          <w:tcPr>
            <w:tcW w:w="1100" w:type="dxa"/>
            <w:vAlign w:val="center"/>
          </w:tcPr>
          <w:p w14:paraId="4DD92C0A"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27A11587" w14:textId="6C7C258A" w:rsidR="001824D9" w:rsidRPr="00D948C1" w:rsidRDefault="001824D9" w:rsidP="006C0086">
            <w:pPr>
              <w:pStyle w:val="CommentText"/>
              <w:tabs>
                <w:tab w:val="decimal" w:pos="743"/>
              </w:tabs>
              <w:spacing w:line="276" w:lineRule="auto"/>
              <w:jc w:val="right"/>
              <w:rPr>
                <w:sz w:val="24"/>
                <w:szCs w:val="24"/>
              </w:rPr>
            </w:pPr>
            <w:r w:rsidRPr="00D948C1">
              <w:rPr>
                <w:sz w:val="24"/>
                <w:szCs w:val="24"/>
              </w:rPr>
              <w:t>(</w:t>
            </w:r>
            <w:r w:rsidR="001020F8" w:rsidRPr="00D948C1">
              <w:rPr>
                <w:sz w:val="24"/>
                <w:szCs w:val="24"/>
              </w:rPr>
              <w:t>52</w:t>
            </w:r>
            <w:r w:rsidRPr="00D948C1">
              <w:rPr>
                <w:sz w:val="24"/>
                <w:szCs w:val="24"/>
              </w:rPr>
              <w:t>2)</w:t>
            </w:r>
          </w:p>
        </w:tc>
        <w:tc>
          <w:tcPr>
            <w:tcW w:w="1134" w:type="dxa"/>
            <w:vAlign w:val="center"/>
          </w:tcPr>
          <w:p w14:paraId="69C3A638"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11CCABCE" w14:textId="3F44A6E5" w:rsidR="001824D9" w:rsidRPr="00D948C1" w:rsidRDefault="001824D9" w:rsidP="006C0086">
            <w:pPr>
              <w:pStyle w:val="CommentText"/>
              <w:tabs>
                <w:tab w:val="decimal" w:pos="743"/>
              </w:tabs>
              <w:spacing w:line="276" w:lineRule="auto"/>
              <w:jc w:val="right"/>
              <w:rPr>
                <w:sz w:val="24"/>
                <w:szCs w:val="24"/>
              </w:rPr>
            </w:pPr>
            <w:r w:rsidRPr="00D948C1">
              <w:rPr>
                <w:sz w:val="24"/>
                <w:szCs w:val="24"/>
              </w:rPr>
              <w:t>(492)</w:t>
            </w:r>
          </w:p>
        </w:tc>
        <w:tc>
          <w:tcPr>
            <w:tcW w:w="1134" w:type="dxa"/>
            <w:vAlign w:val="center"/>
          </w:tcPr>
          <w:p w14:paraId="73E7C22B"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09E78068" w14:textId="77777777" w:rsidTr="00036C34">
        <w:trPr>
          <w:trHeight w:hRule="exact" w:val="300"/>
        </w:trPr>
        <w:tc>
          <w:tcPr>
            <w:tcW w:w="4927" w:type="dxa"/>
          </w:tcPr>
          <w:p w14:paraId="673F8FA7" w14:textId="485560F1"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Repayment of long-term borrowing</w:t>
            </w:r>
          </w:p>
        </w:tc>
        <w:tc>
          <w:tcPr>
            <w:tcW w:w="1100" w:type="dxa"/>
            <w:vAlign w:val="center"/>
          </w:tcPr>
          <w:p w14:paraId="577CCC4B"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0C76F4EE" w14:textId="244F5E6B" w:rsidR="001824D9" w:rsidRPr="00D948C1" w:rsidRDefault="001824D9" w:rsidP="006C0086">
            <w:pPr>
              <w:pStyle w:val="CommentText"/>
              <w:tabs>
                <w:tab w:val="decimal" w:pos="743"/>
              </w:tabs>
              <w:spacing w:line="276" w:lineRule="auto"/>
              <w:jc w:val="right"/>
              <w:rPr>
                <w:sz w:val="24"/>
                <w:szCs w:val="24"/>
              </w:rPr>
            </w:pPr>
            <w:r w:rsidRPr="00D948C1">
              <w:rPr>
                <w:sz w:val="24"/>
                <w:szCs w:val="24"/>
              </w:rPr>
              <w:t>-</w:t>
            </w:r>
          </w:p>
        </w:tc>
        <w:tc>
          <w:tcPr>
            <w:tcW w:w="1134" w:type="dxa"/>
            <w:vAlign w:val="center"/>
          </w:tcPr>
          <w:p w14:paraId="4A9EFA38"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4FF2132E" w14:textId="3109D973" w:rsidR="001824D9" w:rsidRPr="00D948C1" w:rsidRDefault="001824D9" w:rsidP="006C0086">
            <w:pPr>
              <w:pStyle w:val="CommentText"/>
              <w:tabs>
                <w:tab w:val="decimal" w:pos="743"/>
              </w:tabs>
              <w:spacing w:line="276" w:lineRule="auto"/>
              <w:jc w:val="right"/>
              <w:rPr>
                <w:sz w:val="24"/>
                <w:szCs w:val="24"/>
              </w:rPr>
            </w:pPr>
            <w:r w:rsidRPr="00D948C1">
              <w:rPr>
                <w:sz w:val="24"/>
                <w:szCs w:val="24"/>
              </w:rPr>
              <w:t>-</w:t>
            </w:r>
          </w:p>
        </w:tc>
        <w:tc>
          <w:tcPr>
            <w:tcW w:w="1134" w:type="dxa"/>
            <w:vAlign w:val="center"/>
          </w:tcPr>
          <w:p w14:paraId="14D6A793"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578916B7" w14:textId="77777777" w:rsidTr="00036C34">
        <w:trPr>
          <w:trHeight w:hRule="exact" w:val="361"/>
        </w:trPr>
        <w:tc>
          <w:tcPr>
            <w:tcW w:w="4927" w:type="dxa"/>
          </w:tcPr>
          <w:p w14:paraId="57F814D4" w14:textId="77777777" w:rsidR="001824D9" w:rsidRPr="00D948C1" w:rsidRDefault="001824D9" w:rsidP="006C0086">
            <w:pPr>
              <w:pStyle w:val="Footer"/>
              <w:tabs>
                <w:tab w:val="clear" w:pos="4153"/>
                <w:tab w:val="clear" w:pos="8306"/>
                <w:tab w:val="left" w:pos="284"/>
              </w:tabs>
              <w:spacing w:line="276" w:lineRule="auto"/>
              <w:rPr>
                <w:szCs w:val="24"/>
              </w:rPr>
            </w:pPr>
            <w:r w:rsidRPr="00D948C1">
              <w:rPr>
                <w:szCs w:val="24"/>
              </w:rPr>
              <w:t>Payments for financing activities</w:t>
            </w:r>
          </w:p>
        </w:tc>
        <w:tc>
          <w:tcPr>
            <w:tcW w:w="1100" w:type="dxa"/>
            <w:vAlign w:val="center"/>
          </w:tcPr>
          <w:p w14:paraId="118A19DC" w14:textId="0A0C3F77" w:rsidR="001824D9" w:rsidRPr="00D948C1" w:rsidRDefault="001824D9" w:rsidP="006C0086">
            <w:pPr>
              <w:tabs>
                <w:tab w:val="left" w:pos="284"/>
              </w:tabs>
              <w:spacing w:line="276" w:lineRule="auto"/>
              <w:jc w:val="center"/>
              <w:rPr>
                <w:rStyle w:val="Hyperlink"/>
              </w:rPr>
            </w:pPr>
            <w:hyperlink w:anchor="N24" w:history="1">
              <w:r w:rsidRPr="00D948C1">
                <w:rPr>
                  <w:rStyle w:val="Hyperlink"/>
                  <w:szCs w:val="24"/>
                </w:rPr>
                <w:t>24</w:t>
              </w:r>
            </w:hyperlink>
          </w:p>
        </w:tc>
        <w:tc>
          <w:tcPr>
            <w:tcW w:w="1134" w:type="dxa"/>
            <w:vAlign w:val="center"/>
          </w:tcPr>
          <w:p w14:paraId="6343E8C6" w14:textId="0A8F1AF7" w:rsidR="001824D9" w:rsidRPr="00D948C1" w:rsidRDefault="001824D9" w:rsidP="006C0086">
            <w:pPr>
              <w:pStyle w:val="CommentText"/>
              <w:tabs>
                <w:tab w:val="decimal" w:pos="743"/>
              </w:tabs>
              <w:spacing w:line="276" w:lineRule="auto"/>
              <w:jc w:val="right"/>
              <w:rPr>
                <w:sz w:val="24"/>
                <w:szCs w:val="24"/>
              </w:rPr>
            </w:pPr>
            <w:r w:rsidRPr="00D948C1">
              <w:rPr>
                <w:sz w:val="24"/>
                <w:szCs w:val="24"/>
              </w:rPr>
              <w:t>(1,3</w:t>
            </w:r>
            <w:r w:rsidR="001020F8" w:rsidRPr="00D948C1">
              <w:rPr>
                <w:sz w:val="24"/>
                <w:szCs w:val="24"/>
              </w:rPr>
              <w:t>41</w:t>
            </w:r>
            <w:r w:rsidRPr="00D948C1">
              <w:rPr>
                <w:sz w:val="24"/>
                <w:szCs w:val="24"/>
              </w:rPr>
              <w:t>)</w:t>
            </w:r>
          </w:p>
        </w:tc>
        <w:tc>
          <w:tcPr>
            <w:tcW w:w="1134" w:type="dxa"/>
            <w:vAlign w:val="center"/>
          </w:tcPr>
          <w:p w14:paraId="3F45D304" w14:textId="77777777" w:rsidR="001824D9" w:rsidRPr="00D948C1" w:rsidRDefault="001824D9" w:rsidP="006C0086">
            <w:pPr>
              <w:pStyle w:val="CommentText"/>
              <w:tabs>
                <w:tab w:val="decimal" w:pos="743"/>
              </w:tabs>
              <w:spacing w:line="276" w:lineRule="auto"/>
              <w:jc w:val="right"/>
              <w:rPr>
                <w:sz w:val="24"/>
                <w:szCs w:val="24"/>
              </w:rPr>
            </w:pPr>
          </w:p>
        </w:tc>
        <w:tc>
          <w:tcPr>
            <w:tcW w:w="1134" w:type="dxa"/>
            <w:vAlign w:val="center"/>
          </w:tcPr>
          <w:p w14:paraId="74BD072F" w14:textId="187128F6" w:rsidR="001824D9" w:rsidRPr="00D948C1" w:rsidRDefault="001824D9" w:rsidP="006C0086">
            <w:pPr>
              <w:pStyle w:val="CommentText"/>
              <w:tabs>
                <w:tab w:val="decimal" w:pos="743"/>
              </w:tabs>
              <w:spacing w:line="276" w:lineRule="auto"/>
              <w:jc w:val="right"/>
              <w:rPr>
                <w:sz w:val="24"/>
                <w:szCs w:val="24"/>
              </w:rPr>
            </w:pPr>
            <w:r w:rsidRPr="00D948C1">
              <w:rPr>
                <w:sz w:val="24"/>
                <w:szCs w:val="24"/>
              </w:rPr>
              <w:t>(1,366)</w:t>
            </w:r>
          </w:p>
        </w:tc>
        <w:tc>
          <w:tcPr>
            <w:tcW w:w="1134" w:type="dxa"/>
            <w:vAlign w:val="center"/>
          </w:tcPr>
          <w:p w14:paraId="12C981E6" w14:textId="77777777" w:rsidR="001824D9" w:rsidRPr="00D948C1" w:rsidRDefault="001824D9" w:rsidP="006C0086">
            <w:pPr>
              <w:pStyle w:val="CommentText"/>
              <w:tabs>
                <w:tab w:val="decimal" w:pos="743"/>
              </w:tabs>
              <w:spacing w:line="276" w:lineRule="auto"/>
              <w:jc w:val="right"/>
              <w:rPr>
                <w:sz w:val="24"/>
                <w:szCs w:val="24"/>
              </w:rPr>
            </w:pPr>
          </w:p>
        </w:tc>
      </w:tr>
      <w:tr w:rsidR="001824D9" w:rsidRPr="00D948C1" w14:paraId="15A8B311" w14:textId="77777777" w:rsidTr="00036C34">
        <w:trPr>
          <w:trHeight w:hRule="exact" w:val="374"/>
        </w:trPr>
        <w:tc>
          <w:tcPr>
            <w:tcW w:w="4927" w:type="dxa"/>
          </w:tcPr>
          <w:p w14:paraId="4F3AD5B9" w14:textId="77777777" w:rsidR="001824D9" w:rsidRPr="00D948C1" w:rsidRDefault="001824D9" w:rsidP="006C0086">
            <w:pPr>
              <w:tabs>
                <w:tab w:val="left" w:pos="284"/>
              </w:tabs>
              <w:spacing w:line="276" w:lineRule="auto"/>
              <w:rPr>
                <w:szCs w:val="24"/>
              </w:rPr>
            </w:pPr>
            <w:r w:rsidRPr="00D948C1">
              <w:rPr>
                <w:szCs w:val="24"/>
              </w:rPr>
              <w:t>Net cash flows from financing activities</w:t>
            </w:r>
          </w:p>
        </w:tc>
        <w:tc>
          <w:tcPr>
            <w:tcW w:w="1100" w:type="dxa"/>
            <w:vAlign w:val="center"/>
          </w:tcPr>
          <w:p w14:paraId="25731E26"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1F260B80" w14:textId="260697EA" w:rsidR="001824D9" w:rsidRPr="00D948C1" w:rsidRDefault="001824D9" w:rsidP="006C0086">
            <w:pPr>
              <w:tabs>
                <w:tab w:val="left" w:pos="284"/>
                <w:tab w:val="decimal" w:pos="743"/>
              </w:tabs>
              <w:spacing w:line="276" w:lineRule="auto"/>
              <w:jc w:val="right"/>
              <w:rPr>
                <w:szCs w:val="24"/>
              </w:rPr>
            </w:pPr>
          </w:p>
        </w:tc>
        <w:tc>
          <w:tcPr>
            <w:tcW w:w="1134" w:type="dxa"/>
            <w:vAlign w:val="center"/>
          </w:tcPr>
          <w:p w14:paraId="1193F98E" w14:textId="69F80523" w:rsidR="001824D9" w:rsidRPr="00D948C1" w:rsidRDefault="001824D9" w:rsidP="006C0086">
            <w:pPr>
              <w:tabs>
                <w:tab w:val="decimal" w:pos="743"/>
              </w:tabs>
              <w:spacing w:line="276" w:lineRule="auto"/>
              <w:jc w:val="right"/>
              <w:rPr>
                <w:bCs/>
                <w:szCs w:val="24"/>
              </w:rPr>
            </w:pPr>
            <w:r w:rsidRPr="00D948C1">
              <w:rPr>
                <w:bCs/>
                <w:szCs w:val="24"/>
              </w:rPr>
              <w:t>(1,8</w:t>
            </w:r>
            <w:r w:rsidR="001020F8" w:rsidRPr="00D948C1">
              <w:rPr>
                <w:bCs/>
                <w:szCs w:val="24"/>
              </w:rPr>
              <w:t>63</w:t>
            </w:r>
            <w:r w:rsidRPr="00D948C1">
              <w:rPr>
                <w:bCs/>
                <w:szCs w:val="24"/>
              </w:rPr>
              <w:t>)</w:t>
            </w:r>
          </w:p>
        </w:tc>
        <w:tc>
          <w:tcPr>
            <w:tcW w:w="1134" w:type="dxa"/>
            <w:vAlign w:val="center"/>
          </w:tcPr>
          <w:p w14:paraId="74D97E12" w14:textId="77777777" w:rsidR="001824D9" w:rsidRPr="00D948C1" w:rsidRDefault="001824D9" w:rsidP="006C0086">
            <w:pPr>
              <w:tabs>
                <w:tab w:val="decimal" w:pos="743"/>
              </w:tabs>
              <w:spacing w:line="276" w:lineRule="auto"/>
              <w:jc w:val="right"/>
              <w:rPr>
                <w:bCs/>
                <w:szCs w:val="24"/>
              </w:rPr>
            </w:pPr>
          </w:p>
        </w:tc>
        <w:tc>
          <w:tcPr>
            <w:tcW w:w="1134" w:type="dxa"/>
            <w:vAlign w:val="center"/>
          </w:tcPr>
          <w:p w14:paraId="56C66F4D" w14:textId="6E0B2451" w:rsidR="001824D9" w:rsidRPr="00D948C1" w:rsidRDefault="001824D9" w:rsidP="006C0086">
            <w:pPr>
              <w:pStyle w:val="CommentText"/>
              <w:tabs>
                <w:tab w:val="decimal" w:pos="743"/>
              </w:tabs>
              <w:spacing w:line="276" w:lineRule="auto"/>
              <w:jc w:val="right"/>
              <w:rPr>
                <w:sz w:val="24"/>
                <w:szCs w:val="24"/>
              </w:rPr>
            </w:pPr>
            <w:r w:rsidRPr="00D948C1">
              <w:rPr>
                <w:sz w:val="24"/>
                <w:szCs w:val="24"/>
              </w:rPr>
              <w:t>(1,858)</w:t>
            </w:r>
          </w:p>
        </w:tc>
      </w:tr>
      <w:tr w:rsidR="001824D9" w:rsidRPr="00D948C1" w14:paraId="40219650" w14:textId="77777777" w:rsidTr="00036C34">
        <w:trPr>
          <w:trHeight w:val="177"/>
        </w:trPr>
        <w:tc>
          <w:tcPr>
            <w:tcW w:w="4927" w:type="dxa"/>
          </w:tcPr>
          <w:p w14:paraId="51B2F7A7" w14:textId="77777777" w:rsidR="001824D9" w:rsidRPr="00D948C1" w:rsidRDefault="001824D9" w:rsidP="006C0086">
            <w:pPr>
              <w:pStyle w:val="Footer"/>
              <w:tabs>
                <w:tab w:val="clear" w:pos="4153"/>
                <w:tab w:val="clear" w:pos="8306"/>
                <w:tab w:val="left" w:pos="284"/>
              </w:tabs>
              <w:spacing w:line="276" w:lineRule="auto"/>
              <w:rPr>
                <w:szCs w:val="24"/>
              </w:rPr>
            </w:pPr>
            <w:r w:rsidRPr="00D948C1">
              <w:rPr>
                <w:b/>
                <w:szCs w:val="24"/>
              </w:rPr>
              <w:t>Net increase/(decrease) in cash and cash equivalents</w:t>
            </w:r>
          </w:p>
        </w:tc>
        <w:tc>
          <w:tcPr>
            <w:tcW w:w="1100" w:type="dxa"/>
            <w:vAlign w:val="center"/>
          </w:tcPr>
          <w:p w14:paraId="73BCCA46" w14:textId="77777777" w:rsidR="001824D9" w:rsidRPr="00D948C1" w:rsidRDefault="001824D9" w:rsidP="006C0086">
            <w:pPr>
              <w:tabs>
                <w:tab w:val="left" w:pos="284"/>
              </w:tabs>
              <w:spacing w:line="276" w:lineRule="auto"/>
              <w:jc w:val="center"/>
              <w:rPr>
                <w:rStyle w:val="Hyperlink"/>
              </w:rPr>
            </w:pPr>
          </w:p>
        </w:tc>
        <w:tc>
          <w:tcPr>
            <w:tcW w:w="1134" w:type="dxa"/>
            <w:vAlign w:val="center"/>
          </w:tcPr>
          <w:p w14:paraId="59D3A386" w14:textId="745BA82A" w:rsidR="001824D9" w:rsidRPr="00D948C1" w:rsidRDefault="001824D9" w:rsidP="006C0086">
            <w:pPr>
              <w:tabs>
                <w:tab w:val="decimal" w:pos="743"/>
                <w:tab w:val="decimal" w:pos="882"/>
              </w:tabs>
              <w:spacing w:line="276" w:lineRule="auto"/>
              <w:jc w:val="right"/>
              <w:rPr>
                <w:szCs w:val="24"/>
              </w:rPr>
            </w:pPr>
          </w:p>
        </w:tc>
        <w:tc>
          <w:tcPr>
            <w:tcW w:w="1134" w:type="dxa"/>
            <w:vAlign w:val="center"/>
          </w:tcPr>
          <w:p w14:paraId="27352E10" w14:textId="018D7E17" w:rsidR="001824D9" w:rsidRPr="00D948C1" w:rsidRDefault="001824D9" w:rsidP="006C0086">
            <w:pPr>
              <w:tabs>
                <w:tab w:val="decimal" w:pos="742"/>
              </w:tabs>
              <w:spacing w:line="276" w:lineRule="auto"/>
              <w:jc w:val="right"/>
              <w:rPr>
                <w:b/>
                <w:szCs w:val="24"/>
              </w:rPr>
            </w:pPr>
            <w:r w:rsidRPr="00D948C1">
              <w:rPr>
                <w:b/>
                <w:szCs w:val="24"/>
              </w:rPr>
              <w:t>(1</w:t>
            </w:r>
            <w:r w:rsidR="001020F8" w:rsidRPr="00D948C1">
              <w:rPr>
                <w:b/>
                <w:szCs w:val="24"/>
              </w:rPr>
              <w:t>2,020</w:t>
            </w:r>
            <w:r w:rsidRPr="00D948C1">
              <w:rPr>
                <w:b/>
                <w:szCs w:val="24"/>
              </w:rPr>
              <w:t>)</w:t>
            </w:r>
          </w:p>
        </w:tc>
        <w:tc>
          <w:tcPr>
            <w:tcW w:w="1134" w:type="dxa"/>
            <w:vAlign w:val="center"/>
          </w:tcPr>
          <w:p w14:paraId="3E34E23F" w14:textId="77777777" w:rsidR="001824D9" w:rsidRPr="00D948C1" w:rsidRDefault="001824D9" w:rsidP="006C0086">
            <w:pPr>
              <w:tabs>
                <w:tab w:val="decimal" w:pos="743"/>
                <w:tab w:val="decimal" w:pos="882"/>
              </w:tabs>
              <w:spacing w:line="276" w:lineRule="auto"/>
              <w:jc w:val="right"/>
              <w:rPr>
                <w:szCs w:val="24"/>
              </w:rPr>
            </w:pPr>
          </w:p>
        </w:tc>
        <w:tc>
          <w:tcPr>
            <w:tcW w:w="1134" w:type="dxa"/>
            <w:vAlign w:val="center"/>
          </w:tcPr>
          <w:p w14:paraId="0DD85AD7" w14:textId="26624023" w:rsidR="001824D9" w:rsidRPr="00D948C1" w:rsidRDefault="001824D9" w:rsidP="006C0086">
            <w:pPr>
              <w:tabs>
                <w:tab w:val="decimal" w:pos="742"/>
              </w:tabs>
              <w:spacing w:line="276" w:lineRule="auto"/>
              <w:jc w:val="right"/>
              <w:rPr>
                <w:b/>
                <w:szCs w:val="24"/>
              </w:rPr>
            </w:pPr>
            <w:r w:rsidRPr="00D948C1">
              <w:rPr>
                <w:b/>
                <w:szCs w:val="24"/>
              </w:rPr>
              <w:t>(1,579)</w:t>
            </w:r>
          </w:p>
        </w:tc>
      </w:tr>
      <w:tr w:rsidR="001824D9" w:rsidRPr="00D948C1" w14:paraId="42182475" w14:textId="77777777" w:rsidTr="00036C34">
        <w:trPr>
          <w:trHeight w:hRule="exact" w:val="575"/>
        </w:trPr>
        <w:tc>
          <w:tcPr>
            <w:tcW w:w="4927" w:type="dxa"/>
          </w:tcPr>
          <w:p w14:paraId="7ECBAD25" w14:textId="77777777" w:rsidR="001824D9" w:rsidRPr="00D948C1" w:rsidRDefault="001824D9" w:rsidP="006C0086">
            <w:pPr>
              <w:pStyle w:val="CommentText"/>
              <w:tabs>
                <w:tab w:val="left" w:pos="284"/>
              </w:tabs>
              <w:spacing w:line="276" w:lineRule="auto"/>
              <w:rPr>
                <w:sz w:val="24"/>
                <w:szCs w:val="24"/>
              </w:rPr>
            </w:pPr>
            <w:r w:rsidRPr="00D948C1">
              <w:rPr>
                <w:sz w:val="24"/>
                <w:szCs w:val="24"/>
              </w:rPr>
              <w:t>Cash and cash equivalents at the beginning of the reporting period</w:t>
            </w:r>
          </w:p>
        </w:tc>
        <w:tc>
          <w:tcPr>
            <w:tcW w:w="1100" w:type="dxa"/>
            <w:vAlign w:val="center"/>
          </w:tcPr>
          <w:p w14:paraId="61370E09" w14:textId="12EB809D" w:rsidR="001824D9" w:rsidRPr="00D948C1" w:rsidRDefault="001824D9" w:rsidP="006C0086">
            <w:pPr>
              <w:tabs>
                <w:tab w:val="left" w:pos="284"/>
              </w:tabs>
              <w:spacing w:line="276" w:lineRule="auto"/>
              <w:jc w:val="center"/>
              <w:rPr>
                <w:rStyle w:val="Hyperlink"/>
              </w:rPr>
            </w:pPr>
            <w:hyperlink w:anchor="N10" w:history="1">
              <w:r w:rsidRPr="00D948C1">
                <w:rPr>
                  <w:rStyle w:val="Hyperlink"/>
                  <w:szCs w:val="24"/>
                </w:rPr>
                <w:t>10</w:t>
              </w:r>
            </w:hyperlink>
          </w:p>
        </w:tc>
        <w:tc>
          <w:tcPr>
            <w:tcW w:w="1134" w:type="dxa"/>
            <w:vAlign w:val="center"/>
          </w:tcPr>
          <w:p w14:paraId="66BE4FBD" w14:textId="2B86FB88" w:rsidR="001824D9" w:rsidRPr="00D948C1" w:rsidRDefault="001824D9" w:rsidP="006C0086">
            <w:pPr>
              <w:tabs>
                <w:tab w:val="decimal" w:pos="743"/>
              </w:tabs>
              <w:spacing w:line="276" w:lineRule="auto"/>
              <w:jc w:val="right"/>
              <w:rPr>
                <w:bCs/>
                <w:szCs w:val="24"/>
              </w:rPr>
            </w:pPr>
          </w:p>
        </w:tc>
        <w:tc>
          <w:tcPr>
            <w:tcW w:w="1134" w:type="dxa"/>
            <w:vAlign w:val="center"/>
          </w:tcPr>
          <w:p w14:paraId="2E05E3B2" w14:textId="4970A366" w:rsidR="001824D9" w:rsidRPr="00D948C1" w:rsidRDefault="001824D9" w:rsidP="006C0086">
            <w:pPr>
              <w:tabs>
                <w:tab w:val="decimal" w:pos="743"/>
              </w:tabs>
              <w:spacing w:line="276" w:lineRule="auto"/>
              <w:jc w:val="right"/>
              <w:rPr>
                <w:bCs/>
                <w:szCs w:val="24"/>
              </w:rPr>
            </w:pPr>
            <w:r w:rsidRPr="00D948C1">
              <w:rPr>
                <w:bCs/>
                <w:szCs w:val="24"/>
              </w:rPr>
              <w:t>1</w:t>
            </w:r>
            <w:r w:rsidR="001020F8" w:rsidRPr="00D948C1">
              <w:rPr>
                <w:bCs/>
                <w:szCs w:val="24"/>
              </w:rPr>
              <w:t>6,317</w:t>
            </w:r>
          </w:p>
        </w:tc>
        <w:tc>
          <w:tcPr>
            <w:tcW w:w="1134" w:type="dxa"/>
            <w:vAlign w:val="center"/>
          </w:tcPr>
          <w:p w14:paraId="32FCFBEE" w14:textId="77777777" w:rsidR="001824D9" w:rsidRPr="00D948C1" w:rsidRDefault="001824D9" w:rsidP="006C0086">
            <w:pPr>
              <w:tabs>
                <w:tab w:val="decimal" w:pos="743"/>
              </w:tabs>
              <w:spacing w:line="276" w:lineRule="auto"/>
              <w:jc w:val="right"/>
              <w:rPr>
                <w:bCs/>
                <w:szCs w:val="24"/>
              </w:rPr>
            </w:pPr>
          </w:p>
        </w:tc>
        <w:tc>
          <w:tcPr>
            <w:tcW w:w="1134" w:type="dxa"/>
            <w:vAlign w:val="center"/>
          </w:tcPr>
          <w:p w14:paraId="2E59B241" w14:textId="0A2DCDD8" w:rsidR="001824D9" w:rsidRPr="00D948C1" w:rsidRDefault="001824D9" w:rsidP="006C0086">
            <w:pPr>
              <w:tabs>
                <w:tab w:val="decimal" w:pos="743"/>
              </w:tabs>
              <w:spacing w:line="276" w:lineRule="auto"/>
              <w:jc w:val="right"/>
              <w:rPr>
                <w:bCs/>
                <w:szCs w:val="24"/>
              </w:rPr>
            </w:pPr>
            <w:r w:rsidRPr="00D948C1">
              <w:rPr>
                <w:bCs/>
                <w:szCs w:val="24"/>
              </w:rPr>
              <w:t>17,896</w:t>
            </w:r>
          </w:p>
        </w:tc>
      </w:tr>
      <w:tr w:rsidR="001824D9" w:rsidRPr="00D948C1" w14:paraId="6542EB7B" w14:textId="77777777" w:rsidTr="00036C34">
        <w:tc>
          <w:tcPr>
            <w:tcW w:w="4927" w:type="dxa"/>
          </w:tcPr>
          <w:p w14:paraId="60890E55" w14:textId="77777777" w:rsidR="001824D9" w:rsidRPr="00D948C1" w:rsidRDefault="001824D9" w:rsidP="006C0086">
            <w:pPr>
              <w:pStyle w:val="CommentText"/>
              <w:tabs>
                <w:tab w:val="left" w:pos="284"/>
              </w:tabs>
              <w:spacing w:line="276" w:lineRule="auto"/>
              <w:rPr>
                <w:b/>
                <w:sz w:val="24"/>
                <w:szCs w:val="24"/>
              </w:rPr>
            </w:pPr>
            <w:r w:rsidRPr="00D948C1">
              <w:rPr>
                <w:b/>
                <w:sz w:val="24"/>
                <w:szCs w:val="24"/>
              </w:rPr>
              <w:t>Cash and cash equivalents at the end of the reporting period</w:t>
            </w:r>
          </w:p>
        </w:tc>
        <w:tc>
          <w:tcPr>
            <w:tcW w:w="1100" w:type="dxa"/>
            <w:vAlign w:val="center"/>
          </w:tcPr>
          <w:p w14:paraId="76BA6493" w14:textId="6FB1CC57" w:rsidR="001824D9" w:rsidRPr="00D948C1" w:rsidRDefault="001824D9" w:rsidP="006C0086">
            <w:pPr>
              <w:tabs>
                <w:tab w:val="left" w:pos="284"/>
              </w:tabs>
              <w:spacing w:line="276" w:lineRule="auto"/>
              <w:jc w:val="center"/>
              <w:rPr>
                <w:rStyle w:val="Hyperlink"/>
              </w:rPr>
            </w:pPr>
            <w:hyperlink w:anchor="N10" w:history="1">
              <w:r w:rsidRPr="00D948C1">
                <w:rPr>
                  <w:rStyle w:val="Hyperlink"/>
                  <w:szCs w:val="24"/>
                </w:rPr>
                <w:t>10</w:t>
              </w:r>
            </w:hyperlink>
          </w:p>
        </w:tc>
        <w:tc>
          <w:tcPr>
            <w:tcW w:w="1134" w:type="dxa"/>
            <w:vAlign w:val="center"/>
          </w:tcPr>
          <w:p w14:paraId="04F7B21E" w14:textId="7C911770" w:rsidR="001824D9" w:rsidRPr="00D948C1" w:rsidRDefault="001824D9" w:rsidP="006C0086">
            <w:pPr>
              <w:pStyle w:val="Footer"/>
              <w:tabs>
                <w:tab w:val="clear" w:pos="4153"/>
                <w:tab w:val="clear" w:pos="8306"/>
                <w:tab w:val="decimal" w:pos="743"/>
                <w:tab w:val="decimal" w:pos="882"/>
              </w:tabs>
              <w:spacing w:line="276" w:lineRule="auto"/>
              <w:jc w:val="right"/>
              <w:rPr>
                <w:b/>
                <w:szCs w:val="24"/>
              </w:rPr>
            </w:pPr>
          </w:p>
        </w:tc>
        <w:tc>
          <w:tcPr>
            <w:tcW w:w="1134" w:type="dxa"/>
            <w:vAlign w:val="center"/>
          </w:tcPr>
          <w:p w14:paraId="2D78D735" w14:textId="6DAC29B3" w:rsidR="001824D9" w:rsidRPr="00D948C1" w:rsidRDefault="001020F8" w:rsidP="006C0086">
            <w:pPr>
              <w:pStyle w:val="Footer"/>
              <w:tabs>
                <w:tab w:val="clear" w:pos="4153"/>
                <w:tab w:val="clear" w:pos="8306"/>
                <w:tab w:val="decimal" w:pos="742"/>
              </w:tabs>
              <w:spacing w:line="276" w:lineRule="auto"/>
              <w:jc w:val="right"/>
              <w:rPr>
                <w:b/>
                <w:szCs w:val="24"/>
              </w:rPr>
            </w:pPr>
            <w:r w:rsidRPr="00D948C1">
              <w:rPr>
                <w:b/>
                <w:szCs w:val="24"/>
              </w:rPr>
              <w:t>4,297</w:t>
            </w:r>
          </w:p>
        </w:tc>
        <w:tc>
          <w:tcPr>
            <w:tcW w:w="1134" w:type="dxa"/>
            <w:vAlign w:val="center"/>
          </w:tcPr>
          <w:p w14:paraId="0FE4C979" w14:textId="77777777" w:rsidR="001824D9" w:rsidRPr="00D948C1" w:rsidRDefault="001824D9" w:rsidP="006C0086">
            <w:pPr>
              <w:pStyle w:val="Footer"/>
              <w:tabs>
                <w:tab w:val="clear" w:pos="4153"/>
                <w:tab w:val="clear" w:pos="8306"/>
                <w:tab w:val="decimal" w:pos="743"/>
                <w:tab w:val="decimal" w:pos="882"/>
              </w:tabs>
              <w:spacing w:line="276" w:lineRule="auto"/>
              <w:jc w:val="right"/>
              <w:rPr>
                <w:b/>
                <w:szCs w:val="24"/>
              </w:rPr>
            </w:pPr>
          </w:p>
        </w:tc>
        <w:tc>
          <w:tcPr>
            <w:tcW w:w="1134" w:type="dxa"/>
            <w:vAlign w:val="center"/>
          </w:tcPr>
          <w:p w14:paraId="5711E9CB" w14:textId="6AD5A98F" w:rsidR="001824D9" w:rsidRPr="00D948C1" w:rsidRDefault="001824D9" w:rsidP="006C0086">
            <w:pPr>
              <w:pStyle w:val="Footer"/>
              <w:tabs>
                <w:tab w:val="clear" w:pos="4153"/>
                <w:tab w:val="clear" w:pos="8306"/>
                <w:tab w:val="decimal" w:pos="742"/>
              </w:tabs>
              <w:spacing w:line="276" w:lineRule="auto"/>
              <w:jc w:val="right"/>
              <w:rPr>
                <w:b/>
                <w:szCs w:val="24"/>
              </w:rPr>
            </w:pPr>
            <w:r w:rsidRPr="00D948C1">
              <w:rPr>
                <w:b/>
                <w:szCs w:val="24"/>
              </w:rPr>
              <w:t>16,317</w:t>
            </w:r>
          </w:p>
        </w:tc>
      </w:tr>
    </w:tbl>
    <w:p w14:paraId="20F6C2F7" w14:textId="77777777" w:rsidR="00EE5263" w:rsidRPr="00D948C1" w:rsidRDefault="003105BA" w:rsidP="006C0086">
      <w:pPr>
        <w:spacing w:line="276" w:lineRule="auto"/>
        <w:rPr>
          <w:sz w:val="22"/>
        </w:rPr>
      </w:pPr>
      <w:r w:rsidRPr="00D948C1">
        <w:rPr>
          <w:b/>
          <w:sz w:val="22"/>
        </w:rPr>
        <w:tab/>
      </w:r>
    </w:p>
    <w:p w14:paraId="0AAD779D" w14:textId="77777777" w:rsidR="009F51E5" w:rsidRPr="00D948C1" w:rsidRDefault="009F51E5" w:rsidP="006C0086">
      <w:pPr>
        <w:pStyle w:val="Heading1"/>
        <w:spacing w:line="276" w:lineRule="auto"/>
        <w:jc w:val="center"/>
        <w:rPr>
          <w:sz w:val="22"/>
          <w:szCs w:val="22"/>
        </w:rPr>
        <w:sectPr w:rsidR="009F51E5" w:rsidRPr="00D948C1" w:rsidSect="0050229D">
          <w:pgSz w:w="11907" w:h="16840" w:code="9"/>
          <w:pgMar w:top="454" w:right="567" w:bottom="397" w:left="567" w:header="720" w:footer="720" w:gutter="0"/>
          <w:cols w:space="720"/>
          <w:docGrid w:linePitch="326"/>
        </w:sectPr>
      </w:pPr>
    </w:p>
    <w:p w14:paraId="2D546CC0" w14:textId="51AD5412" w:rsidR="003F061A" w:rsidRPr="00D948C1" w:rsidRDefault="003278CF" w:rsidP="006C0086">
      <w:pPr>
        <w:pStyle w:val="Heading1"/>
        <w:spacing w:line="276" w:lineRule="auto"/>
        <w:rPr>
          <w:szCs w:val="24"/>
        </w:rPr>
      </w:pPr>
      <w:bookmarkStart w:id="21" w:name="_Toc171068783"/>
      <w:r w:rsidRPr="00D948C1">
        <w:rPr>
          <w:szCs w:val="24"/>
        </w:rPr>
        <w:lastRenderedPageBreak/>
        <w:t>Notes to the Core Financial Statements</w:t>
      </w:r>
      <w:bookmarkEnd w:id="21"/>
    </w:p>
    <w:p w14:paraId="1ADCD2C0" w14:textId="77777777" w:rsidR="00EE5263" w:rsidRPr="00D948C1" w:rsidRDefault="00EE5263" w:rsidP="006C0086">
      <w:pPr>
        <w:spacing w:line="276" w:lineRule="auto"/>
        <w:ind w:left="720"/>
        <w:jc w:val="both"/>
        <w:rPr>
          <w:sz w:val="22"/>
        </w:rPr>
      </w:pPr>
    </w:p>
    <w:p w14:paraId="248DD0CA" w14:textId="77777777" w:rsidR="009B6F2A" w:rsidRPr="00D948C1" w:rsidRDefault="003F061A" w:rsidP="006C0086">
      <w:pPr>
        <w:pStyle w:val="Heading2"/>
        <w:numPr>
          <w:ilvl w:val="0"/>
          <w:numId w:val="41"/>
        </w:numPr>
        <w:spacing w:line="276" w:lineRule="auto"/>
        <w:jc w:val="left"/>
        <w:rPr>
          <w:sz w:val="24"/>
          <w:szCs w:val="24"/>
        </w:rPr>
      </w:pPr>
      <w:bookmarkStart w:id="22" w:name="Notes"/>
      <w:bookmarkStart w:id="23" w:name="_Toc171068784"/>
      <w:bookmarkEnd w:id="22"/>
      <w:r w:rsidRPr="00D948C1">
        <w:rPr>
          <w:sz w:val="24"/>
          <w:szCs w:val="24"/>
        </w:rPr>
        <w:t>E</w:t>
      </w:r>
      <w:r w:rsidR="009B6F2A" w:rsidRPr="00D948C1">
        <w:rPr>
          <w:sz w:val="24"/>
          <w:szCs w:val="24"/>
        </w:rPr>
        <w:t>xpenditure and Funding Analysis</w:t>
      </w:r>
      <w:bookmarkEnd w:id="23"/>
    </w:p>
    <w:p w14:paraId="6F8FA255" w14:textId="77777777" w:rsidR="005722FC" w:rsidRPr="00D948C1" w:rsidRDefault="00E87D43" w:rsidP="006C0086">
      <w:pPr>
        <w:spacing w:line="276" w:lineRule="auto"/>
        <w:rPr>
          <w:sz w:val="22"/>
          <w:szCs w:val="22"/>
        </w:rPr>
      </w:pPr>
      <w:r w:rsidRPr="00D948C1">
        <w:rPr>
          <w:b/>
          <w:sz w:val="22"/>
        </w:rPr>
        <w:tab/>
      </w:r>
      <w:r w:rsidR="00BE48DC" w:rsidRPr="00D948C1">
        <w:rPr>
          <w:sz w:val="22"/>
          <w:szCs w:val="22"/>
        </w:rPr>
        <w:t xml:space="preserve"> </w:t>
      </w:r>
    </w:p>
    <w:p w14:paraId="7453859F" w14:textId="3B676BF9" w:rsidR="00A50011" w:rsidRPr="00D948C1" w:rsidRDefault="00C975EA" w:rsidP="006C0086">
      <w:pPr>
        <w:spacing w:line="276" w:lineRule="auto"/>
        <w:ind w:left="720"/>
        <w:rPr>
          <w:szCs w:val="24"/>
        </w:rPr>
      </w:pPr>
      <w:r w:rsidRPr="00D948C1">
        <w:rPr>
          <w:szCs w:val="24"/>
        </w:rPr>
        <w:t xml:space="preserve">The objective of the Expenditure and Funding Analysis is to demonstrate to council </w:t>
      </w:r>
      <w:r w:rsidR="009F51E5" w:rsidRPr="00D948C1">
        <w:rPr>
          <w:szCs w:val="24"/>
        </w:rPr>
        <w:t>taxpayers</w:t>
      </w:r>
      <w:r w:rsidRPr="00D948C1">
        <w:rPr>
          <w:szCs w:val="24"/>
        </w:rPr>
        <w:t xml:space="preserve"> how the funding available to the Authority (Government grants, council tax and business rates) for the year has been used in providing services in comparison with those resources consumed or earned by the Authority in accordance with generally accepted accounting practices. The Expenditure and Funding Analysis also shows how this expenditure is allocated for decision making purposes between the Authority’s directorates. Income and expenditure accounted for under generally accepted accounting practices </w:t>
      </w:r>
      <w:r w:rsidR="00A50011" w:rsidRPr="00D948C1">
        <w:rPr>
          <w:szCs w:val="24"/>
        </w:rPr>
        <w:t>is presented more fully in the Comprehensive Income and Expenditure Statement.</w:t>
      </w:r>
    </w:p>
    <w:p w14:paraId="433A1095" w14:textId="77777777" w:rsidR="00296A09" w:rsidRPr="00D948C1" w:rsidRDefault="00296A09" w:rsidP="006C0086">
      <w:pPr>
        <w:spacing w:line="276" w:lineRule="auto"/>
        <w:ind w:left="720"/>
        <w:jc w:val="both"/>
        <w:rPr>
          <w:sz w:val="22"/>
        </w:rPr>
      </w:pPr>
    </w:p>
    <w:tbl>
      <w:tblPr>
        <w:tblStyle w:val="TableGrid"/>
        <w:tblW w:w="14698" w:type="dxa"/>
        <w:tblInd w:w="720" w:type="dxa"/>
        <w:tblLayout w:type="fixed"/>
        <w:tblLook w:val="04A0" w:firstRow="1" w:lastRow="0" w:firstColumn="1" w:lastColumn="0" w:noHBand="0" w:noVBand="1"/>
      </w:tblPr>
      <w:tblGrid>
        <w:gridCol w:w="3641"/>
        <w:gridCol w:w="1735"/>
        <w:gridCol w:w="2376"/>
        <w:gridCol w:w="1701"/>
        <w:gridCol w:w="2551"/>
        <w:gridCol w:w="2694"/>
      </w:tblGrid>
      <w:tr w:rsidR="000D5389" w:rsidRPr="00D948C1" w14:paraId="140A73BE"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259B0CA8" w14:textId="4D68B8A6" w:rsidR="000D5389" w:rsidRPr="00D948C1" w:rsidRDefault="000D5389" w:rsidP="006C0086">
            <w:pPr>
              <w:spacing w:line="276" w:lineRule="auto"/>
              <w:rPr>
                <w:rFonts w:cs="Arial"/>
                <w:bCs/>
                <w:color w:val="FFFFFF" w:themeColor="background1"/>
                <w:szCs w:val="24"/>
              </w:rPr>
            </w:pPr>
            <w:r w:rsidRPr="00D948C1">
              <w:rPr>
                <w:rFonts w:cs="Arial"/>
                <w:color w:val="FFFFFF" w:themeColor="background1"/>
                <w:szCs w:val="24"/>
              </w:rPr>
              <w:br w:type="page"/>
            </w:r>
            <w:r w:rsidRPr="00D948C1">
              <w:rPr>
                <w:rFonts w:cs="Arial"/>
                <w:bCs/>
                <w:color w:val="FFFFFF" w:themeColor="background1"/>
                <w:szCs w:val="24"/>
              </w:rPr>
              <w:t>20</w:t>
            </w:r>
            <w:r w:rsidR="00FF3D02" w:rsidRPr="00D948C1">
              <w:rPr>
                <w:rFonts w:cs="Arial"/>
                <w:bCs/>
                <w:color w:val="FFFFFF" w:themeColor="background1"/>
                <w:szCs w:val="24"/>
              </w:rPr>
              <w:t>2</w:t>
            </w:r>
            <w:r w:rsidR="00C7098F" w:rsidRPr="00D948C1">
              <w:rPr>
                <w:rFonts w:cs="Arial"/>
                <w:bCs/>
                <w:color w:val="FFFFFF" w:themeColor="background1"/>
                <w:szCs w:val="24"/>
              </w:rPr>
              <w:t>3</w:t>
            </w:r>
            <w:r w:rsidR="00A864CD" w:rsidRPr="00D948C1">
              <w:rPr>
                <w:rFonts w:cs="Arial"/>
                <w:bCs/>
                <w:color w:val="FFFFFF" w:themeColor="background1"/>
                <w:szCs w:val="24"/>
              </w:rPr>
              <w:t>/2</w:t>
            </w:r>
            <w:r w:rsidR="00C7098F" w:rsidRPr="00D948C1">
              <w:rPr>
                <w:rFonts w:cs="Arial"/>
                <w:bCs/>
                <w:color w:val="FFFFFF" w:themeColor="background1"/>
                <w:szCs w:val="24"/>
              </w:rPr>
              <w:t>4</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50CEB729" w14:textId="77777777" w:rsidR="000D5389" w:rsidRPr="00D948C1" w:rsidRDefault="000D5389" w:rsidP="006C0086">
            <w:pPr>
              <w:spacing w:line="276" w:lineRule="auto"/>
              <w:jc w:val="right"/>
              <w:rPr>
                <w:rFonts w:cs="Arial"/>
                <w:color w:val="FFFFFF" w:themeColor="background1"/>
                <w:szCs w:val="24"/>
              </w:rPr>
            </w:pPr>
            <w:r w:rsidRPr="00D948C1">
              <w:rPr>
                <w:rFonts w:cs="Arial"/>
                <w:color w:val="FFFFFF" w:themeColor="background1"/>
                <w:szCs w:val="24"/>
              </w:rPr>
              <w:t>As reported for resource management</w:t>
            </w:r>
          </w:p>
          <w:p w14:paraId="48414B6B" w14:textId="163E1D83" w:rsidR="0005100D" w:rsidRPr="00D948C1" w:rsidRDefault="0005100D"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369FEF1A" w14:textId="77777777" w:rsidR="000D5389" w:rsidRPr="00D948C1" w:rsidRDefault="000D5389" w:rsidP="006C0086">
            <w:pPr>
              <w:spacing w:line="276" w:lineRule="auto"/>
              <w:jc w:val="right"/>
              <w:rPr>
                <w:rFonts w:cs="Arial"/>
                <w:color w:val="FFFFFF" w:themeColor="background1"/>
                <w:szCs w:val="24"/>
              </w:rPr>
            </w:pPr>
            <w:r w:rsidRPr="00D948C1">
              <w:rPr>
                <w:rFonts w:cs="Arial"/>
                <w:color w:val="FFFFFF" w:themeColor="background1"/>
                <w:szCs w:val="24"/>
              </w:rPr>
              <w:t>Adjustment to arrive at the amount chargeable to the General Fund (</w:t>
            </w:r>
            <w:r w:rsidR="00676AE5" w:rsidRPr="00D948C1">
              <w:rPr>
                <w:rFonts w:cs="Arial"/>
                <w:color w:val="FFFFFF" w:themeColor="background1"/>
                <w:szCs w:val="24"/>
              </w:rPr>
              <w:t>N</w:t>
            </w:r>
            <w:r w:rsidRPr="00D948C1">
              <w:rPr>
                <w:rFonts w:cs="Arial"/>
                <w:color w:val="FFFFFF" w:themeColor="background1"/>
                <w:szCs w:val="24"/>
              </w:rPr>
              <w:t xml:space="preserve">ote </w:t>
            </w:r>
            <w:r w:rsidR="00CF7F0B" w:rsidRPr="00D948C1">
              <w:rPr>
                <w:rFonts w:cs="Arial"/>
                <w:color w:val="FFFFFF" w:themeColor="background1"/>
                <w:szCs w:val="24"/>
              </w:rPr>
              <w:t>1</w:t>
            </w:r>
            <w:r w:rsidRPr="00D948C1">
              <w:rPr>
                <w:rFonts w:cs="Arial"/>
                <w:color w:val="FFFFFF" w:themeColor="background1"/>
                <w:szCs w:val="24"/>
              </w:rPr>
              <w:t>a)</w:t>
            </w:r>
          </w:p>
          <w:p w14:paraId="0BF71F2B" w14:textId="753149E1" w:rsidR="0005100D" w:rsidRPr="00D948C1" w:rsidRDefault="0005100D"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78BDFA4" w14:textId="77777777" w:rsidR="000D5389" w:rsidRPr="00D948C1" w:rsidRDefault="000D5389" w:rsidP="006C0086">
            <w:pPr>
              <w:spacing w:line="276" w:lineRule="auto"/>
              <w:jc w:val="right"/>
              <w:rPr>
                <w:rFonts w:cs="Arial"/>
                <w:color w:val="FFFFFF" w:themeColor="background1"/>
                <w:szCs w:val="24"/>
              </w:rPr>
            </w:pPr>
            <w:r w:rsidRPr="00D948C1">
              <w:rPr>
                <w:rFonts w:cs="Arial"/>
                <w:color w:val="FFFFFF" w:themeColor="background1"/>
                <w:szCs w:val="24"/>
              </w:rPr>
              <w:t>Net chargeable to the General Fund</w:t>
            </w:r>
          </w:p>
          <w:p w14:paraId="22735930" w14:textId="32FEBB26" w:rsidR="0005100D" w:rsidRPr="00D948C1" w:rsidRDefault="0005100D"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4D2A04EE" w14:textId="77777777" w:rsidR="000D5389" w:rsidRPr="00D948C1" w:rsidRDefault="000D5389" w:rsidP="006C0086">
            <w:pPr>
              <w:spacing w:line="276" w:lineRule="auto"/>
              <w:jc w:val="right"/>
              <w:rPr>
                <w:rFonts w:cs="Arial"/>
                <w:color w:val="FFFFFF" w:themeColor="background1"/>
                <w:szCs w:val="24"/>
              </w:rPr>
            </w:pPr>
            <w:r w:rsidRPr="00D948C1">
              <w:rPr>
                <w:rFonts w:cs="Arial"/>
                <w:color w:val="FFFFFF" w:themeColor="background1"/>
                <w:szCs w:val="24"/>
              </w:rPr>
              <w:t>Adjustments between the Funding and Accounting basis (</w:t>
            </w:r>
            <w:r w:rsidR="00676AE5" w:rsidRPr="00D948C1">
              <w:rPr>
                <w:rFonts w:cs="Arial"/>
                <w:color w:val="FFFFFF" w:themeColor="background1"/>
                <w:szCs w:val="24"/>
              </w:rPr>
              <w:t>N</w:t>
            </w:r>
            <w:r w:rsidRPr="00D948C1">
              <w:rPr>
                <w:rFonts w:cs="Arial"/>
                <w:color w:val="FFFFFF" w:themeColor="background1"/>
                <w:szCs w:val="24"/>
              </w:rPr>
              <w:t xml:space="preserve">ote </w:t>
            </w:r>
            <w:r w:rsidR="00CF7F0B" w:rsidRPr="00D948C1">
              <w:rPr>
                <w:rFonts w:cs="Arial"/>
                <w:color w:val="FFFFFF" w:themeColor="background1"/>
                <w:szCs w:val="24"/>
              </w:rPr>
              <w:t>1</w:t>
            </w:r>
            <w:r w:rsidRPr="00D948C1">
              <w:rPr>
                <w:rFonts w:cs="Arial"/>
                <w:color w:val="FFFFFF" w:themeColor="background1"/>
                <w:szCs w:val="24"/>
              </w:rPr>
              <w:t>a)</w:t>
            </w:r>
          </w:p>
          <w:p w14:paraId="3E31527D" w14:textId="0233D89C" w:rsidR="0005100D" w:rsidRPr="00D948C1" w:rsidRDefault="0005100D"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2694" w:type="dxa"/>
            <w:tcBorders>
              <w:top w:val="single" w:sz="4" w:space="0" w:color="auto"/>
              <w:left w:val="single" w:sz="4" w:space="0" w:color="auto"/>
              <w:bottom w:val="single" w:sz="4" w:space="0" w:color="auto"/>
              <w:right w:val="single" w:sz="4" w:space="0" w:color="auto"/>
            </w:tcBorders>
            <w:shd w:val="clear" w:color="auto" w:fill="BD2716"/>
            <w:vAlign w:val="center"/>
          </w:tcPr>
          <w:p w14:paraId="7C385521" w14:textId="77777777" w:rsidR="000D5389" w:rsidRPr="00D948C1" w:rsidRDefault="000D5389" w:rsidP="006C0086">
            <w:pPr>
              <w:spacing w:line="276" w:lineRule="auto"/>
              <w:jc w:val="right"/>
              <w:rPr>
                <w:rFonts w:cs="Arial"/>
                <w:color w:val="FFFFFF" w:themeColor="background1"/>
                <w:szCs w:val="24"/>
              </w:rPr>
            </w:pPr>
            <w:r w:rsidRPr="00D948C1">
              <w:rPr>
                <w:rFonts w:cs="Arial"/>
                <w:color w:val="FFFFFF" w:themeColor="background1"/>
                <w:szCs w:val="24"/>
              </w:rPr>
              <w:t>Net Expenditure in the Comprehensive Income and Expenditure Statement</w:t>
            </w:r>
          </w:p>
          <w:p w14:paraId="05366D44" w14:textId="776BB2F2" w:rsidR="0005100D" w:rsidRPr="00D948C1" w:rsidRDefault="0005100D"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D45179" w:rsidRPr="00D948C1" w14:paraId="0616B1E3" w14:textId="77777777" w:rsidTr="00233A66">
        <w:tc>
          <w:tcPr>
            <w:tcW w:w="3641" w:type="dxa"/>
            <w:tcBorders>
              <w:top w:val="single" w:sz="4" w:space="0" w:color="auto"/>
              <w:left w:val="single" w:sz="4" w:space="0" w:color="auto"/>
              <w:bottom w:val="single" w:sz="4" w:space="0" w:color="auto"/>
              <w:right w:val="single" w:sz="4" w:space="0" w:color="auto"/>
            </w:tcBorders>
          </w:tcPr>
          <w:p w14:paraId="3233E0A0" w14:textId="77777777" w:rsidR="00D45179" w:rsidRPr="00D948C1" w:rsidRDefault="00D45179" w:rsidP="006C0086">
            <w:pPr>
              <w:spacing w:line="276" w:lineRule="auto"/>
              <w:rPr>
                <w:rFonts w:cs="Arial"/>
                <w:szCs w:val="24"/>
              </w:rPr>
            </w:pPr>
            <w:r w:rsidRPr="00D948C1">
              <w:rPr>
                <w:rFonts w:cs="Arial"/>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0B3D3099" w14:textId="23C80646" w:rsidR="00D45179" w:rsidRPr="00D948C1" w:rsidRDefault="00D45179" w:rsidP="006C0086">
            <w:pPr>
              <w:spacing w:line="276" w:lineRule="auto"/>
              <w:jc w:val="right"/>
              <w:rPr>
                <w:rFonts w:cs="Arial"/>
                <w:szCs w:val="24"/>
              </w:rPr>
            </w:pPr>
            <w:r w:rsidRPr="00D948C1">
              <w:rPr>
                <w:rFonts w:cs="Arial"/>
                <w:szCs w:val="24"/>
              </w:rPr>
              <w:t>43,207</w:t>
            </w:r>
          </w:p>
        </w:tc>
        <w:tc>
          <w:tcPr>
            <w:tcW w:w="2376" w:type="dxa"/>
            <w:tcBorders>
              <w:top w:val="single" w:sz="4" w:space="0" w:color="auto"/>
              <w:left w:val="single" w:sz="4" w:space="0" w:color="auto"/>
              <w:bottom w:val="single" w:sz="4" w:space="0" w:color="auto"/>
              <w:right w:val="single" w:sz="4" w:space="0" w:color="auto"/>
            </w:tcBorders>
            <w:vAlign w:val="center"/>
          </w:tcPr>
          <w:p w14:paraId="457E0239" w14:textId="1AF3D1E5"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E2817BB" w14:textId="4C72152E" w:rsidR="00D45179" w:rsidRPr="00D948C1" w:rsidRDefault="00D45179" w:rsidP="006C0086">
            <w:pPr>
              <w:spacing w:line="276" w:lineRule="auto"/>
              <w:jc w:val="right"/>
              <w:rPr>
                <w:rFonts w:cs="Arial"/>
                <w:szCs w:val="24"/>
              </w:rPr>
            </w:pPr>
            <w:r w:rsidRPr="00D948C1">
              <w:rPr>
                <w:rFonts w:cs="Arial"/>
                <w:szCs w:val="24"/>
              </w:rPr>
              <w:t>43,207</w:t>
            </w:r>
          </w:p>
        </w:tc>
        <w:tc>
          <w:tcPr>
            <w:tcW w:w="2551" w:type="dxa"/>
            <w:tcBorders>
              <w:top w:val="single" w:sz="4" w:space="0" w:color="auto"/>
              <w:left w:val="single" w:sz="4" w:space="0" w:color="auto"/>
              <w:bottom w:val="single" w:sz="4" w:space="0" w:color="auto"/>
              <w:right w:val="single" w:sz="4" w:space="0" w:color="auto"/>
            </w:tcBorders>
            <w:vAlign w:val="center"/>
          </w:tcPr>
          <w:p w14:paraId="33231E4D" w14:textId="2C59E9D9" w:rsidR="00D45179" w:rsidRPr="00D948C1" w:rsidRDefault="00D45179" w:rsidP="006C0086">
            <w:pPr>
              <w:spacing w:line="276" w:lineRule="auto"/>
              <w:jc w:val="right"/>
              <w:rPr>
                <w:rFonts w:cs="Arial"/>
                <w:szCs w:val="24"/>
              </w:rPr>
            </w:pPr>
            <w:r w:rsidRPr="00D948C1">
              <w:rPr>
                <w:rFonts w:cs="Arial"/>
                <w:szCs w:val="24"/>
              </w:rPr>
              <w:t>(22,214)</w:t>
            </w:r>
          </w:p>
        </w:tc>
        <w:tc>
          <w:tcPr>
            <w:tcW w:w="2694" w:type="dxa"/>
            <w:tcBorders>
              <w:top w:val="single" w:sz="4" w:space="0" w:color="auto"/>
              <w:left w:val="single" w:sz="4" w:space="0" w:color="auto"/>
              <w:bottom w:val="single" w:sz="4" w:space="0" w:color="auto"/>
              <w:right w:val="single" w:sz="4" w:space="0" w:color="auto"/>
            </w:tcBorders>
            <w:vAlign w:val="center"/>
          </w:tcPr>
          <w:p w14:paraId="654E40BE" w14:textId="3AE9E350" w:rsidR="00D45179" w:rsidRPr="00D948C1" w:rsidRDefault="00D45179" w:rsidP="006C0086">
            <w:pPr>
              <w:spacing w:line="276" w:lineRule="auto"/>
              <w:jc w:val="right"/>
              <w:rPr>
                <w:rFonts w:cs="Arial"/>
                <w:szCs w:val="24"/>
              </w:rPr>
            </w:pPr>
            <w:r w:rsidRPr="00D948C1">
              <w:rPr>
                <w:rFonts w:cs="Arial"/>
                <w:szCs w:val="24"/>
              </w:rPr>
              <w:t>20,993</w:t>
            </w:r>
          </w:p>
        </w:tc>
      </w:tr>
      <w:tr w:rsidR="00D45179" w:rsidRPr="00D948C1" w14:paraId="46670F22" w14:textId="77777777" w:rsidTr="00233A66">
        <w:tc>
          <w:tcPr>
            <w:tcW w:w="3641" w:type="dxa"/>
            <w:tcBorders>
              <w:top w:val="single" w:sz="4" w:space="0" w:color="auto"/>
              <w:left w:val="single" w:sz="4" w:space="0" w:color="auto"/>
              <w:bottom w:val="single" w:sz="4" w:space="0" w:color="auto"/>
              <w:right w:val="single" w:sz="4" w:space="0" w:color="auto"/>
            </w:tcBorders>
          </w:tcPr>
          <w:p w14:paraId="2FB3046B" w14:textId="77777777" w:rsidR="00D45179" w:rsidRPr="00D948C1" w:rsidRDefault="00D45179" w:rsidP="006C0086">
            <w:pPr>
              <w:spacing w:line="276" w:lineRule="auto"/>
              <w:rPr>
                <w:rFonts w:cs="Arial"/>
                <w:szCs w:val="24"/>
              </w:rPr>
            </w:pPr>
            <w:r w:rsidRPr="00D948C1">
              <w:rPr>
                <w:rFonts w:cs="Arial"/>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01BD4422" w14:textId="74FC4AB7" w:rsidR="00D45179" w:rsidRPr="00D948C1" w:rsidRDefault="00D45179" w:rsidP="006C0086">
            <w:pPr>
              <w:spacing w:line="276" w:lineRule="auto"/>
              <w:jc w:val="right"/>
              <w:rPr>
                <w:rFonts w:cs="Arial"/>
                <w:szCs w:val="24"/>
              </w:rPr>
            </w:pPr>
            <w:r w:rsidRPr="00D948C1">
              <w:rPr>
                <w:rFonts w:cs="Arial"/>
                <w:szCs w:val="24"/>
              </w:rPr>
              <w:t>13,810</w:t>
            </w:r>
          </w:p>
        </w:tc>
        <w:tc>
          <w:tcPr>
            <w:tcW w:w="2376" w:type="dxa"/>
            <w:tcBorders>
              <w:top w:val="single" w:sz="4" w:space="0" w:color="auto"/>
              <w:left w:val="single" w:sz="4" w:space="0" w:color="auto"/>
              <w:bottom w:val="single" w:sz="4" w:space="0" w:color="auto"/>
              <w:right w:val="single" w:sz="4" w:space="0" w:color="auto"/>
            </w:tcBorders>
            <w:vAlign w:val="center"/>
          </w:tcPr>
          <w:p w14:paraId="54EB75DC" w14:textId="16C80EE4"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156AE3" w14:textId="49C653B2" w:rsidR="00D45179" w:rsidRPr="00D948C1" w:rsidRDefault="00D45179" w:rsidP="006C0086">
            <w:pPr>
              <w:spacing w:line="276" w:lineRule="auto"/>
              <w:jc w:val="right"/>
              <w:rPr>
                <w:rFonts w:cs="Arial"/>
                <w:szCs w:val="24"/>
              </w:rPr>
            </w:pPr>
            <w:r w:rsidRPr="00D948C1">
              <w:rPr>
                <w:rFonts w:cs="Arial"/>
                <w:szCs w:val="24"/>
              </w:rPr>
              <w:t>13,810</w:t>
            </w:r>
          </w:p>
        </w:tc>
        <w:tc>
          <w:tcPr>
            <w:tcW w:w="2551" w:type="dxa"/>
            <w:tcBorders>
              <w:top w:val="single" w:sz="4" w:space="0" w:color="auto"/>
              <w:left w:val="single" w:sz="4" w:space="0" w:color="auto"/>
              <w:bottom w:val="single" w:sz="4" w:space="0" w:color="auto"/>
              <w:right w:val="single" w:sz="4" w:space="0" w:color="auto"/>
            </w:tcBorders>
            <w:vAlign w:val="center"/>
          </w:tcPr>
          <w:p w14:paraId="18B281E0" w14:textId="2D4C2682" w:rsidR="00D45179" w:rsidRPr="00D948C1" w:rsidRDefault="00D45179" w:rsidP="006C0086">
            <w:pPr>
              <w:spacing w:line="276" w:lineRule="auto"/>
              <w:jc w:val="right"/>
              <w:rPr>
                <w:rFonts w:cs="Arial"/>
                <w:szCs w:val="24"/>
              </w:rPr>
            </w:pPr>
            <w:r w:rsidRPr="00D948C1">
              <w:rPr>
                <w:rFonts w:cs="Arial"/>
                <w:szCs w:val="24"/>
              </w:rPr>
              <w:t>(1,744)</w:t>
            </w:r>
          </w:p>
        </w:tc>
        <w:tc>
          <w:tcPr>
            <w:tcW w:w="2694" w:type="dxa"/>
            <w:tcBorders>
              <w:top w:val="single" w:sz="4" w:space="0" w:color="auto"/>
              <w:left w:val="single" w:sz="4" w:space="0" w:color="auto"/>
              <w:bottom w:val="single" w:sz="4" w:space="0" w:color="auto"/>
              <w:right w:val="single" w:sz="4" w:space="0" w:color="auto"/>
            </w:tcBorders>
            <w:vAlign w:val="center"/>
          </w:tcPr>
          <w:p w14:paraId="132D2813" w14:textId="544F698F" w:rsidR="00D45179" w:rsidRPr="00D948C1" w:rsidRDefault="00D45179" w:rsidP="006C0086">
            <w:pPr>
              <w:spacing w:line="276" w:lineRule="auto"/>
              <w:jc w:val="right"/>
              <w:rPr>
                <w:rFonts w:cs="Arial"/>
                <w:szCs w:val="24"/>
              </w:rPr>
            </w:pPr>
            <w:r w:rsidRPr="00D948C1">
              <w:rPr>
                <w:rFonts w:cs="Arial"/>
                <w:szCs w:val="24"/>
              </w:rPr>
              <w:t>12,066</w:t>
            </w:r>
          </w:p>
        </w:tc>
      </w:tr>
      <w:tr w:rsidR="00D45179" w:rsidRPr="00D948C1" w14:paraId="2986571E" w14:textId="77777777" w:rsidTr="00233A66">
        <w:tc>
          <w:tcPr>
            <w:tcW w:w="3641" w:type="dxa"/>
            <w:tcBorders>
              <w:top w:val="single" w:sz="4" w:space="0" w:color="auto"/>
              <w:left w:val="single" w:sz="4" w:space="0" w:color="auto"/>
              <w:bottom w:val="single" w:sz="4" w:space="0" w:color="auto"/>
              <w:right w:val="single" w:sz="4" w:space="0" w:color="auto"/>
            </w:tcBorders>
          </w:tcPr>
          <w:p w14:paraId="7ABC67F6" w14:textId="77777777" w:rsidR="00D45179" w:rsidRPr="00D948C1" w:rsidRDefault="00D45179" w:rsidP="006C0086">
            <w:pPr>
              <w:spacing w:line="276" w:lineRule="auto"/>
              <w:rPr>
                <w:rFonts w:cs="Arial"/>
                <w:szCs w:val="24"/>
              </w:rPr>
            </w:pPr>
            <w:r w:rsidRPr="00D948C1">
              <w:rPr>
                <w:rFonts w:cs="Arial"/>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28ED35B0" w14:textId="2DC631F6" w:rsidR="00D45179" w:rsidRPr="00D948C1" w:rsidRDefault="00D45179" w:rsidP="006C0086">
            <w:pPr>
              <w:spacing w:line="276" w:lineRule="auto"/>
              <w:jc w:val="right"/>
              <w:rPr>
                <w:rFonts w:cs="Arial"/>
                <w:szCs w:val="24"/>
              </w:rPr>
            </w:pPr>
            <w:r w:rsidRPr="00D948C1">
              <w:rPr>
                <w:rFonts w:cs="Arial"/>
                <w:szCs w:val="24"/>
              </w:rPr>
              <w:t>1,939</w:t>
            </w:r>
          </w:p>
        </w:tc>
        <w:tc>
          <w:tcPr>
            <w:tcW w:w="2376" w:type="dxa"/>
            <w:tcBorders>
              <w:top w:val="single" w:sz="4" w:space="0" w:color="auto"/>
              <w:left w:val="single" w:sz="4" w:space="0" w:color="auto"/>
              <w:bottom w:val="single" w:sz="4" w:space="0" w:color="auto"/>
              <w:right w:val="single" w:sz="4" w:space="0" w:color="auto"/>
            </w:tcBorders>
            <w:vAlign w:val="center"/>
          </w:tcPr>
          <w:p w14:paraId="2F317B61" w14:textId="13F00C5C"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56F4EF" w14:textId="1C4C94CE" w:rsidR="00D45179" w:rsidRPr="00D948C1" w:rsidRDefault="00D45179" w:rsidP="006C0086">
            <w:pPr>
              <w:spacing w:line="276" w:lineRule="auto"/>
              <w:jc w:val="right"/>
              <w:rPr>
                <w:rFonts w:cs="Arial"/>
                <w:szCs w:val="24"/>
              </w:rPr>
            </w:pPr>
            <w:r w:rsidRPr="00D948C1">
              <w:rPr>
                <w:rFonts w:cs="Arial"/>
                <w:szCs w:val="24"/>
              </w:rPr>
              <w:t>1,939</w:t>
            </w:r>
          </w:p>
        </w:tc>
        <w:tc>
          <w:tcPr>
            <w:tcW w:w="2551" w:type="dxa"/>
            <w:tcBorders>
              <w:top w:val="single" w:sz="4" w:space="0" w:color="auto"/>
              <w:left w:val="single" w:sz="4" w:space="0" w:color="auto"/>
              <w:bottom w:val="single" w:sz="4" w:space="0" w:color="auto"/>
              <w:right w:val="single" w:sz="4" w:space="0" w:color="auto"/>
            </w:tcBorders>
            <w:vAlign w:val="center"/>
          </w:tcPr>
          <w:p w14:paraId="5AFF2D3E" w14:textId="65D0EA97" w:rsidR="00D45179" w:rsidRPr="00D948C1" w:rsidRDefault="00D45179" w:rsidP="006C0086">
            <w:pPr>
              <w:spacing w:line="276" w:lineRule="auto"/>
              <w:jc w:val="right"/>
              <w:rPr>
                <w:rFonts w:cs="Arial"/>
                <w:szCs w:val="24"/>
              </w:rPr>
            </w:pPr>
            <w:r w:rsidRPr="00D948C1">
              <w:rPr>
                <w:rFonts w:cs="Arial"/>
                <w:szCs w:val="24"/>
              </w:rPr>
              <w:t xml:space="preserve">142 </w:t>
            </w:r>
          </w:p>
        </w:tc>
        <w:tc>
          <w:tcPr>
            <w:tcW w:w="2694" w:type="dxa"/>
            <w:tcBorders>
              <w:top w:val="single" w:sz="4" w:space="0" w:color="auto"/>
              <w:left w:val="single" w:sz="4" w:space="0" w:color="auto"/>
              <w:bottom w:val="single" w:sz="4" w:space="0" w:color="auto"/>
              <w:right w:val="single" w:sz="4" w:space="0" w:color="auto"/>
            </w:tcBorders>
            <w:vAlign w:val="center"/>
          </w:tcPr>
          <w:p w14:paraId="0A779B1D" w14:textId="21C82E03" w:rsidR="00D45179" w:rsidRPr="00D948C1" w:rsidRDefault="00D45179" w:rsidP="006C0086">
            <w:pPr>
              <w:spacing w:line="276" w:lineRule="auto"/>
              <w:jc w:val="right"/>
              <w:rPr>
                <w:rFonts w:cs="Arial"/>
                <w:szCs w:val="24"/>
              </w:rPr>
            </w:pPr>
            <w:r w:rsidRPr="00D948C1">
              <w:rPr>
                <w:rFonts w:cs="Arial"/>
                <w:szCs w:val="24"/>
              </w:rPr>
              <w:t>2,081</w:t>
            </w:r>
          </w:p>
        </w:tc>
      </w:tr>
      <w:tr w:rsidR="00D45179" w:rsidRPr="00D948C1" w14:paraId="755C71A6" w14:textId="77777777" w:rsidTr="00233A66">
        <w:tc>
          <w:tcPr>
            <w:tcW w:w="3641" w:type="dxa"/>
            <w:tcBorders>
              <w:top w:val="single" w:sz="4" w:space="0" w:color="auto"/>
              <w:left w:val="single" w:sz="4" w:space="0" w:color="auto"/>
              <w:bottom w:val="single" w:sz="4" w:space="0" w:color="auto"/>
              <w:right w:val="single" w:sz="4" w:space="0" w:color="auto"/>
            </w:tcBorders>
          </w:tcPr>
          <w:p w14:paraId="21C8DA7D" w14:textId="77777777" w:rsidR="00D45179" w:rsidRPr="00D948C1" w:rsidRDefault="00D45179" w:rsidP="006C0086">
            <w:pPr>
              <w:spacing w:line="276" w:lineRule="auto"/>
              <w:rPr>
                <w:rFonts w:cs="Arial"/>
                <w:szCs w:val="24"/>
              </w:rPr>
            </w:pPr>
            <w:r w:rsidRPr="00D948C1">
              <w:rPr>
                <w:rFonts w:cs="Arial"/>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3172B6EB" w14:textId="4C20333F" w:rsidR="00D45179" w:rsidRPr="00D948C1" w:rsidRDefault="00D45179" w:rsidP="006C0086">
            <w:pPr>
              <w:spacing w:line="276" w:lineRule="auto"/>
              <w:jc w:val="right"/>
              <w:rPr>
                <w:rFonts w:cs="Arial"/>
                <w:szCs w:val="24"/>
              </w:rPr>
            </w:pPr>
            <w:r w:rsidRPr="00D948C1">
              <w:rPr>
                <w:rFonts w:cs="Arial"/>
                <w:szCs w:val="24"/>
              </w:rPr>
              <w:t>6,678</w:t>
            </w:r>
          </w:p>
        </w:tc>
        <w:tc>
          <w:tcPr>
            <w:tcW w:w="2376" w:type="dxa"/>
            <w:tcBorders>
              <w:top w:val="single" w:sz="4" w:space="0" w:color="auto"/>
              <w:left w:val="single" w:sz="4" w:space="0" w:color="auto"/>
              <w:bottom w:val="single" w:sz="4" w:space="0" w:color="auto"/>
              <w:right w:val="single" w:sz="4" w:space="0" w:color="auto"/>
            </w:tcBorders>
            <w:vAlign w:val="center"/>
          </w:tcPr>
          <w:p w14:paraId="18E0101E" w14:textId="7B16DC7E"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6D711F5" w14:textId="1F6767F4" w:rsidR="00D45179" w:rsidRPr="00D948C1" w:rsidRDefault="00D45179" w:rsidP="006C0086">
            <w:pPr>
              <w:spacing w:line="276" w:lineRule="auto"/>
              <w:jc w:val="right"/>
              <w:rPr>
                <w:rFonts w:cs="Arial"/>
                <w:szCs w:val="24"/>
              </w:rPr>
            </w:pPr>
            <w:r w:rsidRPr="00D948C1">
              <w:rPr>
                <w:rFonts w:cs="Arial"/>
                <w:szCs w:val="24"/>
              </w:rPr>
              <w:t>6,678</w:t>
            </w:r>
          </w:p>
        </w:tc>
        <w:tc>
          <w:tcPr>
            <w:tcW w:w="2551" w:type="dxa"/>
            <w:tcBorders>
              <w:top w:val="single" w:sz="4" w:space="0" w:color="auto"/>
              <w:left w:val="single" w:sz="4" w:space="0" w:color="auto"/>
              <w:bottom w:val="single" w:sz="4" w:space="0" w:color="auto"/>
              <w:right w:val="single" w:sz="4" w:space="0" w:color="auto"/>
            </w:tcBorders>
            <w:vAlign w:val="center"/>
          </w:tcPr>
          <w:p w14:paraId="63D8D3A5" w14:textId="38CDDA74" w:rsidR="00D45179" w:rsidRPr="00D948C1" w:rsidRDefault="00D45179" w:rsidP="006C0086">
            <w:pPr>
              <w:spacing w:line="276" w:lineRule="auto"/>
              <w:jc w:val="right"/>
              <w:rPr>
                <w:rFonts w:cs="Arial"/>
                <w:szCs w:val="24"/>
              </w:rPr>
            </w:pPr>
            <w:r w:rsidRPr="00D948C1">
              <w:rPr>
                <w:rFonts w:cs="Arial"/>
                <w:szCs w:val="24"/>
              </w:rPr>
              <w:t>(491)</w:t>
            </w:r>
          </w:p>
        </w:tc>
        <w:tc>
          <w:tcPr>
            <w:tcW w:w="2694" w:type="dxa"/>
            <w:tcBorders>
              <w:top w:val="single" w:sz="4" w:space="0" w:color="auto"/>
              <w:left w:val="single" w:sz="4" w:space="0" w:color="auto"/>
              <w:bottom w:val="single" w:sz="4" w:space="0" w:color="auto"/>
              <w:right w:val="single" w:sz="4" w:space="0" w:color="auto"/>
            </w:tcBorders>
            <w:vAlign w:val="center"/>
          </w:tcPr>
          <w:p w14:paraId="103C5383" w14:textId="12602BB9" w:rsidR="00D45179" w:rsidRPr="00D948C1" w:rsidRDefault="00D45179" w:rsidP="006C0086">
            <w:pPr>
              <w:spacing w:line="276" w:lineRule="auto"/>
              <w:jc w:val="right"/>
              <w:rPr>
                <w:rFonts w:cs="Arial"/>
                <w:szCs w:val="24"/>
              </w:rPr>
            </w:pPr>
            <w:r w:rsidRPr="00D948C1">
              <w:rPr>
                <w:rFonts w:cs="Arial"/>
                <w:szCs w:val="24"/>
              </w:rPr>
              <w:t>6,187</w:t>
            </w:r>
          </w:p>
        </w:tc>
      </w:tr>
      <w:tr w:rsidR="00D45179" w:rsidRPr="00D948C1" w14:paraId="53D3CFC3" w14:textId="77777777" w:rsidTr="00233A66">
        <w:tc>
          <w:tcPr>
            <w:tcW w:w="3641" w:type="dxa"/>
            <w:tcBorders>
              <w:top w:val="single" w:sz="4" w:space="0" w:color="auto"/>
              <w:left w:val="single" w:sz="4" w:space="0" w:color="auto"/>
              <w:bottom w:val="single" w:sz="4" w:space="0" w:color="auto"/>
              <w:right w:val="single" w:sz="4" w:space="0" w:color="auto"/>
            </w:tcBorders>
          </w:tcPr>
          <w:p w14:paraId="7680DBD2" w14:textId="77777777" w:rsidR="00D45179" w:rsidRPr="00D948C1" w:rsidRDefault="00D45179" w:rsidP="006C0086">
            <w:pPr>
              <w:spacing w:line="276" w:lineRule="auto"/>
              <w:rPr>
                <w:rFonts w:cs="Arial"/>
                <w:szCs w:val="24"/>
              </w:rPr>
            </w:pPr>
            <w:r w:rsidRPr="00D948C1">
              <w:rPr>
                <w:rFonts w:cs="Arial"/>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487E047E" w14:textId="572A85C1" w:rsidR="00D45179" w:rsidRPr="00D948C1" w:rsidRDefault="00D45179" w:rsidP="006C0086">
            <w:pPr>
              <w:spacing w:line="276" w:lineRule="auto"/>
              <w:jc w:val="right"/>
              <w:rPr>
                <w:rFonts w:cs="Arial"/>
                <w:szCs w:val="24"/>
              </w:rPr>
            </w:pPr>
            <w:r w:rsidRPr="00D948C1">
              <w:rPr>
                <w:rFonts w:cs="Arial"/>
                <w:szCs w:val="24"/>
              </w:rPr>
              <w:t>1,271</w:t>
            </w:r>
          </w:p>
        </w:tc>
        <w:tc>
          <w:tcPr>
            <w:tcW w:w="2376" w:type="dxa"/>
            <w:tcBorders>
              <w:top w:val="single" w:sz="4" w:space="0" w:color="auto"/>
              <w:left w:val="single" w:sz="4" w:space="0" w:color="auto"/>
              <w:bottom w:val="single" w:sz="4" w:space="0" w:color="auto"/>
              <w:right w:val="single" w:sz="4" w:space="0" w:color="auto"/>
            </w:tcBorders>
            <w:vAlign w:val="center"/>
          </w:tcPr>
          <w:p w14:paraId="257F43B2" w14:textId="3715BB05"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E54C90D" w14:textId="245E02AB" w:rsidR="00D45179" w:rsidRPr="00D948C1" w:rsidRDefault="00D45179" w:rsidP="006C0086">
            <w:pPr>
              <w:spacing w:line="276" w:lineRule="auto"/>
              <w:jc w:val="right"/>
              <w:rPr>
                <w:rFonts w:cs="Arial"/>
                <w:szCs w:val="24"/>
              </w:rPr>
            </w:pPr>
            <w:r w:rsidRPr="00D948C1">
              <w:rPr>
                <w:rFonts w:cs="Arial"/>
                <w:szCs w:val="24"/>
              </w:rPr>
              <w:t>1,271</w:t>
            </w:r>
          </w:p>
        </w:tc>
        <w:tc>
          <w:tcPr>
            <w:tcW w:w="2551" w:type="dxa"/>
            <w:tcBorders>
              <w:top w:val="single" w:sz="4" w:space="0" w:color="auto"/>
              <w:left w:val="single" w:sz="4" w:space="0" w:color="auto"/>
              <w:bottom w:val="single" w:sz="4" w:space="0" w:color="auto"/>
              <w:right w:val="single" w:sz="4" w:space="0" w:color="auto"/>
            </w:tcBorders>
            <w:vAlign w:val="center"/>
          </w:tcPr>
          <w:p w14:paraId="35B1B2D8" w14:textId="4D8EC128" w:rsidR="00D45179" w:rsidRPr="00D948C1" w:rsidRDefault="00D45179" w:rsidP="006C0086">
            <w:pPr>
              <w:spacing w:line="276" w:lineRule="auto"/>
              <w:jc w:val="right"/>
              <w:rPr>
                <w:rFonts w:cs="Arial"/>
                <w:szCs w:val="24"/>
              </w:rPr>
            </w:pPr>
            <w:r w:rsidRPr="00D948C1">
              <w:rPr>
                <w:rFonts w:cs="Arial"/>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D26C801" w14:textId="6BE051C5" w:rsidR="00D45179" w:rsidRPr="00D948C1" w:rsidRDefault="00D45179" w:rsidP="006C0086">
            <w:pPr>
              <w:spacing w:line="276" w:lineRule="auto"/>
              <w:jc w:val="right"/>
              <w:rPr>
                <w:rFonts w:cs="Arial"/>
                <w:szCs w:val="24"/>
              </w:rPr>
            </w:pPr>
            <w:r w:rsidRPr="00D948C1">
              <w:rPr>
                <w:rFonts w:cs="Arial"/>
                <w:szCs w:val="24"/>
              </w:rPr>
              <w:t>1,271</w:t>
            </w:r>
          </w:p>
        </w:tc>
      </w:tr>
      <w:tr w:rsidR="00D45179" w:rsidRPr="00D948C1" w14:paraId="51E01BF6" w14:textId="77777777" w:rsidTr="00233A66">
        <w:tc>
          <w:tcPr>
            <w:tcW w:w="3641" w:type="dxa"/>
            <w:tcBorders>
              <w:top w:val="single" w:sz="4" w:space="0" w:color="auto"/>
              <w:left w:val="single" w:sz="4" w:space="0" w:color="auto"/>
              <w:bottom w:val="single" w:sz="4" w:space="0" w:color="auto"/>
              <w:right w:val="single" w:sz="4" w:space="0" w:color="auto"/>
            </w:tcBorders>
          </w:tcPr>
          <w:p w14:paraId="7FD6605A" w14:textId="77777777" w:rsidR="00D45179" w:rsidRPr="00D948C1" w:rsidRDefault="00D45179" w:rsidP="006C0086">
            <w:pPr>
              <w:spacing w:line="276" w:lineRule="auto"/>
              <w:rPr>
                <w:rFonts w:cs="Arial"/>
                <w:szCs w:val="24"/>
              </w:rPr>
            </w:pPr>
            <w:r w:rsidRPr="00D948C1">
              <w:rPr>
                <w:rFonts w:cs="Arial"/>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5E3B47D7" w14:textId="58375464" w:rsidR="00D45179" w:rsidRPr="00D948C1" w:rsidRDefault="00D45179" w:rsidP="006C0086">
            <w:pPr>
              <w:spacing w:line="276" w:lineRule="auto"/>
              <w:jc w:val="right"/>
              <w:rPr>
                <w:rFonts w:cs="Arial"/>
                <w:szCs w:val="24"/>
              </w:rPr>
            </w:pPr>
            <w:r w:rsidRPr="00D948C1">
              <w:rPr>
                <w:rFonts w:cs="Arial"/>
                <w:szCs w:val="24"/>
              </w:rPr>
              <w:t>1,661</w:t>
            </w:r>
          </w:p>
        </w:tc>
        <w:tc>
          <w:tcPr>
            <w:tcW w:w="2376" w:type="dxa"/>
            <w:tcBorders>
              <w:top w:val="single" w:sz="4" w:space="0" w:color="auto"/>
              <w:left w:val="single" w:sz="4" w:space="0" w:color="auto"/>
              <w:bottom w:val="single" w:sz="4" w:space="0" w:color="auto"/>
              <w:right w:val="single" w:sz="4" w:space="0" w:color="auto"/>
            </w:tcBorders>
            <w:vAlign w:val="center"/>
          </w:tcPr>
          <w:p w14:paraId="233FF9B8" w14:textId="57B4825C" w:rsidR="00D45179" w:rsidRPr="00D948C1" w:rsidRDefault="00D45179"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5BCFEC" w14:textId="1D07489C" w:rsidR="00D45179" w:rsidRPr="00D948C1" w:rsidRDefault="00D45179" w:rsidP="006C0086">
            <w:pPr>
              <w:spacing w:line="276" w:lineRule="auto"/>
              <w:jc w:val="right"/>
              <w:rPr>
                <w:rFonts w:cs="Arial"/>
                <w:szCs w:val="24"/>
              </w:rPr>
            </w:pPr>
            <w:r w:rsidRPr="00D948C1">
              <w:rPr>
                <w:rFonts w:cs="Arial"/>
                <w:szCs w:val="24"/>
              </w:rPr>
              <w:t>1,661</w:t>
            </w:r>
          </w:p>
        </w:tc>
        <w:tc>
          <w:tcPr>
            <w:tcW w:w="2551" w:type="dxa"/>
            <w:tcBorders>
              <w:top w:val="single" w:sz="4" w:space="0" w:color="auto"/>
              <w:left w:val="single" w:sz="4" w:space="0" w:color="auto"/>
              <w:bottom w:val="single" w:sz="4" w:space="0" w:color="auto"/>
              <w:right w:val="single" w:sz="4" w:space="0" w:color="auto"/>
            </w:tcBorders>
            <w:vAlign w:val="center"/>
          </w:tcPr>
          <w:p w14:paraId="254486E6" w14:textId="051680E0" w:rsidR="00D45179" w:rsidRPr="00D948C1" w:rsidRDefault="00D45179" w:rsidP="006C0086">
            <w:pPr>
              <w:spacing w:line="276" w:lineRule="auto"/>
              <w:jc w:val="right"/>
              <w:rPr>
                <w:rFonts w:cs="Arial"/>
                <w:szCs w:val="24"/>
              </w:rPr>
            </w:pPr>
            <w:r w:rsidRPr="00D948C1">
              <w:rPr>
                <w:rFonts w:cs="Arial"/>
                <w:szCs w:val="24"/>
              </w:rPr>
              <w:t xml:space="preserve">1,787 </w:t>
            </w:r>
          </w:p>
        </w:tc>
        <w:tc>
          <w:tcPr>
            <w:tcW w:w="2694" w:type="dxa"/>
            <w:tcBorders>
              <w:top w:val="single" w:sz="4" w:space="0" w:color="auto"/>
              <w:left w:val="single" w:sz="4" w:space="0" w:color="auto"/>
              <w:bottom w:val="single" w:sz="4" w:space="0" w:color="auto"/>
              <w:right w:val="single" w:sz="4" w:space="0" w:color="auto"/>
            </w:tcBorders>
            <w:vAlign w:val="center"/>
          </w:tcPr>
          <w:p w14:paraId="50F7EA30" w14:textId="228DDF26" w:rsidR="00D45179" w:rsidRPr="00D948C1" w:rsidRDefault="00D45179" w:rsidP="006C0086">
            <w:pPr>
              <w:spacing w:line="276" w:lineRule="auto"/>
              <w:jc w:val="right"/>
              <w:rPr>
                <w:rFonts w:cs="Arial"/>
                <w:szCs w:val="24"/>
              </w:rPr>
            </w:pPr>
            <w:r w:rsidRPr="00D948C1">
              <w:rPr>
                <w:rFonts w:cs="Arial"/>
                <w:szCs w:val="24"/>
              </w:rPr>
              <w:t>3,448</w:t>
            </w:r>
          </w:p>
        </w:tc>
      </w:tr>
      <w:tr w:rsidR="00D45179" w:rsidRPr="00D948C1" w14:paraId="6C23CD1E" w14:textId="77777777" w:rsidTr="00233A66">
        <w:tc>
          <w:tcPr>
            <w:tcW w:w="3641" w:type="dxa"/>
            <w:tcBorders>
              <w:top w:val="single" w:sz="4" w:space="0" w:color="auto"/>
              <w:left w:val="single" w:sz="4" w:space="0" w:color="auto"/>
              <w:bottom w:val="single" w:sz="4" w:space="0" w:color="auto"/>
              <w:right w:val="single" w:sz="4" w:space="0" w:color="auto"/>
            </w:tcBorders>
          </w:tcPr>
          <w:p w14:paraId="54F5F673" w14:textId="77777777" w:rsidR="00D45179" w:rsidRPr="00D948C1" w:rsidRDefault="00D45179" w:rsidP="006C0086">
            <w:pPr>
              <w:spacing w:line="276" w:lineRule="auto"/>
              <w:rPr>
                <w:rFonts w:cs="Arial"/>
                <w:b/>
                <w:szCs w:val="24"/>
              </w:rPr>
            </w:pPr>
            <w:r w:rsidRPr="00D948C1">
              <w:rPr>
                <w:rFonts w:cs="Arial"/>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AFC8585" w14:textId="17F081E6" w:rsidR="00D45179" w:rsidRPr="00D948C1" w:rsidRDefault="00D45179" w:rsidP="006C0086">
            <w:pPr>
              <w:spacing w:line="276" w:lineRule="auto"/>
              <w:jc w:val="right"/>
              <w:rPr>
                <w:rFonts w:cs="Arial"/>
                <w:b/>
                <w:bCs/>
                <w:szCs w:val="24"/>
              </w:rPr>
            </w:pPr>
            <w:r w:rsidRPr="00D948C1">
              <w:rPr>
                <w:rFonts w:cs="Arial"/>
                <w:b/>
                <w:bCs/>
                <w:szCs w:val="24"/>
              </w:rPr>
              <w:t>68,566</w:t>
            </w:r>
          </w:p>
        </w:tc>
        <w:tc>
          <w:tcPr>
            <w:tcW w:w="2376" w:type="dxa"/>
            <w:tcBorders>
              <w:top w:val="single" w:sz="4" w:space="0" w:color="auto"/>
              <w:left w:val="single" w:sz="4" w:space="0" w:color="auto"/>
              <w:bottom w:val="single" w:sz="4" w:space="0" w:color="auto"/>
              <w:right w:val="single" w:sz="4" w:space="0" w:color="auto"/>
            </w:tcBorders>
            <w:vAlign w:val="center"/>
          </w:tcPr>
          <w:p w14:paraId="449B4729" w14:textId="42F9F191" w:rsidR="00D45179" w:rsidRPr="00D948C1" w:rsidRDefault="00D45179" w:rsidP="006C0086">
            <w:pPr>
              <w:spacing w:line="276" w:lineRule="auto"/>
              <w:jc w:val="right"/>
              <w:rPr>
                <w:rFonts w:cs="Arial"/>
                <w:b/>
                <w:bCs/>
                <w:szCs w:val="24"/>
              </w:rPr>
            </w:pPr>
            <w:r w:rsidRPr="00D948C1">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405D5E0" w14:textId="34F6F020" w:rsidR="00D45179" w:rsidRPr="00D948C1" w:rsidRDefault="00D45179" w:rsidP="006C0086">
            <w:pPr>
              <w:spacing w:line="276" w:lineRule="auto"/>
              <w:jc w:val="right"/>
              <w:rPr>
                <w:rFonts w:cs="Arial"/>
                <w:b/>
                <w:bCs/>
                <w:szCs w:val="24"/>
              </w:rPr>
            </w:pPr>
            <w:r w:rsidRPr="00D948C1">
              <w:rPr>
                <w:rFonts w:cs="Arial"/>
                <w:b/>
                <w:bCs/>
                <w:szCs w:val="24"/>
              </w:rPr>
              <w:t>68,566</w:t>
            </w:r>
          </w:p>
        </w:tc>
        <w:tc>
          <w:tcPr>
            <w:tcW w:w="2551" w:type="dxa"/>
            <w:tcBorders>
              <w:top w:val="single" w:sz="4" w:space="0" w:color="auto"/>
              <w:left w:val="single" w:sz="4" w:space="0" w:color="auto"/>
              <w:bottom w:val="single" w:sz="4" w:space="0" w:color="auto"/>
              <w:right w:val="single" w:sz="4" w:space="0" w:color="auto"/>
            </w:tcBorders>
            <w:vAlign w:val="center"/>
          </w:tcPr>
          <w:p w14:paraId="3EEAAE05" w14:textId="73BFB020" w:rsidR="00D45179" w:rsidRPr="00D948C1" w:rsidRDefault="00D45179" w:rsidP="006C0086">
            <w:pPr>
              <w:spacing w:line="276" w:lineRule="auto"/>
              <w:jc w:val="right"/>
              <w:rPr>
                <w:rFonts w:cs="Arial"/>
                <w:b/>
                <w:bCs/>
                <w:szCs w:val="24"/>
              </w:rPr>
            </w:pPr>
            <w:r w:rsidRPr="00D948C1">
              <w:rPr>
                <w:rFonts w:cs="Arial"/>
                <w:b/>
                <w:bCs/>
                <w:szCs w:val="24"/>
              </w:rPr>
              <w:t>(22,520</w:t>
            </w:r>
            <w:r w:rsidR="00D723B5" w:rsidRPr="00D948C1">
              <w:rPr>
                <w:rFonts w:cs="Arial"/>
                <w:b/>
                <w:bCs/>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14:paraId="4C22BFC5" w14:textId="166A25A1" w:rsidR="00D45179" w:rsidRPr="00D948C1" w:rsidRDefault="00D45179" w:rsidP="006C0086">
            <w:pPr>
              <w:spacing w:line="276" w:lineRule="auto"/>
              <w:jc w:val="right"/>
              <w:rPr>
                <w:rFonts w:cs="Arial"/>
                <w:b/>
                <w:szCs w:val="24"/>
              </w:rPr>
            </w:pPr>
            <w:r w:rsidRPr="00D948C1">
              <w:rPr>
                <w:rFonts w:cs="Arial"/>
                <w:b/>
                <w:szCs w:val="24"/>
              </w:rPr>
              <w:t>46,046</w:t>
            </w:r>
          </w:p>
        </w:tc>
      </w:tr>
      <w:tr w:rsidR="0090002A" w:rsidRPr="00D948C1" w14:paraId="509D79A1" w14:textId="77777777" w:rsidTr="00233A66">
        <w:tc>
          <w:tcPr>
            <w:tcW w:w="3641" w:type="dxa"/>
            <w:tcBorders>
              <w:top w:val="single" w:sz="4" w:space="0" w:color="auto"/>
              <w:left w:val="single" w:sz="4" w:space="0" w:color="auto"/>
              <w:bottom w:val="single" w:sz="4" w:space="0" w:color="auto"/>
              <w:right w:val="single" w:sz="4" w:space="0" w:color="auto"/>
            </w:tcBorders>
          </w:tcPr>
          <w:p w14:paraId="61B0E513" w14:textId="77777777" w:rsidR="0090002A" w:rsidRPr="00D948C1" w:rsidRDefault="0090002A" w:rsidP="006C0086">
            <w:pPr>
              <w:spacing w:line="276" w:lineRule="auto"/>
              <w:rPr>
                <w:rFonts w:cs="Arial"/>
                <w:szCs w:val="24"/>
              </w:rPr>
            </w:pPr>
            <w:r w:rsidRPr="00D948C1">
              <w:rPr>
                <w:rFonts w:cs="Arial"/>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5A50E65D" w14:textId="34F10FE4" w:rsidR="0090002A" w:rsidRPr="00D948C1" w:rsidRDefault="0090002A" w:rsidP="006C0086">
            <w:pPr>
              <w:spacing w:line="276" w:lineRule="auto"/>
              <w:jc w:val="right"/>
              <w:rPr>
                <w:rFonts w:cs="Arial"/>
                <w:szCs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6CA25D2B" w14:textId="09B521F8" w:rsidR="0090002A" w:rsidRPr="00D948C1" w:rsidRDefault="0090002A"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BDD1D3A" w14:textId="659B45B5" w:rsidR="0090002A" w:rsidRPr="00D948C1" w:rsidRDefault="0090002A" w:rsidP="006C0086">
            <w:pPr>
              <w:spacing w:line="276" w:lineRule="auto"/>
              <w:jc w:val="right"/>
              <w:rPr>
                <w:rFonts w:cs="Arial"/>
                <w:szCs w:val="24"/>
              </w:rPr>
            </w:pPr>
            <w:r w:rsidRPr="00D948C1">
              <w:rPr>
                <w:rFonts w:cs="Arial"/>
                <w:szCs w:val="24"/>
              </w:rPr>
              <w:t>(6</w:t>
            </w:r>
            <w:r w:rsidR="00D45179" w:rsidRPr="00D948C1">
              <w:rPr>
                <w:rFonts w:cs="Arial"/>
                <w:szCs w:val="24"/>
              </w:rPr>
              <w:t>8</w:t>
            </w:r>
            <w:r w:rsidRPr="00D948C1">
              <w:rPr>
                <w:rFonts w:cs="Arial"/>
                <w:szCs w:val="24"/>
              </w:rPr>
              <w:t>,</w:t>
            </w:r>
            <w:r w:rsidR="00D45179" w:rsidRPr="00D948C1">
              <w:rPr>
                <w:rFonts w:cs="Arial"/>
                <w:szCs w:val="24"/>
              </w:rPr>
              <w:t>346</w:t>
            </w:r>
            <w:r w:rsidRPr="00D948C1">
              <w:rPr>
                <w:rFonts w:cs="Arial"/>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5CB71568" w14:textId="79A8E7B2" w:rsidR="0090002A" w:rsidRPr="00D948C1" w:rsidRDefault="0090002A" w:rsidP="006C0086">
            <w:pPr>
              <w:spacing w:line="276" w:lineRule="auto"/>
              <w:jc w:val="right"/>
              <w:rPr>
                <w:rFonts w:cs="Arial"/>
                <w:szCs w:val="24"/>
              </w:rPr>
            </w:pPr>
            <w:r w:rsidRPr="00D948C1">
              <w:rPr>
                <w:rFonts w:cs="Arial"/>
                <w:szCs w:val="24"/>
              </w:rPr>
              <w:t>2</w:t>
            </w:r>
            <w:r w:rsidR="00D45179" w:rsidRPr="00D948C1">
              <w:rPr>
                <w:rFonts w:cs="Arial"/>
                <w:szCs w:val="24"/>
              </w:rPr>
              <w:t>8,137</w:t>
            </w:r>
            <w:r w:rsidRPr="00D948C1">
              <w:rPr>
                <w:rFonts w:cs="Arial"/>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6BD20BA" w14:textId="43F87C98" w:rsidR="0090002A" w:rsidRPr="00D948C1" w:rsidRDefault="00D45179" w:rsidP="006C0086">
            <w:pPr>
              <w:spacing w:line="276" w:lineRule="auto"/>
              <w:jc w:val="right"/>
              <w:rPr>
                <w:rFonts w:cs="Arial"/>
                <w:szCs w:val="24"/>
              </w:rPr>
            </w:pPr>
            <w:r w:rsidRPr="00D948C1">
              <w:rPr>
                <w:rFonts w:cs="Arial"/>
                <w:szCs w:val="24"/>
              </w:rPr>
              <w:t>(40,209)</w:t>
            </w:r>
          </w:p>
        </w:tc>
      </w:tr>
      <w:tr w:rsidR="0090002A" w:rsidRPr="00D948C1" w14:paraId="1AE897AF" w14:textId="77777777" w:rsidTr="00233A66">
        <w:tc>
          <w:tcPr>
            <w:tcW w:w="3641" w:type="dxa"/>
            <w:tcBorders>
              <w:top w:val="single" w:sz="4" w:space="0" w:color="auto"/>
              <w:left w:val="single" w:sz="4" w:space="0" w:color="auto"/>
              <w:bottom w:val="single" w:sz="4" w:space="0" w:color="auto"/>
              <w:right w:val="single" w:sz="4" w:space="0" w:color="auto"/>
            </w:tcBorders>
          </w:tcPr>
          <w:p w14:paraId="6EA3E1DA" w14:textId="63B8FEEF" w:rsidR="0090002A" w:rsidRPr="00D948C1" w:rsidRDefault="00BF6300" w:rsidP="006C0086">
            <w:pPr>
              <w:spacing w:line="276" w:lineRule="auto"/>
              <w:rPr>
                <w:rFonts w:cs="Arial"/>
                <w:b/>
                <w:szCs w:val="24"/>
              </w:rPr>
            </w:pPr>
            <w:r>
              <w:rPr>
                <w:rFonts w:cs="Arial"/>
                <w:b/>
                <w:szCs w:val="24"/>
              </w:rPr>
              <w:t>(</w:t>
            </w:r>
            <w:r w:rsidR="0090002A" w:rsidRPr="00D948C1">
              <w:rPr>
                <w:rFonts w:cs="Arial"/>
                <w:b/>
                <w:szCs w:val="24"/>
              </w:rPr>
              <w:t>Surplus</w:t>
            </w:r>
            <w:r>
              <w:rPr>
                <w:rFonts w:cs="Arial"/>
                <w:b/>
                <w:szCs w:val="24"/>
              </w:rPr>
              <w:t>)/Deficit</w:t>
            </w:r>
            <w:r w:rsidR="0090002A" w:rsidRPr="00D948C1">
              <w:rPr>
                <w:rFonts w:cs="Arial"/>
                <w:b/>
                <w:szCs w:val="24"/>
              </w:rPr>
              <w:t xml:space="preserve"> 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201C5DE9" w14:textId="1EFB6756" w:rsidR="0090002A" w:rsidRPr="00D948C1" w:rsidRDefault="0090002A" w:rsidP="006C0086">
            <w:pPr>
              <w:spacing w:line="276" w:lineRule="auto"/>
              <w:jc w:val="right"/>
              <w:rPr>
                <w:rFonts w:cs="Arial"/>
                <w:b/>
                <w:bCs/>
                <w:szCs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7B4B74E7" w14:textId="04E4D5DA" w:rsidR="0090002A" w:rsidRPr="00D948C1" w:rsidRDefault="0090002A" w:rsidP="006C0086">
            <w:pPr>
              <w:spacing w:line="276" w:lineRule="auto"/>
              <w:jc w:val="right"/>
              <w:rPr>
                <w:rFonts w:cs="Arial"/>
                <w:b/>
                <w:bCs/>
                <w:szCs w:val="24"/>
              </w:rPr>
            </w:pPr>
            <w:r w:rsidRPr="00D948C1">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D0CA24" w14:textId="4499C030" w:rsidR="0090002A" w:rsidRPr="00D948C1" w:rsidRDefault="00D45179" w:rsidP="006C0086">
            <w:pPr>
              <w:spacing w:line="276" w:lineRule="auto"/>
              <w:jc w:val="right"/>
              <w:rPr>
                <w:rFonts w:cs="Arial"/>
                <w:b/>
                <w:bCs/>
                <w:szCs w:val="24"/>
              </w:rPr>
            </w:pPr>
            <w:r w:rsidRPr="00D948C1">
              <w:rPr>
                <w:rFonts w:cs="Arial"/>
                <w:b/>
                <w:bCs/>
                <w:szCs w:val="24"/>
              </w:rPr>
              <w:t>220</w:t>
            </w:r>
            <w:r w:rsidR="0090002A" w:rsidRPr="00D948C1">
              <w:rPr>
                <w:rFonts w:cs="Arial"/>
                <w:b/>
                <w:bCs/>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1CE7833F" w14:textId="7FF1C1EE" w:rsidR="0090002A" w:rsidRPr="00D948C1" w:rsidRDefault="00D45179" w:rsidP="006C0086">
            <w:pPr>
              <w:spacing w:line="276" w:lineRule="auto"/>
              <w:jc w:val="right"/>
              <w:rPr>
                <w:rFonts w:cs="Arial"/>
                <w:b/>
                <w:bCs/>
                <w:szCs w:val="24"/>
              </w:rPr>
            </w:pPr>
            <w:r w:rsidRPr="00D948C1">
              <w:rPr>
                <w:rFonts w:cs="Arial"/>
                <w:b/>
                <w:bCs/>
                <w:szCs w:val="24"/>
              </w:rPr>
              <w:t>5,618</w:t>
            </w:r>
            <w:r w:rsidR="0090002A" w:rsidRPr="00D948C1">
              <w:rPr>
                <w:rFonts w:cs="Arial"/>
                <w:b/>
                <w:bCs/>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8A2DC41" w14:textId="23BE383E" w:rsidR="0090002A" w:rsidRPr="00D948C1" w:rsidRDefault="00D45179" w:rsidP="006C0086">
            <w:pPr>
              <w:spacing w:line="276" w:lineRule="auto"/>
              <w:jc w:val="right"/>
              <w:rPr>
                <w:rFonts w:cs="Arial"/>
                <w:b/>
                <w:szCs w:val="24"/>
              </w:rPr>
            </w:pPr>
            <w:r w:rsidRPr="00D948C1">
              <w:rPr>
                <w:rFonts w:cs="Arial"/>
                <w:b/>
                <w:szCs w:val="24"/>
              </w:rPr>
              <w:t>5,838</w:t>
            </w:r>
          </w:p>
        </w:tc>
      </w:tr>
    </w:tbl>
    <w:p w14:paraId="5E8A772F" w14:textId="77777777" w:rsidR="00DD2894" w:rsidRPr="00D948C1" w:rsidRDefault="00DD2894" w:rsidP="006C0086">
      <w:pPr>
        <w:spacing w:line="276" w:lineRule="auto"/>
      </w:pPr>
    </w:p>
    <w:tbl>
      <w:tblPr>
        <w:tblStyle w:val="TableGrid"/>
        <w:tblW w:w="9497" w:type="dxa"/>
        <w:tblInd w:w="704" w:type="dxa"/>
        <w:tblLayout w:type="fixed"/>
        <w:tblLook w:val="04A0" w:firstRow="1" w:lastRow="0" w:firstColumn="1" w:lastColumn="0" w:noHBand="0" w:noVBand="1"/>
      </w:tblPr>
      <w:tblGrid>
        <w:gridCol w:w="7796"/>
        <w:gridCol w:w="1701"/>
      </w:tblGrid>
      <w:tr w:rsidR="0005100D" w:rsidRPr="00D948C1" w14:paraId="2563BCB2" w14:textId="77777777" w:rsidTr="00233A66">
        <w:tc>
          <w:tcPr>
            <w:tcW w:w="7796" w:type="dxa"/>
            <w:tcBorders>
              <w:top w:val="single" w:sz="4" w:space="0" w:color="auto"/>
              <w:left w:val="single" w:sz="4" w:space="0" w:color="auto"/>
              <w:bottom w:val="single" w:sz="4" w:space="0" w:color="auto"/>
              <w:right w:val="single" w:sz="4" w:space="0" w:color="auto"/>
            </w:tcBorders>
          </w:tcPr>
          <w:p w14:paraId="45ECB2EE" w14:textId="520BFDDC" w:rsidR="0005100D" w:rsidRPr="00D948C1" w:rsidRDefault="00A13728" w:rsidP="006C0086">
            <w:pPr>
              <w:spacing w:line="276" w:lineRule="auto"/>
              <w:rPr>
                <w:rFonts w:cs="Arial"/>
                <w:b/>
                <w:bCs/>
                <w:szCs w:val="24"/>
              </w:rPr>
            </w:pPr>
            <w:r w:rsidRPr="00D948C1">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993A71" w14:textId="676921C7" w:rsidR="0005100D" w:rsidRPr="00D948C1" w:rsidRDefault="00A13728" w:rsidP="006C0086">
            <w:pPr>
              <w:spacing w:line="276" w:lineRule="auto"/>
              <w:jc w:val="right"/>
              <w:rPr>
                <w:rFonts w:cs="Arial"/>
                <w:b/>
                <w:bCs/>
                <w:szCs w:val="24"/>
              </w:rPr>
            </w:pPr>
            <w:r w:rsidRPr="00D948C1">
              <w:rPr>
                <w:rFonts w:cs="Arial"/>
                <w:b/>
                <w:bCs/>
                <w:szCs w:val="24"/>
              </w:rPr>
              <w:t>(</w:t>
            </w:r>
            <w:r w:rsidR="00C7098F" w:rsidRPr="00D948C1">
              <w:rPr>
                <w:rFonts w:cs="Arial"/>
                <w:b/>
                <w:bCs/>
                <w:szCs w:val="24"/>
              </w:rPr>
              <w:t>4</w:t>
            </w:r>
            <w:r w:rsidRPr="00D948C1">
              <w:rPr>
                <w:rFonts w:cs="Arial"/>
                <w:b/>
                <w:bCs/>
                <w:szCs w:val="24"/>
              </w:rPr>
              <w:t>,</w:t>
            </w:r>
            <w:r w:rsidR="00C7098F" w:rsidRPr="00D948C1">
              <w:rPr>
                <w:rFonts w:cs="Arial"/>
                <w:b/>
                <w:bCs/>
                <w:szCs w:val="24"/>
              </w:rPr>
              <w:t>887</w:t>
            </w:r>
            <w:r w:rsidRPr="00D948C1">
              <w:rPr>
                <w:rFonts w:cs="Arial"/>
                <w:b/>
                <w:bCs/>
                <w:szCs w:val="24"/>
              </w:rPr>
              <w:t xml:space="preserve">) </w:t>
            </w:r>
          </w:p>
        </w:tc>
      </w:tr>
      <w:tr w:rsidR="0005100D" w:rsidRPr="00D948C1" w14:paraId="7CEC607C" w14:textId="77777777" w:rsidTr="00233A66">
        <w:tc>
          <w:tcPr>
            <w:tcW w:w="7796" w:type="dxa"/>
            <w:tcBorders>
              <w:top w:val="single" w:sz="4" w:space="0" w:color="auto"/>
              <w:left w:val="single" w:sz="4" w:space="0" w:color="auto"/>
              <w:bottom w:val="single" w:sz="4" w:space="0" w:color="auto"/>
              <w:right w:val="single" w:sz="4" w:space="0" w:color="auto"/>
            </w:tcBorders>
          </w:tcPr>
          <w:p w14:paraId="7E4AC29D" w14:textId="69AB222D" w:rsidR="0005100D" w:rsidRPr="00D948C1" w:rsidRDefault="00A13728" w:rsidP="006C0086">
            <w:pPr>
              <w:spacing w:line="276" w:lineRule="auto"/>
              <w:rPr>
                <w:rFonts w:cs="Arial"/>
                <w:szCs w:val="24"/>
              </w:rPr>
            </w:pPr>
            <w:r w:rsidRPr="00D948C1">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15190BF5" w14:textId="64483F42" w:rsidR="0005100D" w:rsidRPr="00D948C1" w:rsidRDefault="00D45179" w:rsidP="006C0086">
            <w:pPr>
              <w:spacing w:line="276" w:lineRule="auto"/>
              <w:jc w:val="right"/>
              <w:rPr>
                <w:rFonts w:cs="Arial"/>
                <w:szCs w:val="24"/>
              </w:rPr>
            </w:pPr>
            <w:r w:rsidRPr="00D948C1">
              <w:rPr>
                <w:rFonts w:cs="Arial"/>
                <w:szCs w:val="24"/>
              </w:rPr>
              <w:t>220</w:t>
            </w:r>
          </w:p>
        </w:tc>
      </w:tr>
      <w:tr w:rsidR="0005100D" w:rsidRPr="00D948C1" w14:paraId="21D48A6A" w14:textId="77777777" w:rsidTr="00233A66">
        <w:tc>
          <w:tcPr>
            <w:tcW w:w="7796" w:type="dxa"/>
            <w:tcBorders>
              <w:top w:val="single" w:sz="4" w:space="0" w:color="auto"/>
              <w:left w:val="single" w:sz="4" w:space="0" w:color="auto"/>
              <w:bottom w:val="single" w:sz="4" w:space="0" w:color="auto"/>
              <w:right w:val="single" w:sz="4" w:space="0" w:color="auto"/>
            </w:tcBorders>
          </w:tcPr>
          <w:p w14:paraId="133E74E1" w14:textId="7881EBEB" w:rsidR="0005100D" w:rsidRPr="00D948C1" w:rsidRDefault="00A13728" w:rsidP="006C0086">
            <w:pPr>
              <w:spacing w:line="276" w:lineRule="auto"/>
              <w:rPr>
                <w:rFonts w:cs="Arial"/>
                <w:szCs w:val="24"/>
              </w:rPr>
            </w:pPr>
            <w:r w:rsidRPr="00D948C1">
              <w:rPr>
                <w:rFonts w:cs="Arial"/>
                <w:szCs w:val="24"/>
              </w:rPr>
              <w:lastRenderedPageBreak/>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E168AB8" w14:textId="291E03EA" w:rsidR="0005100D" w:rsidRPr="00D948C1" w:rsidRDefault="00A13728" w:rsidP="006C0086">
            <w:pPr>
              <w:spacing w:line="276" w:lineRule="auto"/>
              <w:jc w:val="right"/>
              <w:rPr>
                <w:rFonts w:cs="Arial"/>
                <w:szCs w:val="24"/>
              </w:rPr>
            </w:pPr>
            <w:r w:rsidRPr="00D948C1">
              <w:rPr>
                <w:rFonts w:cs="Arial"/>
                <w:szCs w:val="24"/>
              </w:rPr>
              <w:t>(</w:t>
            </w:r>
            <w:r w:rsidR="00D45179" w:rsidRPr="00D948C1">
              <w:rPr>
                <w:rFonts w:cs="Arial"/>
                <w:szCs w:val="24"/>
              </w:rPr>
              <w:t>160</w:t>
            </w:r>
            <w:r w:rsidRPr="00D948C1">
              <w:rPr>
                <w:rFonts w:cs="Arial"/>
                <w:szCs w:val="24"/>
              </w:rPr>
              <w:t>)</w:t>
            </w:r>
          </w:p>
        </w:tc>
      </w:tr>
      <w:tr w:rsidR="00D45179" w:rsidRPr="00D948C1" w14:paraId="687013A9" w14:textId="77777777" w:rsidTr="00233A66">
        <w:tc>
          <w:tcPr>
            <w:tcW w:w="7796" w:type="dxa"/>
            <w:tcBorders>
              <w:top w:val="single" w:sz="4" w:space="0" w:color="auto"/>
              <w:left w:val="single" w:sz="4" w:space="0" w:color="auto"/>
              <w:bottom w:val="single" w:sz="4" w:space="0" w:color="auto"/>
              <w:right w:val="single" w:sz="4" w:space="0" w:color="auto"/>
            </w:tcBorders>
          </w:tcPr>
          <w:p w14:paraId="79C77806" w14:textId="6B76B39F" w:rsidR="00D45179" w:rsidRPr="00D948C1" w:rsidRDefault="00D45179" w:rsidP="006C0086">
            <w:pPr>
              <w:spacing w:line="276" w:lineRule="auto"/>
              <w:rPr>
                <w:rFonts w:cs="Arial"/>
                <w:szCs w:val="24"/>
              </w:rPr>
            </w:pPr>
            <w:r w:rsidRPr="00D948C1">
              <w:rPr>
                <w:rFonts w:cs="Arial"/>
                <w:szCs w:val="24"/>
              </w:rPr>
              <w:t>Transfer from earmarked reserves</w:t>
            </w:r>
          </w:p>
        </w:tc>
        <w:tc>
          <w:tcPr>
            <w:tcW w:w="1701" w:type="dxa"/>
            <w:tcBorders>
              <w:top w:val="single" w:sz="4" w:space="0" w:color="auto"/>
              <w:left w:val="single" w:sz="4" w:space="0" w:color="auto"/>
              <w:bottom w:val="single" w:sz="4" w:space="0" w:color="auto"/>
              <w:right w:val="single" w:sz="4" w:space="0" w:color="auto"/>
            </w:tcBorders>
            <w:vAlign w:val="center"/>
          </w:tcPr>
          <w:p w14:paraId="74547DEE" w14:textId="518FA7C3" w:rsidR="00D45179" w:rsidRPr="00D948C1" w:rsidRDefault="00D45179" w:rsidP="006C0086">
            <w:pPr>
              <w:spacing w:line="276" w:lineRule="auto"/>
              <w:jc w:val="right"/>
              <w:rPr>
                <w:rFonts w:cs="Arial"/>
                <w:szCs w:val="24"/>
              </w:rPr>
            </w:pPr>
            <w:r w:rsidRPr="00D948C1">
              <w:rPr>
                <w:rFonts w:cs="Arial"/>
                <w:szCs w:val="24"/>
              </w:rPr>
              <w:t>(835)</w:t>
            </w:r>
          </w:p>
        </w:tc>
      </w:tr>
      <w:tr w:rsidR="0005100D" w:rsidRPr="00D948C1" w14:paraId="210BE176" w14:textId="77777777" w:rsidTr="00233A66">
        <w:tc>
          <w:tcPr>
            <w:tcW w:w="7796" w:type="dxa"/>
            <w:tcBorders>
              <w:top w:val="single" w:sz="4" w:space="0" w:color="auto"/>
              <w:left w:val="single" w:sz="4" w:space="0" w:color="auto"/>
              <w:bottom w:val="single" w:sz="4" w:space="0" w:color="auto"/>
              <w:right w:val="single" w:sz="4" w:space="0" w:color="auto"/>
            </w:tcBorders>
          </w:tcPr>
          <w:p w14:paraId="71CEC89D" w14:textId="183CD82A" w:rsidR="0005100D" w:rsidRPr="00D948C1" w:rsidRDefault="00A13728" w:rsidP="006C0086">
            <w:pPr>
              <w:spacing w:line="276" w:lineRule="auto"/>
              <w:rPr>
                <w:rFonts w:cs="Arial"/>
                <w:b/>
                <w:bCs/>
                <w:szCs w:val="24"/>
              </w:rPr>
            </w:pPr>
            <w:r w:rsidRPr="00D948C1">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F33383" w14:textId="2078D858" w:rsidR="0005100D" w:rsidRPr="00D948C1" w:rsidRDefault="00A13728" w:rsidP="006C0086">
            <w:pPr>
              <w:spacing w:line="276" w:lineRule="auto"/>
              <w:jc w:val="right"/>
              <w:rPr>
                <w:rFonts w:cs="Arial"/>
                <w:b/>
                <w:bCs/>
                <w:szCs w:val="24"/>
              </w:rPr>
            </w:pPr>
            <w:r w:rsidRPr="00D948C1">
              <w:rPr>
                <w:rFonts w:cs="Arial"/>
                <w:b/>
                <w:bCs/>
                <w:szCs w:val="24"/>
              </w:rPr>
              <w:t>(</w:t>
            </w:r>
            <w:r w:rsidR="00D45179" w:rsidRPr="00D948C1">
              <w:rPr>
                <w:rFonts w:cs="Arial"/>
                <w:b/>
                <w:bCs/>
                <w:szCs w:val="24"/>
              </w:rPr>
              <w:t>5,662</w:t>
            </w:r>
            <w:r w:rsidRPr="00D948C1">
              <w:rPr>
                <w:rFonts w:cs="Arial"/>
                <w:b/>
                <w:bCs/>
                <w:szCs w:val="24"/>
              </w:rPr>
              <w:t>)</w:t>
            </w:r>
          </w:p>
        </w:tc>
      </w:tr>
    </w:tbl>
    <w:p w14:paraId="6B65521D" w14:textId="6B838D54" w:rsidR="00296A09" w:rsidRPr="00D948C1" w:rsidRDefault="00296A09" w:rsidP="006C0086">
      <w:pPr>
        <w:spacing w:line="276" w:lineRule="auto"/>
        <w:rPr>
          <w:sz w:val="22"/>
        </w:rPr>
      </w:pPr>
      <w:r w:rsidRPr="00D948C1">
        <w:rPr>
          <w:sz w:val="22"/>
        </w:rPr>
        <w:br w:type="page"/>
      </w:r>
    </w:p>
    <w:p w14:paraId="290C20DE" w14:textId="77777777" w:rsidR="00EB122C" w:rsidRPr="00D948C1" w:rsidRDefault="00EB122C" w:rsidP="006C0086">
      <w:pPr>
        <w:spacing w:line="276" w:lineRule="auto"/>
        <w:ind w:left="720"/>
        <w:jc w:val="both"/>
        <w:rPr>
          <w:sz w:val="22"/>
        </w:rPr>
      </w:pPr>
    </w:p>
    <w:tbl>
      <w:tblPr>
        <w:tblStyle w:val="TableGrid"/>
        <w:tblW w:w="147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1735"/>
        <w:gridCol w:w="2376"/>
        <w:gridCol w:w="1701"/>
        <w:gridCol w:w="2551"/>
        <w:gridCol w:w="2727"/>
      </w:tblGrid>
      <w:tr w:rsidR="00E16D4F" w:rsidRPr="00D948C1" w14:paraId="3BC8F724"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5155A1B7" w14:textId="29678640" w:rsidR="00E16D4F" w:rsidRPr="00D948C1" w:rsidRDefault="00E16D4F" w:rsidP="006C0086">
            <w:pPr>
              <w:spacing w:line="276" w:lineRule="auto"/>
              <w:rPr>
                <w:bCs/>
                <w:color w:val="FFFFFF" w:themeColor="background1"/>
                <w:szCs w:val="24"/>
              </w:rPr>
            </w:pPr>
            <w:r w:rsidRPr="00D948C1">
              <w:rPr>
                <w:color w:val="FFFFFF" w:themeColor="background1"/>
                <w:szCs w:val="24"/>
              </w:rPr>
              <w:br w:type="page"/>
            </w:r>
            <w:r w:rsidR="00C7098F" w:rsidRPr="00D948C1">
              <w:rPr>
                <w:rFonts w:cs="Arial"/>
                <w:bCs/>
                <w:color w:val="FFFFFF" w:themeColor="background1"/>
                <w:szCs w:val="24"/>
              </w:rPr>
              <w:t>2022/23</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758903A8" w14:textId="77777777" w:rsidR="00E16D4F" w:rsidRPr="00D948C1" w:rsidRDefault="00E16D4F" w:rsidP="006C0086">
            <w:pPr>
              <w:spacing w:line="276" w:lineRule="auto"/>
              <w:jc w:val="right"/>
              <w:rPr>
                <w:color w:val="FFFFFF" w:themeColor="background1"/>
                <w:szCs w:val="24"/>
              </w:rPr>
            </w:pPr>
            <w:r w:rsidRPr="00D948C1">
              <w:rPr>
                <w:color w:val="FFFFFF" w:themeColor="background1"/>
                <w:szCs w:val="24"/>
              </w:rPr>
              <w:t>As reported for resource management</w:t>
            </w:r>
          </w:p>
          <w:p w14:paraId="5D29C4BE" w14:textId="50B97FB4" w:rsidR="00AE0F22" w:rsidRPr="00D948C1" w:rsidRDefault="00AE0F22" w:rsidP="006C0086">
            <w:pPr>
              <w:spacing w:line="276" w:lineRule="auto"/>
              <w:jc w:val="right"/>
              <w:rPr>
                <w:color w:val="FFFFFF" w:themeColor="background1"/>
                <w:szCs w:val="24"/>
              </w:rPr>
            </w:pPr>
            <w:r w:rsidRPr="00D948C1">
              <w:rPr>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15E6407E" w14:textId="77777777" w:rsidR="00AE0F22" w:rsidRPr="00D948C1" w:rsidRDefault="00E16D4F" w:rsidP="006C0086">
            <w:pPr>
              <w:spacing w:line="276" w:lineRule="auto"/>
              <w:jc w:val="right"/>
              <w:rPr>
                <w:color w:val="FFFFFF" w:themeColor="background1"/>
                <w:szCs w:val="24"/>
              </w:rPr>
            </w:pPr>
            <w:r w:rsidRPr="00D948C1">
              <w:rPr>
                <w:color w:val="FFFFFF" w:themeColor="background1"/>
                <w:szCs w:val="24"/>
              </w:rPr>
              <w:t>Adjustment to arrive at the amount chargeable to the General Fund (Note 1a)</w:t>
            </w:r>
          </w:p>
          <w:p w14:paraId="266D9001" w14:textId="36C2B9CF" w:rsidR="00E16D4F" w:rsidRPr="00D948C1" w:rsidRDefault="00AE0F22" w:rsidP="006C0086">
            <w:pPr>
              <w:spacing w:line="276" w:lineRule="auto"/>
              <w:jc w:val="right"/>
              <w:rPr>
                <w:color w:val="FFFFFF" w:themeColor="background1"/>
                <w:szCs w:val="24"/>
              </w:rPr>
            </w:pPr>
            <w:r w:rsidRPr="00D948C1">
              <w:rPr>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6A768C3" w14:textId="77777777" w:rsidR="00E16D4F" w:rsidRPr="00D948C1" w:rsidRDefault="00E16D4F" w:rsidP="006C0086">
            <w:pPr>
              <w:spacing w:line="276" w:lineRule="auto"/>
              <w:jc w:val="right"/>
              <w:rPr>
                <w:color w:val="FFFFFF" w:themeColor="background1"/>
                <w:szCs w:val="24"/>
              </w:rPr>
            </w:pPr>
            <w:r w:rsidRPr="00D948C1">
              <w:rPr>
                <w:color w:val="FFFFFF" w:themeColor="background1"/>
                <w:szCs w:val="24"/>
              </w:rPr>
              <w:t>Net chargeable to the General Fund</w:t>
            </w:r>
          </w:p>
          <w:p w14:paraId="543A4E2E" w14:textId="7AA4342F" w:rsidR="00AE0F22" w:rsidRPr="00D948C1" w:rsidRDefault="00AE0F22" w:rsidP="006C0086">
            <w:pPr>
              <w:spacing w:line="276" w:lineRule="auto"/>
              <w:jc w:val="right"/>
              <w:rPr>
                <w:color w:val="FFFFFF" w:themeColor="background1"/>
                <w:szCs w:val="24"/>
              </w:rPr>
            </w:pPr>
            <w:r w:rsidRPr="00D948C1">
              <w:rPr>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3BDC6DEB" w14:textId="77777777" w:rsidR="00E16D4F" w:rsidRPr="00D948C1" w:rsidRDefault="00E16D4F" w:rsidP="006C0086">
            <w:pPr>
              <w:spacing w:line="276" w:lineRule="auto"/>
              <w:jc w:val="right"/>
              <w:rPr>
                <w:color w:val="FFFFFF" w:themeColor="background1"/>
                <w:szCs w:val="24"/>
              </w:rPr>
            </w:pPr>
            <w:r w:rsidRPr="00D948C1">
              <w:rPr>
                <w:color w:val="FFFFFF" w:themeColor="background1"/>
                <w:szCs w:val="24"/>
              </w:rPr>
              <w:t>Adjustments between the Funding and Accounting basis (Note 1a)</w:t>
            </w:r>
          </w:p>
          <w:p w14:paraId="5BD6100E" w14:textId="359E954F" w:rsidR="00AE0F22" w:rsidRPr="00D948C1" w:rsidRDefault="00AE0F22" w:rsidP="006C0086">
            <w:pPr>
              <w:spacing w:line="276" w:lineRule="auto"/>
              <w:jc w:val="right"/>
              <w:rPr>
                <w:color w:val="FFFFFF" w:themeColor="background1"/>
                <w:szCs w:val="24"/>
              </w:rPr>
            </w:pPr>
            <w:r w:rsidRPr="00D948C1">
              <w:rPr>
                <w:color w:val="FFFFFF" w:themeColor="background1"/>
                <w:szCs w:val="24"/>
              </w:rPr>
              <w:t>£000</w:t>
            </w:r>
          </w:p>
        </w:tc>
        <w:tc>
          <w:tcPr>
            <w:tcW w:w="2727" w:type="dxa"/>
            <w:tcBorders>
              <w:top w:val="single" w:sz="4" w:space="0" w:color="auto"/>
              <w:left w:val="single" w:sz="4" w:space="0" w:color="auto"/>
              <w:bottom w:val="single" w:sz="4" w:space="0" w:color="auto"/>
              <w:right w:val="single" w:sz="4" w:space="0" w:color="auto"/>
            </w:tcBorders>
            <w:shd w:val="clear" w:color="auto" w:fill="BD2716"/>
            <w:vAlign w:val="center"/>
          </w:tcPr>
          <w:p w14:paraId="765E658F" w14:textId="77777777" w:rsidR="00E16D4F" w:rsidRPr="00D948C1" w:rsidRDefault="00E16D4F" w:rsidP="006C0086">
            <w:pPr>
              <w:spacing w:line="276" w:lineRule="auto"/>
              <w:jc w:val="right"/>
              <w:rPr>
                <w:color w:val="FFFFFF" w:themeColor="background1"/>
                <w:szCs w:val="24"/>
              </w:rPr>
            </w:pPr>
            <w:r w:rsidRPr="00D948C1">
              <w:rPr>
                <w:color w:val="FFFFFF" w:themeColor="background1"/>
                <w:szCs w:val="24"/>
              </w:rPr>
              <w:t>Net Expenditure in the Comprehensive Income and Expenditure Statement</w:t>
            </w:r>
          </w:p>
          <w:p w14:paraId="3E32BEA8" w14:textId="5FDA566A" w:rsidR="00AE0F22" w:rsidRPr="00D948C1" w:rsidRDefault="00AE0F22" w:rsidP="006C0086">
            <w:pPr>
              <w:spacing w:line="276" w:lineRule="auto"/>
              <w:jc w:val="right"/>
              <w:rPr>
                <w:color w:val="FFFFFF" w:themeColor="background1"/>
                <w:szCs w:val="24"/>
              </w:rPr>
            </w:pPr>
            <w:r w:rsidRPr="00D948C1">
              <w:rPr>
                <w:color w:val="FFFFFF" w:themeColor="background1"/>
                <w:szCs w:val="24"/>
              </w:rPr>
              <w:t>£000</w:t>
            </w:r>
          </w:p>
        </w:tc>
      </w:tr>
      <w:tr w:rsidR="00C7098F" w:rsidRPr="00D948C1" w14:paraId="4164065D" w14:textId="77777777" w:rsidTr="00233A66">
        <w:tc>
          <w:tcPr>
            <w:tcW w:w="3641" w:type="dxa"/>
            <w:tcBorders>
              <w:top w:val="single" w:sz="4" w:space="0" w:color="auto"/>
              <w:left w:val="single" w:sz="4" w:space="0" w:color="auto"/>
              <w:bottom w:val="single" w:sz="4" w:space="0" w:color="auto"/>
              <w:right w:val="single" w:sz="4" w:space="0" w:color="auto"/>
            </w:tcBorders>
          </w:tcPr>
          <w:p w14:paraId="0BA2B34E" w14:textId="450739CE" w:rsidR="00C7098F" w:rsidRPr="00D948C1" w:rsidRDefault="00C7098F" w:rsidP="006C0086">
            <w:pPr>
              <w:spacing w:line="276" w:lineRule="auto"/>
              <w:rPr>
                <w:szCs w:val="24"/>
              </w:rPr>
            </w:pPr>
            <w:r w:rsidRPr="00D948C1">
              <w:rPr>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7BC563C4" w14:textId="1EFA75E8" w:rsidR="00C7098F" w:rsidRPr="00D948C1" w:rsidRDefault="00C7098F" w:rsidP="006C0086">
            <w:pPr>
              <w:spacing w:line="276" w:lineRule="auto"/>
              <w:jc w:val="right"/>
              <w:rPr>
                <w:rFonts w:cs="Arial"/>
                <w:szCs w:val="24"/>
              </w:rPr>
            </w:pPr>
            <w:r w:rsidRPr="00D948C1">
              <w:rPr>
                <w:rFonts w:cs="Arial"/>
                <w:szCs w:val="24"/>
              </w:rPr>
              <w:t>41,946</w:t>
            </w:r>
          </w:p>
        </w:tc>
        <w:tc>
          <w:tcPr>
            <w:tcW w:w="2376" w:type="dxa"/>
            <w:tcBorders>
              <w:top w:val="single" w:sz="4" w:space="0" w:color="auto"/>
              <w:left w:val="single" w:sz="4" w:space="0" w:color="auto"/>
              <w:bottom w:val="single" w:sz="4" w:space="0" w:color="auto"/>
              <w:right w:val="single" w:sz="4" w:space="0" w:color="auto"/>
            </w:tcBorders>
            <w:vAlign w:val="center"/>
          </w:tcPr>
          <w:p w14:paraId="5E914B64" w14:textId="10381833"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7061878" w14:textId="04FBBFC3" w:rsidR="00C7098F" w:rsidRPr="00D948C1" w:rsidRDefault="00C7098F" w:rsidP="006C0086">
            <w:pPr>
              <w:spacing w:line="276" w:lineRule="auto"/>
              <w:jc w:val="right"/>
              <w:rPr>
                <w:rFonts w:cs="Arial"/>
                <w:szCs w:val="24"/>
              </w:rPr>
            </w:pPr>
            <w:r w:rsidRPr="00D948C1">
              <w:rPr>
                <w:rFonts w:cs="Arial"/>
                <w:szCs w:val="24"/>
              </w:rPr>
              <w:t xml:space="preserve">41,946 </w:t>
            </w:r>
          </w:p>
        </w:tc>
        <w:tc>
          <w:tcPr>
            <w:tcW w:w="2551" w:type="dxa"/>
            <w:tcBorders>
              <w:top w:val="single" w:sz="4" w:space="0" w:color="auto"/>
              <w:left w:val="single" w:sz="4" w:space="0" w:color="auto"/>
              <w:bottom w:val="single" w:sz="4" w:space="0" w:color="auto"/>
              <w:right w:val="single" w:sz="4" w:space="0" w:color="auto"/>
            </w:tcBorders>
            <w:vAlign w:val="center"/>
          </w:tcPr>
          <w:p w14:paraId="0FE55E9B" w14:textId="79AE6098" w:rsidR="00C7098F" w:rsidRPr="00D948C1" w:rsidRDefault="00C7098F" w:rsidP="006C0086">
            <w:pPr>
              <w:spacing w:line="276" w:lineRule="auto"/>
              <w:jc w:val="right"/>
              <w:rPr>
                <w:rFonts w:cs="Arial"/>
                <w:szCs w:val="24"/>
              </w:rPr>
            </w:pPr>
            <w:r w:rsidRPr="00D948C1">
              <w:rPr>
                <w:rFonts w:cs="Arial"/>
                <w:szCs w:val="24"/>
              </w:rPr>
              <w:t>(10,145)</w:t>
            </w:r>
          </w:p>
        </w:tc>
        <w:tc>
          <w:tcPr>
            <w:tcW w:w="2727" w:type="dxa"/>
            <w:tcBorders>
              <w:top w:val="single" w:sz="4" w:space="0" w:color="auto"/>
              <w:left w:val="single" w:sz="4" w:space="0" w:color="auto"/>
              <w:bottom w:val="single" w:sz="4" w:space="0" w:color="auto"/>
              <w:right w:val="single" w:sz="4" w:space="0" w:color="auto"/>
            </w:tcBorders>
            <w:vAlign w:val="center"/>
          </w:tcPr>
          <w:p w14:paraId="6D6B1DD3" w14:textId="2C0B3C05" w:rsidR="00C7098F" w:rsidRPr="00D948C1" w:rsidRDefault="00C7098F" w:rsidP="006C0086">
            <w:pPr>
              <w:spacing w:line="276" w:lineRule="auto"/>
              <w:jc w:val="right"/>
              <w:rPr>
                <w:rFonts w:cs="Arial"/>
                <w:szCs w:val="24"/>
              </w:rPr>
            </w:pPr>
            <w:r w:rsidRPr="00D948C1">
              <w:rPr>
                <w:rFonts w:cs="Arial"/>
                <w:szCs w:val="24"/>
              </w:rPr>
              <w:t xml:space="preserve">31,801 </w:t>
            </w:r>
          </w:p>
        </w:tc>
      </w:tr>
      <w:tr w:rsidR="00C7098F" w:rsidRPr="00D948C1" w14:paraId="0F9516BF" w14:textId="77777777" w:rsidTr="00233A66">
        <w:tc>
          <w:tcPr>
            <w:tcW w:w="3641" w:type="dxa"/>
            <w:tcBorders>
              <w:top w:val="single" w:sz="4" w:space="0" w:color="auto"/>
              <w:left w:val="single" w:sz="4" w:space="0" w:color="auto"/>
              <w:bottom w:val="single" w:sz="4" w:space="0" w:color="auto"/>
              <w:right w:val="single" w:sz="4" w:space="0" w:color="auto"/>
            </w:tcBorders>
          </w:tcPr>
          <w:p w14:paraId="3554E80A" w14:textId="6195A40E" w:rsidR="00C7098F" w:rsidRPr="00D948C1" w:rsidRDefault="00C7098F" w:rsidP="006C0086">
            <w:pPr>
              <w:spacing w:line="276" w:lineRule="auto"/>
              <w:rPr>
                <w:szCs w:val="24"/>
              </w:rPr>
            </w:pPr>
            <w:r w:rsidRPr="00D948C1">
              <w:rPr>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1556A1B3" w14:textId="14FC7176" w:rsidR="00C7098F" w:rsidRPr="00D948C1" w:rsidRDefault="00C7098F" w:rsidP="006C0086">
            <w:pPr>
              <w:spacing w:line="276" w:lineRule="auto"/>
              <w:jc w:val="right"/>
              <w:rPr>
                <w:rFonts w:cs="Arial"/>
                <w:szCs w:val="24"/>
              </w:rPr>
            </w:pPr>
            <w:r w:rsidRPr="00D948C1">
              <w:rPr>
                <w:rFonts w:cs="Arial"/>
                <w:szCs w:val="24"/>
              </w:rPr>
              <w:t xml:space="preserve">12,211 </w:t>
            </w:r>
          </w:p>
        </w:tc>
        <w:tc>
          <w:tcPr>
            <w:tcW w:w="2376" w:type="dxa"/>
            <w:tcBorders>
              <w:top w:val="single" w:sz="4" w:space="0" w:color="auto"/>
              <w:left w:val="single" w:sz="4" w:space="0" w:color="auto"/>
              <w:bottom w:val="single" w:sz="4" w:space="0" w:color="auto"/>
              <w:right w:val="single" w:sz="4" w:space="0" w:color="auto"/>
            </w:tcBorders>
            <w:vAlign w:val="center"/>
          </w:tcPr>
          <w:p w14:paraId="3786103E" w14:textId="2076B2F6"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D29E78D" w14:textId="47913AF4" w:rsidR="00C7098F" w:rsidRPr="00D948C1" w:rsidRDefault="00C7098F" w:rsidP="006C0086">
            <w:pPr>
              <w:spacing w:line="276" w:lineRule="auto"/>
              <w:jc w:val="right"/>
              <w:rPr>
                <w:rFonts w:cs="Arial"/>
                <w:szCs w:val="24"/>
              </w:rPr>
            </w:pPr>
            <w:r w:rsidRPr="00D948C1">
              <w:rPr>
                <w:rFonts w:cs="Arial"/>
                <w:szCs w:val="24"/>
              </w:rPr>
              <w:t xml:space="preserve">12,211 </w:t>
            </w:r>
          </w:p>
        </w:tc>
        <w:tc>
          <w:tcPr>
            <w:tcW w:w="2551" w:type="dxa"/>
            <w:tcBorders>
              <w:top w:val="single" w:sz="4" w:space="0" w:color="auto"/>
              <w:left w:val="single" w:sz="4" w:space="0" w:color="auto"/>
              <w:bottom w:val="single" w:sz="4" w:space="0" w:color="auto"/>
              <w:right w:val="single" w:sz="4" w:space="0" w:color="auto"/>
            </w:tcBorders>
            <w:vAlign w:val="center"/>
          </w:tcPr>
          <w:p w14:paraId="3BA4DB93" w14:textId="032E0F43" w:rsidR="00C7098F" w:rsidRPr="00D948C1" w:rsidRDefault="00C7098F" w:rsidP="006C0086">
            <w:pPr>
              <w:spacing w:line="276" w:lineRule="auto"/>
              <w:jc w:val="right"/>
              <w:rPr>
                <w:rFonts w:cs="Arial"/>
                <w:szCs w:val="24"/>
              </w:rPr>
            </w:pPr>
            <w:r w:rsidRPr="00D948C1">
              <w:rPr>
                <w:rFonts w:cs="Arial"/>
                <w:szCs w:val="24"/>
              </w:rPr>
              <w:t>(669)</w:t>
            </w:r>
          </w:p>
        </w:tc>
        <w:tc>
          <w:tcPr>
            <w:tcW w:w="2727" w:type="dxa"/>
            <w:tcBorders>
              <w:top w:val="single" w:sz="4" w:space="0" w:color="auto"/>
              <w:left w:val="single" w:sz="4" w:space="0" w:color="auto"/>
              <w:bottom w:val="single" w:sz="4" w:space="0" w:color="auto"/>
              <w:right w:val="single" w:sz="4" w:space="0" w:color="auto"/>
            </w:tcBorders>
            <w:vAlign w:val="center"/>
          </w:tcPr>
          <w:p w14:paraId="3E885797" w14:textId="02AE3FA2" w:rsidR="00C7098F" w:rsidRPr="00D948C1" w:rsidRDefault="00C7098F" w:rsidP="006C0086">
            <w:pPr>
              <w:spacing w:line="276" w:lineRule="auto"/>
              <w:jc w:val="right"/>
              <w:rPr>
                <w:rFonts w:cs="Arial"/>
                <w:szCs w:val="24"/>
              </w:rPr>
            </w:pPr>
            <w:r w:rsidRPr="00D948C1">
              <w:rPr>
                <w:rFonts w:cs="Arial"/>
                <w:szCs w:val="24"/>
              </w:rPr>
              <w:t xml:space="preserve">11,542 </w:t>
            </w:r>
          </w:p>
        </w:tc>
      </w:tr>
      <w:tr w:rsidR="00C7098F" w:rsidRPr="00D948C1" w14:paraId="18B857EF" w14:textId="77777777" w:rsidTr="00233A66">
        <w:tc>
          <w:tcPr>
            <w:tcW w:w="3641" w:type="dxa"/>
            <w:tcBorders>
              <w:top w:val="single" w:sz="4" w:space="0" w:color="auto"/>
              <w:left w:val="single" w:sz="4" w:space="0" w:color="auto"/>
              <w:bottom w:val="single" w:sz="4" w:space="0" w:color="auto"/>
              <w:right w:val="single" w:sz="4" w:space="0" w:color="auto"/>
            </w:tcBorders>
          </w:tcPr>
          <w:p w14:paraId="65965D86" w14:textId="6FFFF079" w:rsidR="00C7098F" w:rsidRPr="00D948C1" w:rsidRDefault="00C7098F" w:rsidP="006C0086">
            <w:pPr>
              <w:spacing w:line="276" w:lineRule="auto"/>
              <w:rPr>
                <w:szCs w:val="24"/>
              </w:rPr>
            </w:pPr>
            <w:r w:rsidRPr="00D948C1">
              <w:rPr>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548ECA1A" w14:textId="3289CD20" w:rsidR="00C7098F" w:rsidRPr="00D948C1" w:rsidRDefault="00C7098F" w:rsidP="006C0086">
            <w:pPr>
              <w:spacing w:line="276" w:lineRule="auto"/>
              <w:jc w:val="right"/>
              <w:rPr>
                <w:rFonts w:cs="Arial"/>
                <w:szCs w:val="24"/>
              </w:rPr>
            </w:pPr>
            <w:r w:rsidRPr="00D948C1">
              <w:rPr>
                <w:rFonts w:cs="Arial"/>
                <w:szCs w:val="24"/>
              </w:rPr>
              <w:t xml:space="preserve">1,934 </w:t>
            </w:r>
          </w:p>
        </w:tc>
        <w:tc>
          <w:tcPr>
            <w:tcW w:w="2376" w:type="dxa"/>
            <w:tcBorders>
              <w:top w:val="single" w:sz="4" w:space="0" w:color="auto"/>
              <w:left w:val="single" w:sz="4" w:space="0" w:color="auto"/>
              <w:bottom w:val="single" w:sz="4" w:space="0" w:color="auto"/>
              <w:right w:val="single" w:sz="4" w:space="0" w:color="auto"/>
            </w:tcBorders>
            <w:vAlign w:val="center"/>
          </w:tcPr>
          <w:p w14:paraId="04EC1AEB" w14:textId="6B5FDA9C"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70D16A2E" w14:textId="12419682" w:rsidR="00C7098F" w:rsidRPr="00D948C1" w:rsidRDefault="00C7098F" w:rsidP="006C0086">
            <w:pPr>
              <w:spacing w:line="276" w:lineRule="auto"/>
              <w:jc w:val="right"/>
              <w:rPr>
                <w:rFonts w:cs="Arial"/>
                <w:szCs w:val="24"/>
              </w:rPr>
            </w:pPr>
            <w:r w:rsidRPr="00D948C1">
              <w:rPr>
                <w:rFonts w:cs="Arial"/>
                <w:szCs w:val="24"/>
              </w:rPr>
              <w:t xml:space="preserve">1,934 </w:t>
            </w:r>
          </w:p>
        </w:tc>
        <w:tc>
          <w:tcPr>
            <w:tcW w:w="2551" w:type="dxa"/>
            <w:tcBorders>
              <w:top w:val="single" w:sz="4" w:space="0" w:color="auto"/>
              <w:left w:val="single" w:sz="4" w:space="0" w:color="auto"/>
              <w:bottom w:val="single" w:sz="4" w:space="0" w:color="auto"/>
              <w:right w:val="single" w:sz="4" w:space="0" w:color="auto"/>
            </w:tcBorders>
            <w:vAlign w:val="center"/>
          </w:tcPr>
          <w:p w14:paraId="2CE36B7C" w14:textId="6B0B42FA" w:rsidR="00C7098F" w:rsidRPr="00D948C1" w:rsidRDefault="00C7098F" w:rsidP="006C0086">
            <w:pPr>
              <w:spacing w:line="276" w:lineRule="auto"/>
              <w:jc w:val="right"/>
              <w:rPr>
                <w:rFonts w:cs="Arial"/>
                <w:szCs w:val="24"/>
              </w:rPr>
            </w:pPr>
            <w:r w:rsidRPr="00D948C1">
              <w:rPr>
                <w:rFonts w:cs="Arial"/>
                <w:szCs w:val="24"/>
              </w:rPr>
              <w:t xml:space="preserve">400 </w:t>
            </w:r>
          </w:p>
        </w:tc>
        <w:tc>
          <w:tcPr>
            <w:tcW w:w="2727" w:type="dxa"/>
            <w:tcBorders>
              <w:top w:val="single" w:sz="4" w:space="0" w:color="auto"/>
              <w:left w:val="single" w:sz="4" w:space="0" w:color="auto"/>
              <w:bottom w:val="single" w:sz="4" w:space="0" w:color="auto"/>
              <w:right w:val="single" w:sz="4" w:space="0" w:color="auto"/>
            </w:tcBorders>
            <w:vAlign w:val="center"/>
          </w:tcPr>
          <w:p w14:paraId="2B9F48CB" w14:textId="13BA83A3" w:rsidR="00C7098F" w:rsidRPr="00D948C1" w:rsidRDefault="00C7098F" w:rsidP="006C0086">
            <w:pPr>
              <w:spacing w:line="276" w:lineRule="auto"/>
              <w:jc w:val="right"/>
              <w:rPr>
                <w:rFonts w:cs="Arial"/>
                <w:szCs w:val="24"/>
              </w:rPr>
            </w:pPr>
            <w:r w:rsidRPr="00D948C1">
              <w:rPr>
                <w:rFonts w:cs="Arial"/>
                <w:szCs w:val="24"/>
              </w:rPr>
              <w:t xml:space="preserve">2,334 </w:t>
            </w:r>
          </w:p>
        </w:tc>
      </w:tr>
      <w:tr w:rsidR="00C7098F" w:rsidRPr="00D948C1" w14:paraId="5F303DEF" w14:textId="77777777" w:rsidTr="00233A66">
        <w:tc>
          <w:tcPr>
            <w:tcW w:w="3641" w:type="dxa"/>
            <w:tcBorders>
              <w:top w:val="single" w:sz="4" w:space="0" w:color="auto"/>
              <w:left w:val="single" w:sz="4" w:space="0" w:color="auto"/>
              <w:bottom w:val="single" w:sz="4" w:space="0" w:color="auto"/>
              <w:right w:val="single" w:sz="4" w:space="0" w:color="auto"/>
            </w:tcBorders>
          </w:tcPr>
          <w:p w14:paraId="73122A89" w14:textId="37DE7A9B" w:rsidR="00C7098F" w:rsidRPr="00D948C1" w:rsidRDefault="00C7098F" w:rsidP="006C0086">
            <w:pPr>
              <w:spacing w:line="276" w:lineRule="auto"/>
              <w:rPr>
                <w:szCs w:val="24"/>
              </w:rPr>
            </w:pPr>
            <w:r w:rsidRPr="00D948C1">
              <w:rPr>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1AF6CB40" w14:textId="6818ACA2" w:rsidR="00C7098F" w:rsidRPr="00D948C1" w:rsidRDefault="00C7098F" w:rsidP="006C0086">
            <w:pPr>
              <w:spacing w:line="276" w:lineRule="auto"/>
              <w:jc w:val="right"/>
              <w:rPr>
                <w:rFonts w:cs="Arial"/>
                <w:szCs w:val="24"/>
              </w:rPr>
            </w:pPr>
            <w:r w:rsidRPr="00D948C1">
              <w:rPr>
                <w:rFonts w:cs="Arial"/>
                <w:szCs w:val="24"/>
              </w:rPr>
              <w:t xml:space="preserve">6,240 </w:t>
            </w:r>
          </w:p>
        </w:tc>
        <w:tc>
          <w:tcPr>
            <w:tcW w:w="2376" w:type="dxa"/>
            <w:tcBorders>
              <w:top w:val="single" w:sz="4" w:space="0" w:color="auto"/>
              <w:left w:val="single" w:sz="4" w:space="0" w:color="auto"/>
              <w:bottom w:val="single" w:sz="4" w:space="0" w:color="auto"/>
              <w:right w:val="single" w:sz="4" w:space="0" w:color="auto"/>
            </w:tcBorders>
            <w:vAlign w:val="center"/>
          </w:tcPr>
          <w:p w14:paraId="08E004EF" w14:textId="44EC53DD"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529FE86" w14:textId="51911E7C" w:rsidR="00C7098F" w:rsidRPr="00D948C1" w:rsidRDefault="00C7098F" w:rsidP="006C0086">
            <w:pPr>
              <w:spacing w:line="276" w:lineRule="auto"/>
              <w:jc w:val="right"/>
              <w:rPr>
                <w:rFonts w:cs="Arial"/>
                <w:szCs w:val="24"/>
              </w:rPr>
            </w:pPr>
            <w:r w:rsidRPr="00D948C1">
              <w:rPr>
                <w:rFonts w:cs="Arial"/>
                <w:szCs w:val="24"/>
              </w:rPr>
              <w:t xml:space="preserve">6,240 </w:t>
            </w:r>
          </w:p>
        </w:tc>
        <w:tc>
          <w:tcPr>
            <w:tcW w:w="2551" w:type="dxa"/>
            <w:tcBorders>
              <w:top w:val="single" w:sz="4" w:space="0" w:color="auto"/>
              <w:left w:val="single" w:sz="4" w:space="0" w:color="auto"/>
              <w:bottom w:val="single" w:sz="4" w:space="0" w:color="auto"/>
              <w:right w:val="single" w:sz="4" w:space="0" w:color="auto"/>
            </w:tcBorders>
            <w:vAlign w:val="center"/>
          </w:tcPr>
          <w:p w14:paraId="071608EA" w14:textId="32CD3A11" w:rsidR="00C7098F" w:rsidRPr="00D948C1" w:rsidRDefault="00C7098F" w:rsidP="006C0086">
            <w:pPr>
              <w:spacing w:line="276" w:lineRule="auto"/>
              <w:jc w:val="right"/>
              <w:rPr>
                <w:rFonts w:cs="Arial"/>
                <w:szCs w:val="24"/>
              </w:rPr>
            </w:pPr>
            <w:r w:rsidRPr="00D948C1">
              <w:rPr>
                <w:rFonts w:cs="Arial"/>
                <w:szCs w:val="24"/>
              </w:rPr>
              <w:t>(20)</w:t>
            </w:r>
          </w:p>
        </w:tc>
        <w:tc>
          <w:tcPr>
            <w:tcW w:w="2727" w:type="dxa"/>
            <w:tcBorders>
              <w:top w:val="single" w:sz="4" w:space="0" w:color="auto"/>
              <w:left w:val="single" w:sz="4" w:space="0" w:color="auto"/>
              <w:bottom w:val="single" w:sz="4" w:space="0" w:color="auto"/>
              <w:right w:val="single" w:sz="4" w:space="0" w:color="auto"/>
            </w:tcBorders>
            <w:vAlign w:val="center"/>
          </w:tcPr>
          <w:p w14:paraId="7360AF41" w14:textId="61FDEE51" w:rsidR="00C7098F" w:rsidRPr="00D948C1" w:rsidRDefault="00C7098F" w:rsidP="006C0086">
            <w:pPr>
              <w:spacing w:line="276" w:lineRule="auto"/>
              <w:jc w:val="right"/>
              <w:rPr>
                <w:rFonts w:cs="Arial"/>
                <w:szCs w:val="24"/>
              </w:rPr>
            </w:pPr>
            <w:r w:rsidRPr="00D948C1">
              <w:rPr>
                <w:rFonts w:cs="Arial"/>
                <w:szCs w:val="24"/>
              </w:rPr>
              <w:t xml:space="preserve">6,220 </w:t>
            </w:r>
          </w:p>
        </w:tc>
      </w:tr>
      <w:tr w:rsidR="00C7098F" w:rsidRPr="00D948C1" w14:paraId="0AFDD516" w14:textId="77777777" w:rsidTr="00233A66">
        <w:tc>
          <w:tcPr>
            <w:tcW w:w="3641" w:type="dxa"/>
            <w:tcBorders>
              <w:top w:val="single" w:sz="4" w:space="0" w:color="auto"/>
              <w:left w:val="single" w:sz="4" w:space="0" w:color="auto"/>
              <w:bottom w:val="single" w:sz="4" w:space="0" w:color="auto"/>
              <w:right w:val="single" w:sz="4" w:space="0" w:color="auto"/>
            </w:tcBorders>
          </w:tcPr>
          <w:p w14:paraId="58C4D443" w14:textId="533FF155" w:rsidR="00C7098F" w:rsidRPr="00D948C1" w:rsidRDefault="00C7098F" w:rsidP="006C0086">
            <w:pPr>
              <w:spacing w:line="276" w:lineRule="auto"/>
              <w:rPr>
                <w:szCs w:val="24"/>
              </w:rPr>
            </w:pPr>
            <w:r w:rsidRPr="00D948C1">
              <w:rPr>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120FF166" w14:textId="28CB0FF5" w:rsidR="00C7098F" w:rsidRPr="00D948C1" w:rsidRDefault="00C7098F" w:rsidP="006C0086">
            <w:pPr>
              <w:spacing w:line="276" w:lineRule="auto"/>
              <w:jc w:val="right"/>
              <w:rPr>
                <w:rFonts w:cs="Arial"/>
                <w:szCs w:val="24"/>
              </w:rPr>
            </w:pPr>
            <w:r w:rsidRPr="00D948C1">
              <w:rPr>
                <w:rFonts w:cs="Arial"/>
                <w:szCs w:val="24"/>
              </w:rPr>
              <w:t xml:space="preserve">1,141 </w:t>
            </w:r>
          </w:p>
        </w:tc>
        <w:tc>
          <w:tcPr>
            <w:tcW w:w="2376" w:type="dxa"/>
            <w:tcBorders>
              <w:top w:val="single" w:sz="4" w:space="0" w:color="auto"/>
              <w:left w:val="single" w:sz="4" w:space="0" w:color="auto"/>
              <w:bottom w:val="single" w:sz="4" w:space="0" w:color="auto"/>
              <w:right w:val="single" w:sz="4" w:space="0" w:color="auto"/>
            </w:tcBorders>
            <w:vAlign w:val="center"/>
          </w:tcPr>
          <w:p w14:paraId="08AC8E7B" w14:textId="75FFB5F4"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EE2AF8B" w14:textId="503CA57E" w:rsidR="00C7098F" w:rsidRPr="00D948C1" w:rsidRDefault="00C7098F" w:rsidP="006C0086">
            <w:pPr>
              <w:spacing w:line="276" w:lineRule="auto"/>
              <w:jc w:val="right"/>
              <w:rPr>
                <w:rFonts w:cs="Arial"/>
                <w:szCs w:val="24"/>
              </w:rPr>
            </w:pPr>
            <w:r w:rsidRPr="00D948C1">
              <w:rPr>
                <w:rFonts w:cs="Arial"/>
                <w:szCs w:val="24"/>
              </w:rPr>
              <w:t xml:space="preserve">1,141 </w:t>
            </w:r>
          </w:p>
        </w:tc>
        <w:tc>
          <w:tcPr>
            <w:tcW w:w="2551" w:type="dxa"/>
            <w:tcBorders>
              <w:top w:val="single" w:sz="4" w:space="0" w:color="auto"/>
              <w:left w:val="single" w:sz="4" w:space="0" w:color="auto"/>
              <w:bottom w:val="single" w:sz="4" w:space="0" w:color="auto"/>
              <w:right w:val="single" w:sz="4" w:space="0" w:color="auto"/>
            </w:tcBorders>
            <w:vAlign w:val="center"/>
          </w:tcPr>
          <w:p w14:paraId="39753D71" w14:textId="0C20D19B" w:rsidR="00C7098F" w:rsidRPr="00D948C1" w:rsidRDefault="00C7098F" w:rsidP="006C0086">
            <w:pPr>
              <w:spacing w:line="276" w:lineRule="auto"/>
              <w:jc w:val="right"/>
              <w:rPr>
                <w:rFonts w:cs="Arial"/>
                <w:szCs w:val="24"/>
              </w:rPr>
            </w:pPr>
            <w:r w:rsidRPr="00D948C1">
              <w:rPr>
                <w:rFonts w:cs="Arial"/>
                <w:szCs w:val="24"/>
              </w:rPr>
              <w:t xml:space="preserve">- </w:t>
            </w:r>
          </w:p>
        </w:tc>
        <w:tc>
          <w:tcPr>
            <w:tcW w:w="2727" w:type="dxa"/>
            <w:tcBorders>
              <w:top w:val="single" w:sz="4" w:space="0" w:color="auto"/>
              <w:left w:val="single" w:sz="4" w:space="0" w:color="auto"/>
              <w:bottom w:val="single" w:sz="4" w:space="0" w:color="auto"/>
              <w:right w:val="single" w:sz="4" w:space="0" w:color="auto"/>
            </w:tcBorders>
            <w:vAlign w:val="center"/>
          </w:tcPr>
          <w:p w14:paraId="61C2D8A3" w14:textId="7DD2C788" w:rsidR="00C7098F" w:rsidRPr="00D948C1" w:rsidRDefault="00C7098F" w:rsidP="006C0086">
            <w:pPr>
              <w:spacing w:line="276" w:lineRule="auto"/>
              <w:jc w:val="right"/>
              <w:rPr>
                <w:rFonts w:cs="Arial"/>
                <w:szCs w:val="24"/>
              </w:rPr>
            </w:pPr>
            <w:r w:rsidRPr="00D948C1">
              <w:rPr>
                <w:rFonts w:cs="Arial"/>
                <w:szCs w:val="24"/>
              </w:rPr>
              <w:t xml:space="preserve">1,141 </w:t>
            </w:r>
          </w:p>
        </w:tc>
      </w:tr>
      <w:tr w:rsidR="00C7098F" w:rsidRPr="00D948C1" w14:paraId="07B6C306" w14:textId="77777777" w:rsidTr="00233A66">
        <w:tc>
          <w:tcPr>
            <w:tcW w:w="3641" w:type="dxa"/>
            <w:tcBorders>
              <w:top w:val="single" w:sz="4" w:space="0" w:color="auto"/>
              <w:left w:val="single" w:sz="4" w:space="0" w:color="auto"/>
              <w:bottom w:val="single" w:sz="4" w:space="0" w:color="auto"/>
              <w:right w:val="single" w:sz="4" w:space="0" w:color="auto"/>
            </w:tcBorders>
          </w:tcPr>
          <w:p w14:paraId="46E467BC" w14:textId="58807D32" w:rsidR="00C7098F" w:rsidRPr="00D948C1" w:rsidRDefault="00C7098F" w:rsidP="006C0086">
            <w:pPr>
              <w:spacing w:line="276" w:lineRule="auto"/>
              <w:rPr>
                <w:szCs w:val="24"/>
              </w:rPr>
            </w:pPr>
            <w:r w:rsidRPr="00D948C1">
              <w:rPr>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436C80B9" w14:textId="47CC542F" w:rsidR="00C7098F" w:rsidRPr="00D948C1" w:rsidRDefault="00C7098F" w:rsidP="006C0086">
            <w:pPr>
              <w:spacing w:line="276" w:lineRule="auto"/>
              <w:jc w:val="right"/>
              <w:rPr>
                <w:rFonts w:cs="Arial"/>
                <w:szCs w:val="24"/>
              </w:rPr>
            </w:pPr>
            <w:r w:rsidRPr="00D948C1">
              <w:rPr>
                <w:rFonts w:cs="Arial"/>
                <w:szCs w:val="24"/>
              </w:rPr>
              <w:t xml:space="preserve">1,440 </w:t>
            </w:r>
          </w:p>
        </w:tc>
        <w:tc>
          <w:tcPr>
            <w:tcW w:w="2376" w:type="dxa"/>
            <w:tcBorders>
              <w:top w:val="single" w:sz="4" w:space="0" w:color="auto"/>
              <w:left w:val="single" w:sz="4" w:space="0" w:color="auto"/>
              <w:bottom w:val="single" w:sz="4" w:space="0" w:color="auto"/>
              <w:right w:val="single" w:sz="4" w:space="0" w:color="auto"/>
            </w:tcBorders>
            <w:vAlign w:val="center"/>
          </w:tcPr>
          <w:p w14:paraId="3493027D" w14:textId="480A6954"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6D3419E" w14:textId="533BD81D" w:rsidR="00C7098F" w:rsidRPr="00D948C1" w:rsidRDefault="00C7098F" w:rsidP="006C0086">
            <w:pPr>
              <w:spacing w:line="276" w:lineRule="auto"/>
              <w:jc w:val="right"/>
              <w:rPr>
                <w:rFonts w:cs="Arial"/>
                <w:szCs w:val="24"/>
              </w:rPr>
            </w:pPr>
            <w:r w:rsidRPr="00D948C1">
              <w:rPr>
                <w:rFonts w:cs="Arial"/>
                <w:szCs w:val="24"/>
              </w:rPr>
              <w:t xml:space="preserve">1,440 </w:t>
            </w:r>
          </w:p>
        </w:tc>
        <w:tc>
          <w:tcPr>
            <w:tcW w:w="2551" w:type="dxa"/>
            <w:tcBorders>
              <w:top w:val="single" w:sz="4" w:space="0" w:color="auto"/>
              <w:left w:val="single" w:sz="4" w:space="0" w:color="auto"/>
              <w:bottom w:val="single" w:sz="4" w:space="0" w:color="auto"/>
              <w:right w:val="single" w:sz="4" w:space="0" w:color="auto"/>
            </w:tcBorders>
            <w:vAlign w:val="center"/>
          </w:tcPr>
          <w:p w14:paraId="7188F375" w14:textId="3076FCD0" w:rsidR="00C7098F" w:rsidRPr="00D948C1" w:rsidRDefault="00C7098F" w:rsidP="006C0086">
            <w:pPr>
              <w:spacing w:line="276" w:lineRule="auto"/>
              <w:jc w:val="right"/>
              <w:rPr>
                <w:rFonts w:cs="Arial"/>
                <w:szCs w:val="24"/>
              </w:rPr>
            </w:pPr>
            <w:r w:rsidRPr="00D948C1">
              <w:rPr>
                <w:rFonts w:cs="Arial"/>
                <w:szCs w:val="24"/>
              </w:rPr>
              <w:t xml:space="preserve">454 </w:t>
            </w:r>
          </w:p>
        </w:tc>
        <w:tc>
          <w:tcPr>
            <w:tcW w:w="2727" w:type="dxa"/>
            <w:tcBorders>
              <w:top w:val="single" w:sz="4" w:space="0" w:color="auto"/>
              <w:left w:val="single" w:sz="4" w:space="0" w:color="auto"/>
              <w:bottom w:val="single" w:sz="4" w:space="0" w:color="auto"/>
              <w:right w:val="single" w:sz="4" w:space="0" w:color="auto"/>
            </w:tcBorders>
            <w:vAlign w:val="center"/>
          </w:tcPr>
          <w:p w14:paraId="2DF0BE06" w14:textId="6A13E7D3" w:rsidR="00C7098F" w:rsidRPr="00D948C1" w:rsidRDefault="00C7098F" w:rsidP="006C0086">
            <w:pPr>
              <w:spacing w:line="276" w:lineRule="auto"/>
              <w:jc w:val="right"/>
              <w:rPr>
                <w:rFonts w:cs="Arial"/>
                <w:szCs w:val="24"/>
              </w:rPr>
            </w:pPr>
            <w:r w:rsidRPr="00D948C1">
              <w:rPr>
                <w:rFonts w:cs="Arial"/>
                <w:szCs w:val="24"/>
              </w:rPr>
              <w:t xml:space="preserve">1,894 </w:t>
            </w:r>
          </w:p>
        </w:tc>
      </w:tr>
      <w:tr w:rsidR="00C7098F" w:rsidRPr="00D948C1" w14:paraId="7AE29BD8" w14:textId="77777777" w:rsidTr="00233A66">
        <w:tc>
          <w:tcPr>
            <w:tcW w:w="3641" w:type="dxa"/>
            <w:tcBorders>
              <w:top w:val="single" w:sz="4" w:space="0" w:color="auto"/>
              <w:left w:val="single" w:sz="4" w:space="0" w:color="auto"/>
              <w:bottom w:val="single" w:sz="4" w:space="0" w:color="auto"/>
              <w:right w:val="single" w:sz="4" w:space="0" w:color="auto"/>
            </w:tcBorders>
          </w:tcPr>
          <w:p w14:paraId="234A9DA8" w14:textId="5AF3EE37" w:rsidR="00C7098F" w:rsidRPr="00D948C1" w:rsidRDefault="00C7098F" w:rsidP="006C0086">
            <w:pPr>
              <w:spacing w:line="276" w:lineRule="auto"/>
              <w:rPr>
                <w:b/>
                <w:szCs w:val="24"/>
              </w:rPr>
            </w:pPr>
            <w:r w:rsidRPr="00D948C1">
              <w:rPr>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008F0A2E" w14:textId="6A5C3242" w:rsidR="00C7098F" w:rsidRPr="00D948C1" w:rsidRDefault="00C7098F" w:rsidP="006C0086">
            <w:pPr>
              <w:spacing w:line="276" w:lineRule="auto"/>
              <w:jc w:val="right"/>
              <w:rPr>
                <w:rFonts w:cs="Arial"/>
                <w:b/>
                <w:bCs/>
                <w:szCs w:val="24"/>
              </w:rPr>
            </w:pPr>
            <w:r w:rsidRPr="00D948C1">
              <w:rPr>
                <w:rFonts w:cs="Arial"/>
                <w:b/>
                <w:bCs/>
                <w:szCs w:val="24"/>
              </w:rPr>
              <w:t xml:space="preserve">64,912 </w:t>
            </w:r>
          </w:p>
        </w:tc>
        <w:tc>
          <w:tcPr>
            <w:tcW w:w="2376" w:type="dxa"/>
            <w:tcBorders>
              <w:top w:val="single" w:sz="4" w:space="0" w:color="auto"/>
              <w:left w:val="single" w:sz="4" w:space="0" w:color="auto"/>
              <w:bottom w:val="single" w:sz="4" w:space="0" w:color="auto"/>
              <w:right w:val="single" w:sz="4" w:space="0" w:color="auto"/>
            </w:tcBorders>
            <w:vAlign w:val="center"/>
          </w:tcPr>
          <w:p w14:paraId="0A863984" w14:textId="38F732FB" w:rsidR="00C7098F" w:rsidRPr="00D948C1" w:rsidRDefault="00C7098F" w:rsidP="006C0086">
            <w:pPr>
              <w:spacing w:line="276" w:lineRule="auto"/>
              <w:jc w:val="right"/>
              <w:rPr>
                <w:rFonts w:cs="Arial"/>
                <w:b/>
                <w:bCs/>
                <w:szCs w:val="24"/>
              </w:rPr>
            </w:pPr>
            <w:r w:rsidRPr="00D948C1">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A593646" w14:textId="7EFF5806" w:rsidR="00C7098F" w:rsidRPr="00D948C1" w:rsidRDefault="00C7098F" w:rsidP="006C0086">
            <w:pPr>
              <w:spacing w:line="276" w:lineRule="auto"/>
              <w:jc w:val="right"/>
              <w:rPr>
                <w:rFonts w:cs="Arial"/>
                <w:b/>
                <w:bCs/>
                <w:szCs w:val="24"/>
              </w:rPr>
            </w:pPr>
            <w:r w:rsidRPr="00D948C1">
              <w:rPr>
                <w:rFonts w:cs="Arial"/>
                <w:b/>
                <w:bCs/>
                <w:szCs w:val="24"/>
              </w:rPr>
              <w:t xml:space="preserve">64,912 </w:t>
            </w:r>
          </w:p>
        </w:tc>
        <w:tc>
          <w:tcPr>
            <w:tcW w:w="2551" w:type="dxa"/>
            <w:tcBorders>
              <w:top w:val="single" w:sz="4" w:space="0" w:color="auto"/>
              <w:left w:val="single" w:sz="4" w:space="0" w:color="auto"/>
              <w:bottom w:val="single" w:sz="4" w:space="0" w:color="auto"/>
              <w:right w:val="single" w:sz="4" w:space="0" w:color="auto"/>
            </w:tcBorders>
            <w:vAlign w:val="center"/>
          </w:tcPr>
          <w:p w14:paraId="2B83FF0C" w14:textId="62F69961" w:rsidR="00C7098F" w:rsidRPr="00D948C1" w:rsidRDefault="00C7098F" w:rsidP="006C0086">
            <w:pPr>
              <w:spacing w:line="276" w:lineRule="auto"/>
              <w:jc w:val="right"/>
              <w:rPr>
                <w:rFonts w:cs="Arial"/>
                <w:b/>
                <w:bCs/>
                <w:szCs w:val="24"/>
              </w:rPr>
            </w:pPr>
            <w:r w:rsidRPr="00D948C1">
              <w:rPr>
                <w:rFonts w:cs="Arial"/>
                <w:b/>
                <w:bCs/>
                <w:szCs w:val="24"/>
              </w:rPr>
              <w:t>(9,980)</w:t>
            </w:r>
          </w:p>
        </w:tc>
        <w:tc>
          <w:tcPr>
            <w:tcW w:w="2727" w:type="dxa"/>
            <w:tcBorders>
              <w:top w:val="single" w:sz="4" w:space="0" w:color="auto"/>
              <w:left w:val="single" w:sz="4" w:space="0" w:color="auto"/>
              <w:bottom w:val="single" w:sz="4" w:space="0" w:color="auto"/>
              <w:right w:val="single" w:sz="4" w:space="0" w:color="auto"/>
            </w:tcBorders>
            <w:vAlign w:val="center"/>
          </w:tcPr>
          <w:p w14:paraId="01DC48D4" w14:textId="718C634D" w:rsidR="00C7098F" w:rsidRPr="00D948C1" w:rsidRDefault="00C7098F" w:rsidP="006C0086">
            <w:pPr>
              <w:spacing w:line="276" w:lineRule="auto"/>
              <w:jc w:val="right"/>
              <w:rPr>
                <w:rFonts w:cs="Arial"/>
                <w:b/>
                <w:bCs/>
                <w:szCs w:val="24"/>
              </w:rPr>
            </w:pPr>
            <w:r w:rsidRPr="00D948C1">
              <w:rPr>
                <w:rFonts w:cs="Arial"/>
                <w:b/>
                <w:szCs w:val="24"/>
              </w:rPr>
              <w:t xml:space="preserve">54,932 </w:t>
            </w:r>
          </w:p>
        </w:tc>
      </w:tr>
      <w:tr w:rsidR="00C7098F" w:rsidRPr="00D948C1" w14:paraId="65F7F10C" w14:textId="77777777" w:rsidTr="00233A66">
        <w:tc>
          <w:tcPr>
            <w:tcW w:w="3641" w:type="dxa"/>
            <w:tcBorders>
              <w:top w:val="single" w:sz="4" w:space="0" w:color="auto"/>
              <w:left w:val="single" w:sz="4" w:space="0" w:color="auto"/>
              <w:bottom w:val="single" w:sz="4" w:space="0" w:color="auto"/>
              <w:right w:val="single" w:sz="4" w:space="0" w:color="auto"/>
            </w:tcBorders>
          </w:tcPr>
          <w:p w14:paraId="2A418BC7" w14:textId="1DE1D870" w:rsidR="00C7098F" w:rsidRPr="00D948C1" w:rsidRDefault="00C7098F" w:rsidP="006C0086">
            <w:pPr>
              <w:spacing w:line="276" w:lineRule="auto"/>
              <w:rPr>
                <w:szCs w:val="24"/>
              </w:rPr>
            </w:pPr>
            <w:r w:rsidRPr="00D948C1">
              <w:rPr>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2F9C090A" w14:textId="3F3ADEFF" w:rsidR="00C7098F" w:rsidRPr="00D948C1" w:rsidRDefault="00C7098F" w:rsidP="006C0086">
            <w:pPr>
              <w:spacing w:line="276" w:lineRule="auto"/>
              <w:jc w:val="right"/>
              <w:rPr>
                <w:rFonts w:cs="Arial"/>
                <w:szCs w:val="24"/>
              </w:rPr>
            </w:pPr>
            <w:r w:rsidRPr="00D948C1">
              <w:rPr>
                <w:rFonts w:cs="Arial"/>
                <w:szCs w:val="24"/>
              </w:rPr>
              <w:t>(63,239)</w:t>
            </w:r>
          </w:p>
        </w:tc>
        <w:tc>
          <w:tcPr>
            <w:tcW w:w="2376" w:type="dxa"/>
            <w:tcBorders>
              <w:top w:val="single" w:sz="4" w:space="0" w:color="auto"/>
              <w:left w:val="single" w:sz="4" w:space="0" w:color="auto"/>
              <w:bottom w:val="single" w:sz="4" w:space="0" w:color="auto"/>
              <w:right w:val="single" w:sz="4" w:space="0" w:color="auto"/>
            </w:tcBorders>
            <w:vAlign w:val="center"/>
          </w:tcPr>
          <w:p w14:paraId="1013A3DF" w14:textId="4DB45D4B" w:rsidR="00C7098F" w:rsidRPr="00D948C1" w:rsidRDefault="00C7098F" w:rsidP="006C0086">
            <w:pPr>
              <w:spacing w:line="276" w:lineRule="auto"/>
              <w:jc w:val="right"/>
              <w:rPr>
                <w:rFonts w:cs="Arial"/>
                <w:szCs w:val="24"/>
              </w:rPr>
            </w:pPr>
            <w:r w:rsidRPr="00D948C1">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C825051" w14:textId="16C243AC" w:rsidR="00C7098F" w:rsidRPr="00D948C1" w:rsidRDefault="00C7098F" w:rsidP="006C0086">
            <w:pPr>
              <w:spacing w:line="276" w:lineRule="auto"/>
              <w:jc w:val="right"/>
              <w:rPr>
                <w:rFonts w:cs="Arial"/>
                <w:szCs w:val="24"/>
              </w:rPr>
            </w:pPr>
            <w:r w:rsidRPr="00D948C1">
              <w:rPr>
                <w:rFonts w:cs="Arial"/>
                <w:szCs w:val="24"/>
              </w:rPr>
              <w:t>(63,239)</w:t>
            </w:r>
          </w:p>
        </w:tc>
        <w:tc>
          <w:tcPr>
            <w:tcW w:w="2551" w:type="dxa"/>
            <w:tcBorders>
              <w:top w:val="single" w:sz="4" w:space="0" w:color="auto"/>
              <w:left w:val="single" w:sz="4" w:space="0" w:color="auto"/>
              <w:bottom w:val="single" w:sz="4" w:space="0" w:color="auto"/>
              <w:right w:val="single" w:sz="4" w:space="0" w:color="auto"/>
            </w:tcBorders>
            <w:vAlign w:val="center"/>
          </w:tcPr>
          <w:p w14:paraId="0E501702" w14:textId="7766C4C8" w:rsidR="00C7098F" w:rsidRPr="00D948C1" w:rsidRDefault="00C7098F" w:rsidP="006C0086">
            <w:pPr>
              <w:spacing w:line="276" w:lineRule="auto"/>
              <w:jc w:val="right"/>
              <w:rPr>
                <w:rFonts w:cs="Arial"/>
                <w:szCs w:val="24"/>
              </w:rPr>
            </w:pPr>
            <w:r w:rsidRPr="00D948C1">
              <w:rPr>
                <w:rFonts w:cs="Arial"/>
                <w:szCs w:val="24"/>
              </w:rPr>
              <w:t xml:space="preserve">23,654 </w:t>
            </w:r>
          </w:p>
        </w:tc>
        <w:tc>
          <w:tcPr>
            <w:tcW w:w="2727" w:type="dxa"/>
            <w:tcBorders>
              <w:top w:val="single" w:sz="4" w:space="0" w:color="auto"/>
              <w:left w:val="single" w:sz="4" w:space="0" w:color="auto"/>
              <w:bottom w:val="single" w:sz="4" w:space="0" w:color="auto"/>
              <w:right w:val="single" w:sz="4" w:space="0" w:color="auto"/>
            </w:tcBorders>
            <w:vAlign w:val="center"/>
          </w:tcPr>
          <w:p w14:paraId="318F6A90" w14:textId="36091991" w:rsidR="00C7098F" w:rsidRPr="00D948C1" w:rsidRDefault="00C7098F" w:rsidP="006C0086">
            <w:pPr>
              <w:spacing w:line="276" w:lineRule="auto"/>
              <w:jc w:val="right"/>
              <w:rPr>
                <w:rFonts w:cs="Arial"/>
                <w:szCs w:val="24"/>
              </w:rPr>
            </w:pPr>
            <w:r w:rsidRPr="00D948C1">
              <w:rPr>
                <w:rFonts w:cs="Arial"/>
                <w:szCs w:val="24"/>
              </w:rPr>
              <w:t>(39,585)</w:t>
            </w:r>
          </w:p>
        </w:tc>
      </w:tr>
      <w:tr w:rsidR="00C7098F" w:rsidRPr="00D948C1" w14:paraId="564878C1" w14:textId="77777777" w:rsidTr="00233A66">
        <w:tc>
          <w:tcPr>
            <w:tcW w:w="3641" w:type="dxa"/>
            <w:tcBorders>
              <w:top w:val="single" w:sz="4" w:space="0" w:color="auto"/>
              <w:left w:val="single" w:sz="4" w:space="0" w:color="auto"/>
              <w:bottom w:val="single" w:sz="4" w:space="0" w:color="auto"/>
              <w:right w:val="single" w:sz="4" w:space="0" w:color="auto"/>
            </w:tcBorders>
          </w:tcPr>
          <w:p w14:paraId="64E9BD6E" w14:textId="3490DB8E" w:rsidR="00C7098F" w:rsidRPr="00D948C1" w:rsidRDefault="00394268" w:rsidP="006C0086">
            <w:pPr>
              <w:spacing w:line="276" w:lineRule="auto"/>
              <w:rPr>
                <w:b/>
                <w:szCs w:val="24"/>
              </w:rPr>
            </w:pPr>
            <w:r>
              <w:rPr>
                <w:rFonts w:cs="Arial"/>
                <w:b/>
                <w:szCs w:val="24"/>
              </w:rPr>
              <w:t>(S</w:t>
            </w:r>
            <w:r w:rsidRPr="00D948C1">
              <w:rPr>
                <w:rFonts w:cs="Arial"/>
                <w:b/>
                <w:szCs w:val="24"/>
              </w:rPr>
              <w:t>urplus</w:t>
            </w:r>
            <w:r>
              <w:rPr>
                <w:rFonts w:cs="Arial"/>
                <w:b/>
                <w:szCs w:val="24"/>
              </w:rPr>
              <w:t>)/Deficit</w:t>
            </w:r>
            <w:r w:rsidRPr="00D948C1">
              <w:rPr>
                <w:rFonts w:cs="Arial"/>
                <w:b/>
                <w:szCs w:val="24"/>
              </w:rPr>
              <w:t xml:space="preserve"> </w:t>
            </w:r>
            <w:r w:rsidR="00C7098F" w:rsidRPr="00D948C1">
              <w:rPr>
                <w:b/>
                <w:szCs w:val="24"/>
              </w:rPr>
              <w:t>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6151593" w14:textId="643F1EC1" w:rsidR="00C7098F" w:rsidRPr="00D948C1" w:rsidRDefault="00C7098F" w:rsidP="006C0086">
            <w:pPr>
              <w:spacing w:line="276" w:lineRule="auto"/>
              <w:jc w:val="right"/>
              <w:rPr>
                <w:rFonts w:cs="Arial"/>
                <w:b/>
                <w:bCs/>
                <w:szCs w:val="24"/>
              </w:rPr>
            </w:pPr>
            <w:r w:rsidRPr="00D948C1">
              <w:rPr>
                <w:rFonts w:cs="Arial"/>
                <w:b/>
                <w:bCs/>
                <w:szCs w:val="24"/>
              </w:rPr>
              <w:t xml:space="preserve">1,673 </w:t>
            </w:r>
          </w:p>
        </w:tc>
        <w:tc>
          <w:tcPr>
            <w:tcW w:w="2376" w:type="dxa"/>
            <w:tcBorders>
              <w:top w:val="single" w:sz="4" w:space="0" w:color="auto"/>
              <w:left w:val="single" w:sz="4" w:space="0" w:color="auto"/>
              <w:bottom w:val="single" w:sz="4" w:space="0" w:color="auto"/>
              <w:right w:val="single" w:sz="4" w:space="0" w:color="auto"/>
            </w:tcBorders>
            <w:vAlign w:val="center"/>
          </w:tcPr>
          <w:p w14:paraId="21E9A8D5" w14:textId="5DDD5AF9" w:rsidR="00C7098F" w:rsidRPr="00D948C1" w:rsidRDefault="00C7098F" w:rsidP="006C0086">
            <w:pPr>
              <w:spacing w:line="276" w:lineRule="auto"/>
              <w:jc w:val="right"/>
              <w:rPr>
                <w:rFonts w:cs="Arial"/>
                <w:b/>
                <w:bCs/>
                <w:szCs w:val="24"/>
              </w:rPr>
            </w:pPr>
            <w:r w:rsidRPr="00D948C1">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BFEB3BF" w14:textId="36F5914D" w:rsidR="00C7098F" w:rsidRPr="00D948C1" w:rsidRDefault="00C7098F" w:rsidP="006C0086">
            <w:pPr>
              <w:spacing w:line="276" w:lineRule="auto"/>
              <w:jc w:val="right"/>
              <w:rPr>
                <w:rFonts w:cs="Arial"/>
                <w:b/>
                <w:bCs/>
                <w:szCs w:val="24"/>
              </w:rPr>
            </w:pPr>
            <w:r w:rsidRPr="00D948C1">
              <w:rPr>
                <w:rFonts w:cs="Arial"/>
                <w:b/>
                <w:bCs/>
                <w:szCs w:val="24"/>
              </w:rPr>
              <w:t xml:space="preserve">1,673 </w:t>
            </w:r>
          </w:p>
        </w:tc>
        <w:tc>
          <w:tcPr>
            <w:tcW w:w="2551" w:type="dxa"/>
            <w:tcBorders>
              <w:top w:val="single" w:sz="4" w:space="0" w:color="auto"/>
              <w:left w:val="single" w:sz="4" w:space="0" w:color="auto"/>
              <w:bottom w:val="single" w:sz="4" w:space="0" w:color="auto"/>
              <w:right w:val="single" w:sz="4" w:space="0" w:color="auto"/>
            </w:tcBorders>
            <w:vAlign w:val="center"/>
          </w:tcPr>
          <w:p w14:paraId="15425AFD" w14:textId="345C2450" w:rsidR="00C7098F" w:rsidRPr="00D948C1" w:rsidRDefault="00C7098F" w:rsidP="006C0086">
            <w:pPr>
              <w:spacing w:line="276" w:lineRule="auto"/>
              <w:jc w:val="right"/>
              <w:rPr>
                <w:rFonts w:cs="Arial"/>
                <w:b/>
                <w:bCs/>
                <w:szCs w:val="24"/>
              </w:rPr>
            </w:pPr>
            <w:r w:rsidRPr="00D948C1">
              <w:rPr>
                <w:rFonts w:cs="Arial"/>
                <w:b/>
                <w:bCs/>
                <w:szCs w:val="24"/>
              </w:rPr>
              <w:t xml:space="preserve">13,674 </w:t>
            </w:r>
          </w:p>
        </w:tc>
        <w:tc>
          <w:tcPr>
            <w:tcW w:w="2727" w:type="dxa"/>
            <w:tcBorders>
              <w:top w:val="single" w:sz="4" w:space="0" w:color="auto"/>
              <w:left w:val="single" w:sz="4" w:space="0" w:color="auto"/>
              <w:bottom w:val="single" w:sz="4" w:space="0" w:color="auto"/>
              <w:right w:val="single" w:sz="4" w:space="0" w:color="auto"/>
            </w:tcBorders>
            <w:vAlign w:val="center"/>
          </w:tcPr>
          <w:p w14:paraId="2DA96305" w14:textId="1F75ADA8" w:rsidR="00C7098F" w:rsidRPr="00D948C1" w:rsidRDefault="00C7098F" w:rsidP="006C0086">
            <w:pPr>
              <w:spacing w:line="276" w:lineRule="auto"/>
              <w:jc w:val="right"/>
              <w:rPr>
                <w:rFonts w:cs="Arial"/>
                <w:b/>
                <w:bCs/>
                <w:szCs w:val="24"/>
              </w:rPr>
            </w:pPr>
            <w:r w:rsidRPr="00D948C1">
              <w:rPr>
                <w:rFonts w:cs="Arial"/>
                <w:b/>
                <w:szCs w:val="24"/>
              </w:rPr>
              <w:t xml:space="preserve">15,347 </w:t>
            </w:r>
          </w:p>
        </w:tc>
      </w:tr>
    </w:tbl>
    <w:p w14:paraId="010B228A" w14:textId="77777777" w:rsidR="00DD2894" w:rsidRPr="00D948C1" w:rsidRDefault="00DD2894" w:rsidP="006C0086">
      <w:pPr>
        <w:spacing w:line="276" w:lineRule="auto"/>
      </w:pPr>
    </w:p>
    <w:tbl>
      <w:tblPr>
        <w:tblStyle w:val="TableGrid"/>
        <w:tblW w:w="9492" w:type="dxa"/>
        <w:tblInd w:w="709" w:type="dxa"/>
        <w:tblLayout w:type="fixed"/>
        <w:tblLook w:val="04A0" w:firstRow="1" w:lastRow="0" w:firstColumn="1" w:lastColumn="0" w:noHBand="0" w:noVBand="1"/>
      </w:tblPr>
      <w:tblGrid>
        <w:gridCol w:w="7791"/>
        <w:gridCol w:w="1701"/>
      </w:tblGrid>
      <w:tr w:rsidR="00AE0F22" w:rsidRPr="00D948C1" w14:paraId="1E8B6269" w14:textId="77777777" w:rsidTr="00233A66">
        <w:tc>
          <w:tcPr>
            <w:tcW w:w="7791" w:type="dxa"/>
            <w:tcBorders>
              <w:top w:val="single" w:sz="4" w:space="0" w:color="auto"/>
              <w:left w:val="single" w:sz="4" w:space="0" w:color="auto"/>
              <w:bottom w:val="single" w:sz="4" w:space="0" w:color="auto"/>
              <w:right w:val="single" w:sz="4" w:space="0" w:color="auto"/>
            </w:tcBorders>
          </w:tcPr>
          <w:p w14:paraId="7968F9CF" w14:textId="77777777" w:rsidR="00AE0F22" w:rsidRPr="00D948C1" w:rsidRDefault="00AE0F22" w:rsidP="006C0086">
            <w:pPr>
              <w:spacing w:line="276" w:lineRule="auto"/>
              <w:rPr>
                <w:rFonts w:cs="Arial"/>
                <w:b/>
                <w:bCs/>
                <w:szCs w:val="24"/>
              </w:rPr>
            </w:pPr>
            <w:r w:rsidRPr="00D948C1">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4B448411" w14:textId="5B7571F9" w:rsidR="00AE0F22" w:rsidRPr="00D948C1" w:rsidRDefault="00AE0F22" w:rsidP="006C0086">
            <w:pPr>
              <w:spacing w:line="276" w:lineRule="auto"/>
              <w:ind w:right="136"/>
              <w:jc w:val="right"/>
              <w:rPr>
                <w:rFonts w:cs="Arial"/>
                <w:b/>
                <w:bCs/>
                <w:szCs w:val="24"/>
              </w:rPr>
            </w:pPr>
            <w:r w:rsidRPr="00D948C1">
              <w:rPr>
                <w:rFonts w:cs="Arial"/>
                <w:b/>
                <w:bCs/>
                <w:szCs w:val="24"/>
              </w:rPr>
              <w:t>(6,</w:t>
            </w:r>
            <w:r w:rsidR="00C7098F" w:rsidRPr="00D948C1">
              <w:rPr>
                <w:rFonts w:cs="Arial"/>
                <w:b/>
                <w:bCs/>
                <w:szCs w:val="24"/>
              </w:rPr>
              <w:t>536</w:t>
            </w:r>
            <w:r w:rsidRPr="00D948C1">
              <w:rPr>
                <w:rFonts w:cs="Arial"/>
                <w:b/>
                <w:bCs/>
                <w:szCs w:val="24"/>
              </w:rPr>
              <w:t xml:space="preserve">) </w:t>
            </w:r>
          </w:p>
        </w:tc>
      </w:tr>
      <w:tr w:rsidR="00AE0F22" w:rsidRPr="00D948C1" w14:paraId="1FE83464" w14:textId="77777777" w:rsidTr="00233A66">
        <w:tc>
          <w:tcPr>
            <w:tcW w:w="7791" w:type="dxa"/>
            <w:tcBorders>
              <w:top w:val="single" w:sz="4" w:space="0" w:color="auto"/>
              <w:left w:val="single" w:sz="4" w:space="0" w:color="auto"/>
              <w:bottom w:val="single" w:sz="4" w:space="0" w:color="auto"/>
              <w:right w:val="single" w:sz="4" w:space="0" w:color="auto"/>
            </w:tcBorders>
          </w:tcPr>
          <w:p w14:paraId="644B0EA3" w14:textId="77777777" w:rsidR="00AE0F22" w:rsidRPr="00D948C1" w:rsidRDefault="00AE0F22" w:rsidP="006C0086">
            <w:pPr>
              <w:spacing w:line="276" w:lineRule="auto"/>
              <w:rPr>
                <w:rFonts w:cs="Arial"/>
                <w:szCs w:val="24"/>
              </w:rPr>
            </w:pPr>
            <w:r w:rsidRPr="00D948C1">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2E7D81C5" w14:textId="6F584EF7" w:rsidR="00AE0F22" w:rsidRPr="00D948C1" w:rsidRDefault="00C7098F" w:rsidP="006C0086">
            <w:pPr>
              <w:spacing w:line="276" w:lineRule="auto"/>
              <w:ind w:right="136"/>
              <w:jc w:val="right"/>
              <w:rPr>
                <w:rFonts w:cs="Arial"/>
                <w:szCs w:val="24"/>
              </w:rPr>
            </w:pPr>
            <w:r w:rsidRPr="00D948C1">
              <w:rPr>
                <w:rFonts w:cs="Arial"/>
                <w:szCs w:val="24"/>
              </w:rPr>
              <w:t>1,673</w:t>
            </w:r>
          </w:p>
        </w:tc>
      </w:tr>
      <w:tr w:rsidR="00AE0F22" w:rsidRPr="00D948C1" w14:paraId="2DBA23F0" w14:textId="77777777" w:rsidTr="00233A66">
        <w:tc>
          <w:tcPr>
            <w:tcW w:w="7791" w:type="dxa"/>
            <w:tcBorders>
              <w:top w:val="single" w:sz="4" w:space="0" w:color="auto"/>
              <w:left w:val="single" w:sz="4" w:space="0" w:color="auto"/>
              <w:bottom w:val="single" w:sz="4" w:space="0" w:color="auto"/>
              <w:right w:val="single" w:sz="4" w:space="0" w:color="auto"/>
            </w:tcBorders>
          </w:tcPr>
          <w:p w14:paraId="2A2EA14B" w14:textId="77777777" w:rsidR="00AE0F22" w:rsidRPr="00D948C1" w:rsidRDefault="00AE0F22" w:rsidP="006C0086">
            <w:pPr>
              <w:spacing w:line="276" w:lineRule="auto"/>
              <w:rPr>
                <w:rFonts w:cs="Arial"/>
                <w:szCs w:val="24"/>
              </w:rPr>
            </w:pPr>
            <w:r w:rsidRPr="00D948C1">
              <w:rPr>
                <w:rFonts w:cs="Arial"/>
                <w:szCs w:val="24"/>
              </w:rPr>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9EE803A" w14:textId="33D12AC8" w:rsidR="00AE0F22" w:rsidRPr="00D948C1" w:rsidRDefault="00C7098F" w:rsidP="006C0086">
            <w:pPr>
              <w:spacing w:line="276" w:lineRule="auto"/>
              <w:ind w:right="136"/>
              <w:jc w:val="right"/>
              <w:rPr>
                <w:rFonts w:cs="Arial"/>
                <w:szCs w:val="24"/>
              </w:rPr>
            </w:pPr>
            <w:r w:rsidRPr="00D948C1">
              <w:rPr>
                <w:rFonts w:cs="Arial"/>
                <w:szCs w:val="24"/>
              </w:rPr>
              <w:t>(24)</w:t>
            </w:r>
          </w:p>
        </w:tc>
      </w:tr>
      <w:tr w:rsidR="00AE0F22" w:rsidRPr="00D948C1" w14:paraId="4AF11DE0" w14:textId="77777777" w:rsidTr="00233A66">
        <w:tc>
          <w:tcPr>
            <w:tcW w:w="7791" w:type="dxa"/>
            <w:tcBorders>
              <w:top w:val="single" w:sz="4" w:space="0" w:color="auto"/>
              <w:left w:val="single" w:sz="4" w:space="0" w:color="auto"/>
              <w:bottom w:val="single" w:sz="4" w:space="0" w:color="auto"/>
              <w:right w:val="single" w:sz="4" w:space="0" w:color="auto"/>
            </w:tcBorders>
          </w:tcPr>
          <w:p w14:paraId="5901731F" w14:textId="77777777" w:rsidR="00AE0F22" w:rsidRPr="00D948C1" w:rsidRDefault="00AE0F22" w:rsidP="006C0086">
            <w:pPr>
              <w:spacing w:line="276" w:lineRule="auto"/>
              <w:rPr>
                <w:rFonts w:cs="Arial"/>
                <w:b/>
                <w:bCs/>
                <w:szCs w:val="24"/>
              </w:rPr>
            </w:pPr>
            <w:r w:rsidRPr="00D948C1">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7AA4A4C" w14:textId="21678258" w:rsidR="00AE0F22" w:rsidRPr="00D948C1" w:rsidRDefault="00C7098F" w:rsidP="006C0086">
            <w:pPr>
              <w:spacing w:line="276" w:lineRule="auto"/>
              <w:ind w:right="136"/>
              <w:jc w:val="right"/>
              <w:rPr>
                <w:rFonts w:cs="Arial"/>
                <w:b/>
                <w:bCs/>
                <w:szCs w:val="24"/>
              </w:rPr>
            </w:pPr>
            <w:r w:rsidRPr="00D948C1">
              <w:rPr>
                <w:rFonts w:cs="Arial"/>
                <w:b/>
                <w:bCs/>
                <w:szCs w:val="24"/>
              </w:rPr>
              <w:t>(4,887</w:t>
            </w:r>
            <w:r w:rsidR="00AE0F22" w:rsidRPr="00D948C1">
              <w:rPr>
                <w:rFonts w:cs="Arial"/>
                <w:b/>
                <w:bCs/>
                <w:szCs w:val="24"/>
              </w:rPr>
              <w:t>)</w:t>
            </w:r>
          </w:p>
        </w:tc>
      </w:tr>
    </w:tbl>
    <w:p w14:paraId="40D55502" w14:textId="4CD6417D" w:rsidR="005D04CB" w:rsidRPr="00D948C1" w:rsidRDefault="005D04CB" w:rsidP="006C0086">
      <w:pPr>
        <w:spacing w:line="276" w:lineRule="auto"/>
      </w:pPr>
    </w:p>
    <w:p w14:paraId="0540C2A3" w14:textId="77777777" w:rsidR="003C7C40" w:rsidRPr="00D948C1" w:rsidRDefault="003C7C40" w:rsidP="006C0086">
      <w:pPr>
        <w:spacing w:line="276" w:lineRule="auto"/>
        <w:rPr>
          <w:b/>
          <w:szCs w:val="24"/>
        </w:rPr>
      </w:pPr>
      <w:r w:rsidRPr="00D948C1">
        <w:rPr>
          <w:szCs w:val="24"/>
        </w:rPr>
        <w:br w:type="page"/>
      </w:r>
    </w:p>
    <w:p w14:paraId="06862C3A" w14:textId="1338CDED" w:rsidR="009469D7" w:rsidRPr="00D948C1" w:rsidRDefault="00EC5AC1" w:rsidP="006C0086">
      <w:pPr>
        <w:pStyle w:val="Heading2"/>
        <w:spacing w:line="276" w:lineRule="auto"/>
        <w:jc w:val="left"/>
        <w:rPr>
          <w:sz w:val="24"/>
          <w:szCs w:val="24"/>
        </w:rPr>
      </w:pPr>
      <w:bookmarkStart w:id="24" w:name="_Toc171068785"/>
      <w:r w:rsidRPr="00D948C1">
        <w:rPr>
          <w:sz w:val="24"/>
          <w:szCs w:val="24"/>
        </w:rPr>
        <w:lastRenderedPageBreak/>
        <w:t>1</w:t>
      </w:r>
      <w:r w:rsidR="001C592E" w:rsidRPr="00D948C1">
        <w:rPr>
          <w:sz w:val="24"/>
          <w:szCs w:val="24"/>
        </w:rPr>
        <w:t>a</w:t>
      </w:r>
      <w:r w:rsidR="009469D7" w:rsidRPr="00D948C1">
        <w:rPr>
          <w:sz w:val="24"/>
          <w:szCs w:val="24"/>
        </w:rPr>
        <w:tab/>
        <w:t>Note to the Expenditure and Funding Analysis</w:t>
      </w:r>
      <w:bookmarkEnd w:id="24"/>
    </w:p>
    <w:p w14:paraId="645B6B55" w14:textId="77777777" w:rsidR="009469D7" w:rsidRPr="00D948C1" w:rsidRDefault="009469D7" w:rsidP="006C0086">
      <w:pPr>
        <w:spacing w:line="276" w:lineRule="auto"/>
        <w:ind w:left="720"/>
        <w:jc w:val="both"/>
        <w:rPr>
          <w:sz w:val="16"/>
          <w:szCs w:val="18"/>
        </w:rPr>
      </w:pPr>
    </w:p>
    <w:tbl>
      <w:tblPr>
        <w:tblStyle w:val="TableGrid"/>
        <w:tblW w:w="15298" w:type="dxa"/>
        <w:tblInd w:w="720" w:type="dxa"/>
        <w:tblLayout w:type="fixed"/>
        <w:tblLook w:val="04A0" w:firstRow="1" w:lastRow="0" w:firstColumn="1" w:lastColumn="0" w:noHBand="0" w:noVBand="1"/>
      </w:tblPr>
      <w:tblGrid>
        <w:gridCol w:w="3675"/>
        <w:gridCol w:w="1559"/>
        <w:gridCol w:w="1276"/>
        <w:gridCol w:w="1842"/>
        <w:gridCol w:w="1560"/>
        <w:gridCol w:w="1701"/>
        <w:gridCol w:w="1559"/>
        <w:gridCol w:w="2126"/>
      </w:tblGrid>
      <w:tr w:rsidR="00E17716" w:rsidRPr="00D948C1" w14:paraId="5DE5DF5B" w14:textId="77777777" w:rsidTr="00611673">
        <w:trPr>
          <w:tblHeader/>
        </w:trPr>
        <w:tc>
          <w:tcPr>
            <w:tcW w:w="3675" w:type="dxa"/>
            <w:shd w:val="clear" w:color="auto" w:fill="BD2716"/>
            <w:vAlign w:val="center"/>
          </w:tcPr>
          <w:p w14:paraId="350D965F" w14:textId="7E889931" w:rsidR="00B068F4" w:rsidRPr="00D948C1" w:rsidRDefault="00B068F4" w:rsidP="006C0086">
            <w:pPr>
              <w:spacing w:line="276" w:lineRule="auto"/>
              <w:rPr>
                <w:color w:val="FFFFFF" w:themeColor="background1"/>
                <w:szCs w:val="24"/>
              </w:rPr>
            </w:pPr>
            <w:bookmarkStart w:id="25" w:name="_Hlk96092429"/>
            <w:r w:rsidRPr="00D948C1">
              <w:rPr>
                <w:color w:val="FFFFFF" w:themeColor="background1"/>
                <w:szCs w:val="24"/>
              </w:rPr>
              <w:t>202</w:t>
            </w:r>
            <w:r w:rsidR="00C7098F" w:rsidRPr="00D948C1">
              <w:rPr>
                <w:color w:val="FFFFFF" w:themeColor="background1"/>
                <w:szCs w:val="24"/>
              </w:rPr>
              <w:t>3</w:t>
            </w:r>
            <w:r w:rsidRPr="00D948C1">
              <w:rPr>
                <w:color w:val="FFFFFF" w:themeColor="background1"/>
                <w:szCs w:val="24"/>
              </w:rPr>
              <w:t>/2</w:t>
            </w:r>
            <w:r w:rsidR="00C7098F" w:rsidRPr="00D948C1">
              <w:rPr>
                <w:color w:val="FFFFFF" w:themeColor="background1"/>
                <w:szCs w:val="24"/>
              </w:rPr>
              <w:t>4</w:t>
            </w:r>
          </w:p>
          <w:p w14:paraId="223199E9" w14:textId="3A644DE8" w:rsidR="00E17716" w:rsidRPr="00D948C1" w:rsidRDefault="00E17716" w:rsidP="006C0086">
            <w:pPr>
              <w:spacing w:line="276" w:lineRule="auto"/>
              <w:rPr>
                <w:color w:val="FFFFFF" w:themeColor="background1"/>
                <w:szCs w:val="24"/>
              </w:rPr>
            </w:pPr>
            <w:r w:rsidRPr="00D948C1">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2BA2DA0B" w14:textId="77777777" w:rsidR="00E17716" w:rsidRPr="00D948C1" w:rsidRDefault="00E17716" w:rsidP="006C0086">
            <w:pPr>
              <w:spacing w:line="276" w:lineRule="auto"/>
              <w:jc w:val="right"/>
              <w:rPr>
                <w:color w:val="FFFFFF" w:themeColor="background1"/>
                <w:szCs w:val="24"/>
              </w:rPr>
            </w:pPr>
            <w:r w:rsidRPr="00D948C1">
              <w:rPr>
                <w:color w:val="FFFFFF" w:themeColor="background1"/>
                <w:szCs w:val="24"/>
              </w:rPr>
              <w:t>Transfer to/(from) Earmarked Reserves</w:t>
            </w:r>
          </w:p>
          <w:p w14:paraId="63EA470D" w14:textId="04652DAB" w:rsidR="00B068F4" w:rsidRPr="00D948C1" w:rsidRDefault="00B068F4" w:rsidP="006C0086">
            <w:pPr>
              <w:spacing w:line="276" w:lineRule="auto"/>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61A0B487" w14:textId="77777777" w:rsidR="00E17716" w:rsidRPr="00D948C1" w:rsidRDefault="00E17716" w:rsidP="006C0086">
            <w:pPr>
              <w:spacing w:line="276" w:lineRule="auto"/>
              <w:jc w:val="right"/>
              <w:rPr>
                <w:color w:val="FFFFFF" w:themeColor="background1"/>
                <w:szCs w:val="24"/>
              </w:rPr>
            </w:pPr>
            <w:r w:rsidRPr="00D948C1">
              <w:rPr>
                <w:color w:val="FFFFFF" w:themeColor="background1"/>
                <w:szCs w:val="24"/>
              </w:rPr>
              <w:t>Transfer to/(from) Capital Reserves</w:t>
            </w:r>
          </w:p>
          <w:p w14:paraId="142EEB1D" w14:textId="0870B1DD" w:rsidR="00B068F4" w:rsidRPr="00D948C1" w:rsidRDefault="00B068F4" w:rsidP="006C0086">
            <w:pPr>
              <w:spacing w:line="276" w:lineRule="auto"/>
              <w:jc w:val="right"/>
              <w:rPr>
                <w:b/>
                <w:color w:val="FFFFFF" w:themeColor="background1"/>
                <w:szCs w:val="24"/>
              </w:rPr>
            </w:pPr>
            <w:r w:rsidRPr="00D948C1">
              <w:rPr>
                <w:color w:val="FFFFFF" w:themeColor="background1"/>
                <w:szCs w:val="24"/>
              </w:rPr>
              <w:t>£000</w:t>
            </w:r>
          </w:p>
        </w:tc>
        <w:tc>
          <w:tcPr>
            <w:tcW w:w="1842" w:type="dxa"/>
            <w:shd w:val="clear" w:color="auto" w:fill="BD2716"/>
            <w:vAlign w:val="center"/>
          </w:tcPr>
          <w:p w14:paraId="297016DA" w14:textId="77777777" w:rsidR="00E17716" w:rsidRPr="00D948C1" w:rsidRDefault="00E17716" w:rsidP="006C0086">
            <w:pPr>
              <w:spacing w:line="276" w:lineRule="auto"/>
              <w:jc w:val="right"/>
              <w:rPr>
                <w:b/>
                <w:color w:val="FFFFFF" w:themeColor="background1"/>
                <w:szCs w:val="24"/>
              </w:rPr>
            </w:pPr>
            <w:r w:rsidRPr="00D948C1">
              <w:rPr>
                <w:b/>
                <w:color w:val="FFFFFF" w:themeColor="background1"/>
                <w:szCs w:val="24"/>
              </w:rPr>
              <w:t>Total to arrive at amount charged to the General Fund</w:t>
            </w:r>
          </w:p>
          <w:p w14:paraId="2DB49B89" w14:textId="3E9AD544" w:rsidR="00B068F4" w:rsidRPr="00D948C1" w:rsidRDefault="00B068F4" w:rsidP="006C0086">
            <w:pPr>
              <w:spacing w:line="276" w:lineRule="auto"/>
              <w:jc w:val="right"/>
              <w:rPr>
                <w:b/>
                <w:color w:val="FFFFFF" w:themeColor="background1"/>
                <w:szCs w:val="24"/>
              </w:rPr>
            </w:pPr>
            <w:r w:rsidRPr="00D948C1">
              <w:rPr>
                <w:b/>
                <w:color w:val="FFFFFF" w:themeColor="background1"/>
                <w:szCs w:val="24"/>
              </w:rPr>
              <w:t>£000</w:t>
            </w:r>
          </w:p>
        </w:tc>
        <w:tc>
          <w:tcPr>
            <w:tcW w:w="1560" w:type="dxa"/>
            <w:shd w:val="clear" w:color="auto" w:fill="BD2716"/>
            <w:vAlign w:val="center"/>
          </w:tcPr>
          <w:p w14:paraId="40B19AF4" w14:textId="77777777" w:rsidR="00E17716" w:rsidRPr="00D948C1" w:rsidRDefault="00E17716" w:rsidP="006C0086">
            <w:pPr>
              <w:spacing w:line="276" w:lineRule="auto"/>
              <w:jc w:val="right"/>
              <w:rPr>
                <w:color w:val="FFFFFF" w:themeColor="background1"/>
                <w:szCs w:val="24"/>
              </w:rPr>
            </w:pPr>
            <w:r w:rsidRPr="00D948C1">
              <w:rPr>
                <w:color w:val="FFFFFF" w:themeColor="background1"/>
                <w:szCs w:val="24"/>
              </w:rPr>
              <w:t>Adjustments for Capital Purposes (1)</w:t>
            </w:r>
          </w:p>
          <w:p w14:paraId="04BF9A22" w14:textId="3DA91E2B" w:rsidR="00B068F4" w:rsidRPr="00D948C1" w:rsidRDefault="00B068F4"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74CF91EF" w14:textId="77777777" w:rsidR="00E17716" w:rsidRPr="00D948C1" w:rsidRDefault="00E17716" w:rsidP="006C0086">
            <w:pPr>
              <w:spacing w:line="276" w:lineRule="auto"/>
              <w:jc w:val="right"/>
              <w:rPr>
                <w:color w:val="FFFFFF" w:themeColor="background1"/>
                <w:szCs w:val="24"/>
              </w:rPr>
            </w:pPr>
            <w:r w:rsidRPr="00D948C1">
              <w:rPr>
                <w:color w:val="FFFFFF" w:themeColor="background1"/>
                <w:szCs w:val="24"/>
              </w:rPr>
              <w:t>Net change for Pensions Adjustments (2)</w:t>
            </w:r>
          </w:p>
          <w:p w14:paraId="4588C924" w14:textId="2E6CEE52" w:rsidR="00B068F4" w:rsidRPr="00D948C1" w:rsidRDefault="00B068F4" w:rsidP="006C0086">
            <w:pPr>
              <w:spacing w:line="276" w:lineRule="auto"/>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1D069D13" w14:textId="77777777" w:rsidR="00E17716" w:rsidRPr="00D948C1" w:rsidRDefault="00E17716" w:rsidP="006C0086">
            <w:pPr>
              <w:spacing w:line="276" w:lineRule="auto"/>
              <w:jc w:val="right"/>
              <w:rPr>
                <w:color w:val="FFFFFF" w:themeColor="background1"/>
                <w:szCs w:val="24"/>
              </w:rPr>
            </w:pPr>
            <w:r w:rsidRPr="00D948C1">
              <w:rPr>
                <w:color w:val="FFFFFF" w:themeColor="background1"/>
                <w:szCs w:val="24"/>
              </w:rPr>
              <w:t>Other Differences (3)</w:t>
            </w:r>
          </w:p>
          <w:p w14:paraId="2B994C29" w14:textId="0DA73AB3" w:rsidR="00B068F4" w:rsidRPr="00D948C1" w:rsidRDefault="00B068F4" w:rsidP="006C0086">
            <w:pPr>
              <w:spacing w:line="276" w:lineRule="auto"/>
              <w:jc w:val="right"/>
              <w:rPr>
                <w:color w:val="FFFFFF" w:themeColor="background1"/>
                <w:szCs w:val="24"/>
              </w:rPr>
            </w:pPr>
            <w:r w:rsidRPr="00D948C1">
              <w:rPr>
                <w:color w:val="FFFFFF" w:themeColor="background1"/>
                <w:szCs w:val="24"/>
              </w:rPr>
              <w:t>£000</w:t>
            </w:r>
          </w:p>
        </w:tc>
        <w:tc>
          <w:tcPr>
            <w:tcW w:w="2126" w:type="dxa"/>
            <w:shd w:val="clear" w:color="auto" w:fill="BD2716"/>
            <w:vAlign w:val="center"/>
          </w:tcPr>
          <w:p w14:paraId="4E107569" w14:textId="77777777" w:rsidR="00E17716" w:rsidRPr="00D948C1" w:rsidRDefault="00E17716" w:rsidP="006C0086">
            <w:pPr>
              <w:spacing w:line="276" w:lineRule="auto"/>
              <w:jc w:val="right"/>
              <w:rPr>
                <w:b/>
                <w:color w:val="FFFFFF" w:themeColor="background1"/>
                <w:szCs w:val="24"/>
              </w:rPr>
            </w:pPr>
            <w:r w:rsidRPr="00D948C1">
              <w:rPr>
                <w:b/>
                <w:color w:val="FFFFFF" w:themeColor="background1"/>
                <w:szCs w:val="24"/>
              </w:rPr>
              <w:t>Total adjustment between funding and accounting basis</w:t>
            </w:r>
          </w:p>
          <w:p w14:paraId="330B91D1" w14:textId="79E3FCC0" w:rsidR="00B068F4" w:rsidRPr="00D948C1" w:rsidRDefault="00B068F4" w:rsidP="006C0086">
            <w:pPr>
              <w:spacing w:line="276" w:lineRule="auto"/>
              <w:jc w:val="right"/>
              <w:rPr>
                <w:b/>
                <w:color w:val="FFFFFF" w:themeColor="background1"/>
                <w:szCs w:val="24"/>
              </w:rPr>
            </w:pPr>
            <w:r w:rsidRPr="00D948C1">
              <w:rPr>
                <w:b/>
                <w:color w:val="FFFFFF" w:themeColor="background1"/>
                <w:szCs w:val="24"/>
              </w:rPr>
              <w:t>£000</w:t>
            </w:r>
          </w:p>
        </w:tc>
      </w:tr>
      <w:tr w:rsidR="001C2721" w:rsidRPr="00D948C1" w14:paraId="18D46DA3" w14:textId="77777777" w:rsidTr="00233A66">
        <w:tc>
          <w:tcPr>
            <w:tcW w:w="3675" w:type="dxa"/>
          </w:tcPr>
          <w:p w14:paraId="08BDCCE0" w14:textId="77777777" w:rsidR="001C2721" w:rsidRPr="00D948C1" w:rsidRDefault="001C2721" w:rsidP="006C0086">
            <w:pPr>
              <w:spacing w:line="276" w:lineRule="auto"/>
              <w:rPr>
                <w:szCs w:val="24"/>
              </w:rPr>
            </w:pPr>
            <w:r w:rsidRPr="00D948C1">
              <w:rPr>
                <w:szCs w:val="24"/>
              </w:rPr>
              <w:t>Service Delivery</w:t>
            </w:r>
          </w:p>
        </w:tc>
        <w:tc>
          <w:tcPr>
            <w:tcW w:w="1559" w:type="dxa"/>
            <w:vAlign w:val="center"/>
          </w:tcPr>
          <w:p w14:paraId="74697108" w14:textId="1A663B42"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746C45F0" w14:textId="09A0F300"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0C2240F0" w14:textId="01A96545"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1921E293" w14:textId="4A1BBCB3"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43FDDB66" w14:textId="2278ED67" w:rsidR="001C2721" w:rsidRPr="00D948C1" w:rsidRDefault="00D45179" w:rsidP="006C0086">
            <w:pPr>
              <w:spacing w:line="276" w:lineRule="auto"/>
              <w:jc w:val="right"/>
              <w:rPr>
                <w:rFonts w:cs="Arial"/>
                <w:szCs w:val="24"/>
              </w:rPr>
            </w:pPr>
            <w:r w:rsidRPr="00D948C1">
              <w:rPr>
                <w:rFonts w:cs="Arial"/>
                <w:szCs w:val="24"/>
              </w:rPr>
              <w:t>(22,351)</w:t>
            </w:r>
          </w:p>
        </w:tc>
        <w:tc>
          <w:tcPr>
            <w:tcW w:w="1559" w:type="dxa"/>
            <w:vAlign w:val="center"/>
          </w:tcPr>
          <w:p w14:paraId="7CD6A228" w14:textId="0A05859D" w:rsidR="001C2721" w:rsidRPr="00D948C1" w:rsidRDefault="00D45179" w:rsidP="006C0086">
            <w:pPr>
              <w:spacing w:line="276" w:lineRule="auto"/>
              <w:jc w:val="right"/>
              <w:rPr>
                <w:rFonts w:cs="Arial"/>
                <w:szCs w:val="24"/>
              </w:rPr>
            </w:pPr>
            <w:r w:rsidRPr="00D948C1">
              <w:rPr>
                <w:rFonts w:cs="Arial"/>
                <w:szCs w:val="24"/>
              </w:rPr>
              <w:t>137</w:t>
            </w:r>
          </w:p>
        </w:tc>
        <w:tc>
          <w:tcPr>
            <w:tcW w:w="2126" w:type="dxa"/>
            <w:vAlign w:val="center"/>
          </w:tcPr>
          <w:p w14:paraId="5117CB05" w14:textId="6A738700" w:rsidR="001C2721" w:rsidRPr="00D948C1" w:rsidRDefault="00D45179" w:rsidP="006C0086">
            <w:pPr>
              <w:spacing w:line="276" w:lineRule="auto"/>
              <w:jc w:val="right"/>
              <w:rPr>
                <w:rFonts w:cs="Arial"/>
                <w:b/>
                <w:bCs/>
                <w:szCs w:val="24"/>
              </w:rPr>
            </w:pPr>
            <w:r w:rsidRPr="00D948C1">
              <w:rPr>
                <w:rFonts w:cs="Arial"/>
                <w:b/>
                <w:bCs/>
                <w:szCs w:val="24"/>
              </w:rPr>
              <w:t>(22,214)</w:t>
            </w:r>
          </w:p>
        </w:tc>
      </w:tr>
      <w:tr w:rsidR="001C2721" w:rsidRPr="00D948C1" w14:paraId="06679D7A" w14:textId="77777777" w:rsidTr="00233A66">
        <w:tc>
          <w:tcPr>
            <w:tcW w:w="3675" w:type="dxa"/>
          </w:tcPr>
          <w:p w14:paraId="287ED27E" w14:textId="77777777" w:rsidR="001C2721" w:rsidRPr="00D948C1" w:rsidRDefault="001C2721" w:rsidP="006C0086">
            <w:pPr>
              <w:spacing w:line="276" w:lineRule="auto"/>
              <w:rPr>
                <w:szCs w:val="24"/>
              </w:rPr>
            </w:pPr>
            <w:r w:rsidRPr="00D948C1">
              <w:rPr>
                <w:szCs w:val="24"/>
              </w:rPr>
              <w:t>Strategy and Planning</w:t>
            </w:r>
          </w:p>
        </w:tc>
        <w:tc>
          <w:tcPr>
            <w:tcW w:w="1559" w:type="dxa"/>
            <w:vAlign w:val="center"/>
          </w:tcPr>
          <w:p w14:paraId="245E022B" w14:textId="18E37A46"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135A77E3" w14:textId="651573B4"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4585EFA8" w14:textId="6335F440"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3E47D72C" w14:textId="4B615AEC"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65169656" w14:textId="612568EA" w:rsidR="001C2721" w:rsidRPr="00D948C1" w:rsidRDefault="00D45179" w:rsidP="006C0086">
            <w:pPr>
              <w:spacing w:line="276" w:lineRule="auto"/>
              <w:jc w:val="right"/>
              <w:rPr>
                <w:rFonts w:cs="Arial"/>
                <w:szCs w:val="24"/>
              </w:rPr>
            </w:pPr>
            <w:r w:rsidRPr="00D948C1">
              <w:rPr>
                <w:rFonts w:cs="Arial"/>
                <w:szCs w:val="24"/>
              </w:rPr>
              <w:t>(1,798)</w:t>
            </w:r>
          </w:p>
        </w:tc>
        <w:tc>
          <w:tcPr>
            <w:tcW w:w="1559" w:type="dxa"/>
            <w:vAlign w:val="center"/>
          </w:tcPr>
          <w:p w14:paraId="2E925BE7" w14:textId="062C5E17" w:rsidR="001C2721" w:rsidRPr="00D948C1" w:rsidRDefault="00D45179" w:rsidP="006C0086">
            <w:pPr>
              <w:spacing w:line="276" w:lineRule="auto"/>
              <w:jc w:val="right"/>
              <w:rPr>
                <w:rFonts w:cs="Arial"/>
                <w:szCs w:val="24"/>
              </w:rPr>
            </w:pPr>
            <w:r w:rsidRPr="00D948C1">
              <w:rPr>
                <w:rFonts w:cs="Arial"/>
                <w:szCs w:val="24"/>
              </w:rPr>
              <w:t>55</w:t>
            </w:r>
          </w:p>
        </w:tc>
        <w:tc>
          <w:tcPr>
            <w:tcW w:w="2126" w:type="dxa"/>
            <w:vAlign w:val="center"/>
          </w:tcPr>
          <w:p w14:paraId="3FDC6DA8" w14:textId="3BA2FD03" w:rsidR="001C2721" w:rsidRPr="00D948C1" w:rsidRDefault="00D45179" w:rsidP="006C0086">
            <w:pPr>
              <w:spacing w:line="276" w:lineRule="auto"/>
              <w:jc w:val="right"/>
              <w:rPr>
                <w:rFonts w:cs="Arial"/>
                <w:b/>
                <w:bCs/>
                <w:szCs w:val="24"/>
              </w:rPr>
            </w:pPr>
            <w:r w:rsidRPr="00D948C1">
              <w:rPr>
                <w:rFonts w:cs="Arial"/>
                <w:b/>
                <w:bCs/>
                <w:szCs w:val="24"/>
              </w:rPr>
              <w:t>(1,744)</w:t>
            </w:r>
          </w:p>
        </w:tc>
      </w:tr>
      <w:tr w:rsidR="001C2721" w:rsidRPr="00D948C1" w14:paraId="6E04BE23" w14:textId="77777777" w:rsidTr="00233A66">
        <w:tc>
          <w:tcPr>
            <w:tcW w:w="3675" w:type="dxa"/>
          </w:tcPr>
          <w:p w14:paraId="501103D2" w14:textId="77777777" w:rsidR="001C2721" w:rsidRPr="00D948C1" w:rsidRDefault="001C2721" w:rsidP="006C0086">
            <w:pPr>
              <w:spacing w:line="276" w:lineRule="auto"/>
              <w:rPr>
                <w:szCs w:val="24"/>
              </w:rPr>
            </w:pPr>
            <w:r w:rsidRPr="00D948C1">
              <w:rPr>
                <w:szCs w:val="24"/>
              </w:rPr>
              <w:t>People and Development</w:t>
            </w:r>
          </w:p>
        </w:tc>
        <w:tc>
          <w:tcPr>
            <w:tcW w:w="1559" w:type="dxa"/>
            <w:vAlign w:val="center"/>
          </w:tcPr>
          <w:p w14:paraId="37CC7977" w14:textId="0F300881"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33186C7A" w14:textId="1498E81B"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3A5C8C78" w14:textId="128A1C74"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0B85A0F4" w14:textId="57FA865A"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207C5D73" w14:textId="3500C6BA" w:rsidR="001C2721" w:rsidRPr="00D948C1" w:rsidRDefault="00D45179" w:rsidP="006C0086">
            <w:pPr>
              <w:spacing w:line="276" w:lineRule="auto"/>
              <w:jc w:val="right"/>
              <w:rPr>
                <w:rFonts w:cs="Arial"/>
                <w:szCs w:val="24"/>
              </w:rPr>
            </w:pPr>
            <w:r w:rsidRPr="00D948C1">
              <w:rPr>
                <w:rFonts w:cs="Arial"/>
                <w:szCs w:val="24"/>
              </w:rPr>
              <w:t>168</w:t>
            </w:r>
          </w:p>
        </w:tc>
        <w:tc>
          <w:tcPr>
            <w:tcW w:w="1559" w:type="dxa"/>
            <w:vAlign w:val="center"/>
          </w:tcPr>
          <w:p w14:paraId="5E19D014" w14:textId="4ED316B0" w:rsidR="001C2721" w:rsidRPr="00D948C1" w:rsidRDefault="00D45179" w:rsidP="006C0086">
            <w:pPr>
              <w:spacing w:line="276" w:lineRule="auto"/>
              <w:jc w:val="right"/>
              <w:rPr>
                <w:rFonts w:cs="Arial"/>
                <w:szCs w:val="24"/>
              </w:rPr>
            </w:pPr>
            <w:r w:rsidRPr="00D948C1">
              <w:rPr>
                <w:rFonts w:cs="Arial"/>
                <w:szCs w:val="24"/>
              </w:rPr>
              <w:t>(26)</w:t>
            </w:r>
          </w:p>
        </w:tc>
        <w:tc>
          <w:tcPr>
            <w:tcW w:w="2126" w:type="dxa"/>
            <w:vAlign w:val="center"/>
          </w:tcPr>
          <w:p w14:paraId="1F507E29" w14:textId="08F5F6B7" w:rsidR="001C2721" w:rsidRPr="00D948C1" w:rsidRDefault="00D45179" w:rsidP="006C0086">
            <w:pPr>
              <w:spacing w:line="276" w:lineRule="auto"/>
              <w:jc w:val="right"/>
              <w:rPr>
                <w:rFonts w:cs="Arial"/>
                <w:b/>
                <w:bCs/>
                <w:szCs w:val="24"/>
              </w:rPr>
            </w:pPr>
            <w:r w:rsidRPr="00D948C1">
              <w:rPr>
                <w:rFonts w:cs="Arial"/>
                <w:b/>
                <w:bCs/>
                <w:szCs w:val="24"/>
              </w:rPr>
              <w:t>142</w:t>
            </w:r>
          </w:p>
        </w:tc>
      </w:tr>
      <w:tr w:rsidR="001C2721" w:rsidRPr="00D948C1" w14:paraId="649FA0C2" w14:textId="77777777" w:rsidTr="00233A66">
        <w:tc>
          <w:tcPr>
            <w:tcW w:w="3675" w:type="dxa"/>
          </w:tcPr>
          <w:p w14:paraId="46FF3D59" w14:textId="77777777" w:rsidR="001C2721" w:rsidRPr="00D948C1" w:rsidRDefault="001C2721" w:rsidP="006C0086">
            <w:pPr>
              <w:spacing w:line="276" w:lineRule="auto"/>
              <w:rPr>
                <w:szCs w:val="24"/>
              </w:rPr>
            </w:pPr>
            <w:r w:rsidRPr="00D948C1">
              <w:rPr>
                <w:szCs w:val="24"/>
              </w:rPr>
              <w:t>Corporate Services</w:t>
            </w:r>
          </w:p>
        </w:tc>
        <w:tc>
          <w:tcPr>
            <w:tcW w:w="1559" w:type="dxa"/>
            <w:vAlign w:val="center"/>
          </w:tcPr>
          <w:p w14:paraId="48E16A41" w14:textId="591D7019"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4D4EA877" w14:textId="2D4078A1"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0AB6212C" w14:textId="19879878"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08235B7F" w14:textId="5E54563C"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4F79C7B1" w14:textId="47A91D7E" w:rsidR="001C2721" w:rsidRPr="00D948C1" w:rsidRDefault="00D45179" w:rsidP="006C0086">
            <w:pPr>
              <w:spacing w:line="276" w:lineRule="auto"/>
              <w:jc w:val="right"/>
              <w:rPr>
                <w:rFonts w:cs="Arial"/>
                <w:szCs w:val="24"/>
              </w:rPr>
            </w:pPr>
            <w:r w:rsidRPr="00D948C1">
              <w:rPr>
                <w:rFonts w:cs="Arial"/>
                <w:szCs w:val="24"/>
              </w:rPr>
              <w:t>(223)</w:t>
            </w:r>
          </w:p>
        </w:tc>
        <w:tc>
          <w:tcPr>
            <w:tcW w:w="1559" w:type="dxa"/>
            <w:vAlign w:val="center"/>
          </w:tcPr>
          <w:p w14:paraId="0DEE9FC1" w14:textId="32BBA823" w:rsidR="001C2721" w:rsidRPr="00D948C1" w:rsidRDefault="00D45179" w:rsidP="006C0086">
            <w:pPr>
              <w:spacing w:line="276" w:lineRule="auto"/>
              <w:jc w:val="right"/>
              <w:rPr>
                <w:rFonts w:cs="Arial"/>
                <w:szCs w:val="24"/>
              </w:rPr>
            </w:pPr>
            <w:r w:rsidRPr="00D948C1">
              <w:rPr>
                <w:rFonts w:cs="Arial"/>
                <w:szCs w:val="24"/>
              </w:rPr>
              <w:t>(268)</w:t>
            </w:r>
          </w:p>
        </w:tc>
        <w:tc>
          <w:tcPr>
            <w:tcW w:w="2126" w:type="dxa"/>
            <w:vAlign w:val="center"/>
          </w:tcPr>
          <w:p w14:paraId="16736969" w14:textId="590A71EA" w:rsidR="001C2721" w:rsidRPr="00D948C1" w:rsidRDefault="00D45179" w:rsidP="006C0086">
            <w:pPr>
              <w:spacing w:line="276" w:lineRule="auto"/>
              <w:jc w:val="right"/>
              <w:rPr>
                <w:rFonts w:cs="Arial"/>
                <w:b/>
                <w:bCs/>
                <w:szCs w:val="24"/>
              </w:rPr>
            </w:pPr>
            <w:r w:rsidRPr="00D948C1">
              <w:rPr>
                <w:rFonts w:cs="Arial"/>
                <w:b/>
                <w:bCs/>
                <w:szCs w:val="24"/>
              </w:rPr>
              <w:t>(491)</w:t>
            </w:r>
          </w:p>
        </w:tc>
      </w:tr>
      <w:tr w:rsidR="001C2721" w:rsidRPr="00D948C1" w14:paraId="6CD6E4BA" w14:textId="77777777" w:rsidTr="00233A66">
        <w:tc>
          <w:tcPr>
            <w:tcW w:w="3675" w:type="dxa"/>
          </w:tcPr>
          <w:p w14:paraId="5AE7147B" w14:textId="77777777" w:rsidR="001C2721" w:rsidRPr="00D948C1" w:rsidRDefault="001C2721" w:rsidP="006C0086">
            <w:pPr>
              <w:spacing w:line="276" w:lineRule="auto"/>
              <w:rPr>
                <w:szCs w:val="24"/>
              </w:rPr>
            </w:pPr>
            <w:r w:rsidRPr="00D948C1">
              <w:rPr>
                <w:szCs w:val="24"/>
              </w:rPr>
              <w:t>Firefighters Pensions</w:t>
            </w:r>
          </w:p>
        </w:tc>
        <w:tc>
          <w:tcPr>
            <w:tcW w:w="1559" w:type="dxa"/>
            <w:vAlign w:val="center"/>
          </w:tcPr>
          <w:p w14:paraId="6E09A300" w14:textId="1660FB3A"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1F3B47C0" w14:textId="0E13D778"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02BF1B8F" w14:textId="2255257E"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7890E76E" w14:textId="2F630C7D"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6A0B66CA" w14:textId="3DDD5699" w:rsidR="001C2721" w:rsidRPr="00D948C1" w:rsidRDefault="00D45179" w:rsidP="006C0086">
            <w:pPr>
              <w:spacing w:line="276" w:lineRule="auto"/>
              <w:jc w:val="right"/>
              <w:rPr>
                <w:rFonts w:cs="Arial"/>
                <w:szCs w:val="24"/>
              </w:rPr>
            </w:pPr>
            <w:r w:rsidRPr="00D948C1">
              <w:rPr>
                <w:rFonts w:cs="Arial"/>
                <w:szCs w:val="24"/>
              </w:rPr>
              <w:t>-</w:t>
            </w:r>
          </w:p>
        </w:tc>
        <w:tc>
          <w:tcPr>
            <w:tcW w:w="1559" w:type="dxa"/>
            <w:vAlign w:val="center"/>
          </w:tcPr>
          <w:p w14:paraId="52733FA7" w14:textId="642E037B" w:rsidR="001C2721" w:rsidRPr="00D948C1" w:rsidRDefault="00D45179" w:rsidP="006C0086">
            <w:pPr>
              <w:spacing w:line="276" w:lineRule="auto"/>
              <w:jc w:val="right"/>
              <w:rPr>
                <w:rFonts w:cs="Arial"/>
                <w:szCs w:val="24"/>
              </w:rPr>
            </w:pPr>
            <w:r w:rsidRPr="00D948C1">
              <w:rPr>
                <w:rFonts w:cs="Arial"/>
                <w:szCs w:val="24"/>
              </w:rPr>
              <w:t>-</w:t>
            </w:r>
          </w:p>
        </w:tc>
        <w:tc>
          <w:tcPr>
            <w:tcW w:w="2126" w:type="dxa"/>
            <w:vAlign w:val="center"/>
          </w:tcPr>
          <w:p w14:paraId="2A5DD591" w14:textId="00C10B55" w:rsidR="001C2721" w:rsidRPr="00D948C1" w:rsidRDefault="00D45179" w:rsidP="006C0086">
            <w:pPr>
              <w:spacing w:line="276" w:lineRule="auto"/>
              <w:jc w:val="right"/>
              <w:rPr>
                <w:rFonts w:cs="Arial"/>
                <w:b/>
                <w:bCs/>
                <w:szCs w:val="24"/>
              </w:rPr>
            </w:pPr>
            <w:r w:rsidRPr="00D948C1">
              <w:rPr>
                <w:rFonts w:cs="Arial"/>
                <w:b/>
                <w:bCs/>
                <w:szCs w:val="24"/>
              </w:rPr>
              <w:t>-</w:t>
            </w:r>
          </w:p>
        </w:tc>
      </w:tr>
      <w:tr w:rsidR="001C2721" w:rsidRPr="00D948C1" w14:paraId="3C26FA09" w14:textId="77777777" w:rsidTr="00233A66">
        <w:tc>
          <w:tcPr>
            <w:tcW w:w="3675" w:type="dxa"/>
          </w:tcPr>
          <w:p w14:paraId="0B11B799" w14:textId="77777777" w:rsidR="001C2721" w:rsidRPr="00D948C1" w:rsidRDefault="001C2721" w:rsidP="006C0086">
            <w:pPr>
              <w:spacing w:line="276" w:lineRule="auto"/>
              <w:rPr>
                <w:szCs w:val="24"/>
              </w:rPr>
            </w:pPr>
            <w:r w:rsidRPr="00D948C1">
              <w:rPr>
                <w:szCs w:val="24"/>
              </w:rPr>
              <w:t>Overheads</w:t>
            </w:r>
          </w:p>
        </w:tc>
        <w:tc>
          <w:tcPr>
            <w:tcW w:w="1559" w:type="dxa"/>
            <w:vAlign w:val="center"/>
          </w:tcPr>
          <w:p w14:paraId="41BD1E28" w14:textId="3B84BAE6" w:rsidR="001C2721" w:rsidRPr="00D948C1" w:rsidRDefault="001C2721" w:rsidP="006C0086">
            <w:pPr>
              <w:spacing w:line="276" w:lineRule="auto"/>
              <w:jc w:val="right"/>
              <w:rPr>
                <w:rFonts w:cs="Arial"/>
                <w:szCs w:val="24"/>
              </w:rPr>
            </w:pPr>
            <w:r w:rsidRPr="00D948C1">
              <w:rPr>
                <w:rFonts w:cs="Arial"/>
                <w:szCs w:val="24"/>
              </w:rPr>
              <w:t>-</w:t>
            </w:r>
          </w:p>
        </w:tc>
        <w:tc>
          <w:tcPr>
            <w:tcW w:w="1276" w:type="dxa"/>
            <w:vAlign w:val="center"/>
          </w:tcPr>
          <w:p w14:paraId="63853191" w14:textId="7C53D3F8" w:rsidR="001C2721" w:rsidRPr="00D948C1" w:rsidRDefault="001C2721" w:rsidP="006C0086">
            <w:pPr>
              <w:spacing w:line="276" w:lineRule="auto"/>
              <w:jc w:val="right"/>
              <w:rPr>
                <w:rFonts w:cs="Arial"/>
                <w:szCs w:val="24"/>
              </w:rPr>
            </w:pPr>
            <w:r w:rsidRPr="00D948C1">
              <w:rPr>
                <w:rFonts w:cs="Arial"/>
                <w:szCs w:val="24"/>
              </w:rPr>
              <w:t>-</w:t>
            </w:r>
          </w:p>
        </w:tc>
        <w:tc>
          <w:tcPr>
            <w:tcW w:w="1842" w:type="dxa"/>
            <w:vAlign w:val="center"/>
          </w:tcPr>
          <w:p w14:paraId="0F3AB981" w14:textId="5A8734FA"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5AEB3C97" w14:textId="388D8FD5" w:rsidR="001C2721" w:rsidRPr="00D948C1" w:rsidRDefault="001C2721" w:rsidP="006C0086">
            <w:pPr>
              <w:spacing w:line="276" w:lineRule="auto"/>
              <w:jc w:val="right"/>
              <w:rPr>
                <w:rFonts w:cs="Arial"/>
                <w:szCs w:val="24"/>
              </w:rPr>
            </w:pPr>
            <w:r w:rsidRPr="00D948C1">
              <w:rPr>
                <w:rFonts w:cs="Arial"/>
                <w:szCs w:val="24"/>
              </w:rPr>
              <w:t>4,</w:t>
            </w:r>
            <w:r w:rsidR="00D45179" w:rsidRPr="00D948C1">
              <w:rPr>
                <w:rFonts w:cs="Arial"/>
                <w:szCs w:val="24"/>
              </w:rPr>
              <w:t>301</w:t>
            </w:r>
            <w:r w:rsidRPr="00D948C1">
              <w:rPr>
                <w:rFonts w:cs="Arial"/>
                <w:szCs w:val="24"/>
              </w:rPr>
              <w:t xml:space="preserve"> </w:t>
            </w:r>
          </w:p>
        </w:tc>
        <w:tc>
          <w:tcPr>
            <w:tcW w:w="1701" w:type="dxa"/>
            <w:vAlign w:val="center"/>
          </w:tcPr>
          <w:p w14:paraId="0D804593" w14:textId="685D9AE6" w:rsidR="001C2721" w:rsidRPr="00D948C1" w:rsidRDefault="00D45179" w:rsidP="006C0086">
            <w:pPr>
              <w:spacing w:line="276" w:lineRule="auto"/>
              <w:jc w:val="right"/>
              <w:rPr>
                <w:rFonts w:cs="Arial"/>
                <w:szCs w:val="24"/>
              </w:rPr>
            </w:pPr>
            <w:r w:rsidRPr="00D948C1">
              <w:rPr>
                <w:rFonts w:cs="Arial"/>
                <w:szCs w:val="24"/>
              </w:rPr>
              <w:t>24</w:t>
            </w:r>
          </w:p>
        </w:tc>
        <w:tc>
          <w:tcPr>
            <w:tcW w:w="1559" w:type="dxa"/>
            <w:vAlign w:val="center"/>
          </w:tcPr>
          <w:p w14:paraId="0CF9CE47" w14:textId="0F0294F8" w:rsidR="001C2721" w:rsidRPr="00D948C1" w:rsidRDefault="00D45179" w:rsidP="006C0086">
            <w:pPr>
              <w:spacing w:line="276" w:lineRule="auto"/>
              <w:jc w:val="right"/>
              <w:rPr>
                <w:rFonts w:cs="Arial"/>
                <w:szCs w:val="24"/>
              </w:rPr>
            </w:pPr>
            <w:r w:rsidRPr="00D948C1">
              <w:rPr>
                <w:rFonts w:cs="Arial"/>
                <w:szCs w:val="24"/>
              </w:rPr>
              <w:t>(2,538)</w:t>
            </w:r>
          </w:p>
        </w:tc>
        <w:tc>
          <w:tcPr>
            <w:tcW w:w="2126" w:type="dxa"/>
            <w:vAlign w:val="center"/>
          </w:tcPr>
          <w:p w14:paraId="666B4445" w14:textId="7B9736D3" w:rsidR="001C2721" w:rsidRPr="00D948C1" w:rsidRDefault="00D45179" w:rsidP="006C0086">
            <w:pPr>
              <w:spacing w:line="276" w:lineRule="auto"/>
              <w:jc w:val="right"/>
              <w:rPr>
                <w:rFonts w:cs="Arial"/>
                <w:b/>
                <w:bCs/>
                <w:szCs w:val="24"/>
              </w:rPr>
            </w:pPr>
            <w:r w:rsidRPr="00D948C1">
              <w:rPr>
                <w:rFonts w:cs="Arial"/>
                <w:b/>
                <w:bCs/>
                <w:szCs w:val="24"/>
              </w:rPr>
              <w:t>1,787</w:t>
            </w:r>
          </w:p>
        </w:tc>
      </w:tr>
      <w:tr w:rsidR="001C2721" w:rsidRPr="00D948C1" w14:paraId="5E9D1F09" w14:textId="77777777" w:rsidTr="00233A66">
        <w:tc>
          <w:tcPr>
            <w:tcW w:w="3675" w:type="dxa"/>
          </w:tcPr>
          <w:p w14:paraId="05EC8309" w14:textId="77777777" w:rsidR="001C2721" w:rsidRPr="00D948C1" w:rsidRDefault="001C2721" w:rsidP="006C0086">
            <w:pPr>
              <w:spacing w:line="276" w:lineRule="auto"/>
              <w:rPr>
                <w:b/>
                <w:szCs w:val="24"/>
              </w:rPr>
            </w:pPr>
            <w:r w:rsidRPr="00D948C1">
              <w:rPr>
                <w:b/>
                <w:szCs w:val="24"/>
              </w:rPr>
              <w:t>Net cost of Services</w:t>
            </w:r>
          </w:p>
        </w:tc>
        <w:tc>
          <w:tcPr>
            <w:tcW w:w="1559" w:type="dxa"/>
            <w:vAlign w:val="center"/>
          </w:tcPr>
          <w:p w14:paraId="5D6B98A8" w14:textId="6A2127BC" w:rsidR="001C2721" w:rsidRPr="00D948C1" w:rsidRDefault="001C2721" w:rsidP="006C0086">
            <w:pPr>
              <w:spacing w:line="276" w:lineRule="auto"/>
              <w:jc w:val="right"/>
              <w:rPr>
                <w:rFonts w:cs="Arial"/>
                <w:b/>
                <w:bCs/>
                <w:szCs w:val="24"/>
              </w:rPr>
            </w:pPr>
            <w:r w:rsidRPr="00D948C1">
              <w:rPr>
                <w:rFonts w:cs="Arial"/>
                <w:b/>
                <w:bCs/>
                <w:szCs w:val="24"/>
              </w:rPr>
              <w:t>-</w:t>
            </w:r>
          </w:p>
        </w:tc>
        <w:tc>
          <w:tcPr>
            <w:tcW w:w="1276" w:type="dxa"/>
            <w:vAlign w:val="center"/>
          </w:tcPr>
          <w:p w14:paraId="00A82AF6" w14:textId="7CAED853" w:rsidR="001C2721" w:rsidRPr="00D948C1" w:rsidRDefault="001C2721" w:rsidP="006C0086">
            <w:pPr>
              <w:spacing w:line="276" w:lineRule="auto"/>
              <w:jc w:val="right"/>
              <w:rPr>
                <w:rFonts w:cs="Arial"/>
                <w:b/>
                <w:bCs/>
                <w:szCs w:val="24"/>
              </w:rPr>
            </w:pPr>
            <w:r w:rsidRPr="00D948C1">
              <w:rPr>
                <w:rFonts w:cs="Arial"/>
                <w:b/>
                <w:bCs/>
                <w:szCs w:val="24"/>
              </w:rPr>
              <w:t>-</w:t>
            </w:r>
          </w:p>
        </w:tc>
        <w:tc>
          <w:tcPr>
            <w:tcW w:w="1842" w:type="dxa"/>
            <w:vAlign w:val="center"/>
          </w:tcPr>
          <w:p w14:paraId="03CC3B34" w14:textId="5A8FD5A2" w:rsidR="001C2721" w:rsidRPr="00D948C1" w:rsidRDefault="001C2721" w:rsidP="006C0086">
            <w:pPr>
              <w:spacing w:line="276" w:lineRule="auto"/>
              <w:jc w:val="right"/>
              <w:rPr>
                <w:rFonts w:cs="Arial"/>
                <w:b/>
                <w:bCs/>
                <w:szCs w:val="24"/>
              </w:rPr>
            </w:pPr>
            <w:r w:rsidRPr="00D948C1">
              <w:rPr>
                <w:rFonts w:cs="Arial"/>
                <w:b/>
                <w:bCs/>
                <w:szCs w:val="24"/>
              </w:rPr>
              <w:t>-</w:t>
            </w:r>
          </w:p>
        </w:tc>
        <w:tc>
          <w:tcPr>
            <w:tcW w:w="1560" w:type="dxa"/>
            <w:vAlign w:val="center"/>
          </w:tcPr>
          <w:p w14:paraId="4D07E905" w14:textId="5F05ECC0" w:rsidR="001C2721" w:rsidRPr="00D948C1" w:rsidRDefault="001C2721" w:rsidP="006C0086">
            <w:pPr>
              <w:spacing w:line="276" w:lineRule="auto"/>
              <w:jc w:val="right"/>
              <w:rPr>
                <w:rFonts w:cs="Arial"/>
                <w:b/>
                <w:bCs/>
                <w:szCs w:val="24"/>
              </w:rPr>
            </w:pPr>
            <w:r w:rsidRPr="00D948C1">
              <w:rPr>
                <w:rFonts w:cs="Arial"/>
                <w:b/>
                <w:bCs/>
                <w:szCs w:val="24"/>
              </w:rPr>
              <w:t>4,</w:t>
            </w:r>
            <w:r w:rsidR="00D45179" w:rsidRPr="00D948C1">
              <w:rPr>
                <w:rFonts w:cs="Arial"/>
                <w:b/>
                <w:bCs/>
                <w:szCs w:val="24"/>
              </w:rPr>
              <w:t>301</w:t>
            </w:r>
            <w:r w:rsidRPr="00D948C1">
              <w:rPr>
                <w:rFonts w:cs="Arial"/>
                <w:b/>
                <w:bCs/>
                <w:szCs w:val="24"/>
              </w:rPr>
              <w:t xml:space="preserve"> </w:t>
            </w:r>
          </w:p>
        </w:tc>
        <w:tc>
          <w:tcPr>
            <w:tcW w:w="1701" w:type="dxa"/>
            <w:vAlign w:val="center"/>
          </w:tcPr>
          <w:p w14:paraId="43834852" w14:textId="51DDBC46" w:rsidR="001C2721" w:rsidRPr="00D948C1" w:rsidRDefault="00D45179" w:rsidP="006C0086">
            <w:pPr>
              <w:spacing w:line="276" w:lineRule="auto"/>
              <w:jc w:val="right"/>
              <w:rPr>
                <w:rFonts w:cs="Arial"/>
                <w:b/>
                <w:bCs/>
                <w:szCs w:val="24"/>
              </w:rPr>
            </w:pPr>
            <w:r w:rsidRPr="00D948C1">
              <w:rPr>
                <w:rFonts w:cs="Arial"/>
                <w:b/>
                <w:bCs/>
                <w:szCs w:val="24"/>
              </w:rPr>
              <w:t>(24,180)</w:t>
            </w:r>
          </w:p>
        </w:tc>
        <w:tc>
          <w:tcPr>
            <w:tcW w:w="1559" w:type="dxa"/>
            <w:vAlign w:val="center"/>
          </w:tcPr>
          <w:p w14:paraId="1E7A5406" w14:textId="2F8244F6" w:rsidR="001C2721" w:rsidRPr="00D948C1" w:rsidRDefault="00D45179" w:rsidP="006C0086">
            <w:pPr>
              <w:spacing w:line="276" w:lineRule="auto"/>
              <w:jc w:val="right"/>
              <w:rPr>
                <w:rFonts w:cs="Arial"/>
                <w:b/>
                <w:bCs/>
                <w:szCs w:val="24"/>
              </w:rPr>
            </w:pPr>
            <w:r w:rsidRPr="00D948C1">
              <w:rPr>
                <w:rFonts w:cs="Arial"/>
                <w:b/>
                <w:bCs/>
                <w:szCs w:val="24"/>
              </w:rPr>
              <w:t>(2,640)</w:t>
            </w:r>
          </w:p>
        </w:tc>
        <w:tc>
          <w:tcPr>
            <w:tcW w:w="2126" w:type="dxa"/>
            <w:vAlign w:val="center"/>
          </w:tcPr>
          <w:p w14:paraId="55F622AD" w14:textId="0247F4AA" w:rsidR="001C2721" w:rsidRPr="00D948C1" w:rsidRDefault="00D45179" w:rsidP="006C0086">
            <w:pPr>
              <w:spacing w:line="276" w:lineRule="auto"/>
              <w:jc w:val="right"/>
              <w:rPr>
                <w:rFonts w:cs="Arial"/>
                <w:b/>
                <w:bCs/>
                <w:szCs w:val="24"/>
              </w:rPr>
            </w:pPr>
            <w:r w:rsidRPr="00D948C1">
              <w:rPr>
                <w:rFonts w:cs="Arial"/>
                <w:b/>
                <w:bCs/>
                <w:szCs w:val="24"/>
              </w:rPr>
              <w:t>(22,520)</w:t>
            </w:r>
          </w:p>
        </w:tc>
      </w:tr>
      <w:tr w:rsidR="001C2721" w:rsidRPr="00D948C1" w14:paraId="230C29D9" w14:textId="77777777" w:rsidTr="00233A66">
        <w:tc>
          <w:tcPr>
            <w:tcW w:w="3675" w:type="dxa"/>
          </w:tcPr>
          <w:p w14:paraId="4A515E5F" w14:textId="77777777" w:rsidR="001C2721" w:rsidRPr="00D948C1" w:rsidRDefault="001C2721" w:rsidP="006C0086">
            <w:pPr>
              <w:spacing w:line="276" w:lineRule="auto"/>
              <w:rPr>
                <w:szCs w:val="24"/>
              </w:rPr>
            </w:pPr>
            <w:r w:rsidRPr="00D948C1">
              <w:rPr>
                <w:szCs w:val="24"/>
              </w:rPr>
              <w:t>Other income and expenditure</w:t>
            </w:r>
          </w:p>
        </w:tc>
        <w:tc>
          <w:tcPr>
            <w:tcW w:w="1559" w:type="dxa"/>
            <w:vAlign w:val="center"/>
          </w:tcPr>
          <w:p w14:paraId="2E9E4BF0" w14:textId="16818141" w:rsidR="001C2721" w:rsidRPr="00D948C1" w:rsidRDefault="001C2721" w:rsidP="006C0086">
            <w:pPr>
              <w:spacing w:line="276" w:lineRule="auto"/>
              <w:jc w:val="right"/>
              <w:rPr>
                <w:rFonts w:cs="Arial"/>
                <w:szCs w:val="24"/>
              </w:rPr>
            </w:pPr>
            <w:r w:rsidRPr="00D948C1">
              <w:rPr>
                <w:rFonts w:cs="Arial"/>
                <w:szCs w:val="24"/>
              </w:rPr>
              <w:t xml:space="preserve">- </w:t>
            </w:r>
          </w:p>
        </w:tc>
        <w:tc>
          <w:tcPr>
            <w:tcW w:w="1276" w:type="dxa"/>
            <w:vAlign w:val="center"/>
          </w:tcPr>
          <w:p w14:paraId="7AB474A1" w14:textId="50415EFF" w:rsidR="001C2721" w:rsidRPr="00D948C1" w:rsidRDefault="001C2721" w:rsidP="006C0086">
            <w:pPr>
              <w:spacing w:line="276" w:lineRule="auto"/>
              <w:jc w:val="right"/>
              <w:rPr>
                <w:rFonts w:cs="Arial"/>
                <w:szCs w:val="24"/>
              </w:rPr>
            </w:pPr>
            <w:r w:rsidRPr="00D948C1">
              <w:rPr>
                <w:rFonts w:cs="Arial"/>
                <w:szCs w:val="24"/>
              </w:rPr>
              <w:t xml:space="preserve">- </w:t>
            </w:r>
          </w:p>
        </w:tc>
        <w:tc>
          <w:tcPr>
            <w:tcW w:w="1842" w:type="dxa"/>
            <w:vAlign w:val="center"/>
          </w:tcPr>
          <w:p w14:paraId="09D40AEF" w14:textId="14BC46C5" w:rsidR="001C2721" w:rsidRPr="00D948C1" w:rsidRDefault="001C2721" w:rsidP="006C0086">
            <w:pPr>
              <w:spacing w:line="276" w:lineRule="auto"/>
              <w:jc w:val="right"/>
              <w:rPr>
                <w:rFonts w:cs="Arial"/>
                <w:szCs w:val="24"/>
              </w:rPr>
            </w:pPr>
            <w:r w:rsidRPr="00D948C1">
              <w:rPr>
                <w:rFonts w:cs="Arial"/>
                <w:szCs w:val="24"/>
              </w:rPr>
              <w:t>-</w:t>
            </w:r>
          </w:p>
        </w:tc>
        <w:tc>
          <w:tcPr>
            <w:tcW w:w="1560" w:type="dxa"/>
            <w:vAlign w:val="center"/>
          </w:tcPr>
          <w:p w14:paraId="26B43703" w14:textId="00B653F3" w:rsidR="001C2721" w:rsidRPr="00D948C1" w:rsidRDefault="009E63DB" w:rsidP="006C0086">
            <w:pPr>
              <w:spacing w:line="276" w:lineRule="auto"/>
              <w:jc w:val="right"/>
              <w:rPr>
                <w:rFonts w:cs="Arial"/>
                <w:szCs w:val="24"/>
              </w:rPr>
            </w:pPr>
            <w:r w:rsidRPr="00D948C1">
              <w:rPr>
                <w:rFonts w:cs="Arial"/>
                <w:szCs w:val="24"/>
              </w:rPr>
              <w:t>-</w:t>
            </w:r>
            <w:r w:rsidR="001C2721" w:rsidRPr="00D948C1">
              <w:rPr>
                <w:rFonts w:cs="Arial"/>
                <w:szCs w:val="24"/>
              </w:rPr>
              <w:t xml:space="preserve"> </w:t>
            </w:r>
          </w:p>
        </w:tc>
        <w:tc>
          <w:tcPr>
            <w:tcW w:w="1701" w:type="dxa"/>
            <w:vAlign w:val="center"/>
          </w:tcPr>
          <w:p w14:paraId="6AAF2CCD" w14:textId="11422194" w:rsidR="001C2721" w:rsidRPr="00D948C1" w:rsidRDefault="00D45179" w:rsidP="006C0086">
            <w:pPr>
              <w:spacing w:line="276" w:lineRule="auto"/>
              <w:jc w:val="right"/>
              <w:rPr>
                <w:rFonts w:cs="Arial"/>
                <w:szCs w:val="24"/>
              </w:rPr>
            </w:pPr>
            <w:r w:rsidRPr="00D948C1">
              <w:rPr>
                <w:rFonts w:cs="Arial"/>
                <w:szCs w:val="24"/>
              </w:rPr>
              <w:t>28,750</w:t>
            </w:r>
          </w:p>
        </w:tc>
        <w:tc>
          <w:tcPr>
            <w:tcW w:w="1559" w:type="dxa"/>
            <w:vAlign w:val="center"/>
          </w:tcPr>
          <w:p w14:paraId="5D56B5F3" w14:textId="1662160A" w:rsidR="001C2721" w:rsidRPr="00D948C1" w:rsidRDefault="00D45179" w:rsidP="006C0086">
            <w:pPr>
              <w:spacing w:line="276" w:lineRule="auto"/>
              <w:jc w:val="right"/>
              <w:rPr>
                <w:rFonts w:cs="Arial"/>
                <w:szCs w:val="24"/>
              </w:rPr>
            </w:pPr>
            <w:r w:rsidRPr="00D948C1">
              <w:rPr>
                <w:rFonts w:cs="Arial"/>
                <w:szCs w:val="24"/>
              </w:rPr>
              <w:t>(613)</w:t>
            </w:r>
          </w:p>
        </w:tc>
        <w:tc>
          <w:tcPr>
            <w:tcW w:w="2126" w:type="dxa"/>
            <w:vAlign w:val="center"/>
          </w:tcPr>
          <w:p w14:paraId="628F0052" w14:textId="775F0447" w:rsidR="001C2721" w:rsidRPr="00D948C1" w:rsidRDefault="00D45179" w:rsidP="006C0086">
            <w:pPr>
              <w:spacing w:line="276" w:lineRule="auto"/>
              <w:jc w:val="right"/>
              <w:rPr>
                <w:rFonts w:cs="Arial"/>
                <w:b/>
                <w:bCs/>
                <w:szCs w:val="24"/>
              </w:rPr>
            </w:pPr>
            <w:r w:rsidRPr="00D948C1">
              <w:rPr>
                <w:rFonts w:cs="Arial"/>
                <w:b/>
                <w:bCs/>
                <w:szCs w:val="24"/>
              </w:rPr>
              <w:t>28,137</w:t>
            </w:r>
          </w:p>
        </w:tc>
      </w:tr>
      <w:tr w:rsidR="001C2721" w:rsidRPr="00D948C1" w14:paraId="6B3EEC17" w14:textId="77777777" w:rsidTr="00233A66">
        <w:tc>
          <w:tcPr>
            <w:tcW w:w="3675" w:type="dxa"/>
          </w:tcPr>
          <w:p w14:paraId="47634C7C" w14:textId="77777777" w:rsidR="001C2721" w:rsidRPr="00D948C1" w:rsidRDefault="001C2721" w:rsidP="006C0086">
            <w:pPr>
              <w:spacing w:line="276" w:lineRule="auto"/>
              <w:rPr>
                <w:b/>
                <w:szCs w:val="24"/>
              </w:rPr>
            </w:pPr>
            <w:r w:rsidRPr="00D948C1">
              <w:rPr>
                <w:b/>
                <w:szCs w:val="24"/>
              </w:rPr>
              <w:t>Total</w:t>
            </w:r>
          </w:p>
        </w:tc>
        <w:tc>
          <w:tcPr>
            <w:tcW w:w="1559" w:type="dxa"/>
            <w:vAlign w:val="center"/>
          </w:tcPr>
          <w:p w14:paraId="477A1C32" w14:textId="64BE40A8" w:rsidR="001C2721" w:rsidRPr="00D948C1" w:rsidRDefault="001C2721" w:rsidP="006C0086">
            <w:pPr>
              <w:spacing w:line="276" w:lineRule="auto"/>
              <w:jc w:val="right"/>
              <w:rPr>
                <w:rFonts w:cs="Arial"/>
                <w:b/>
                <w:bCs/>
                <w:szCs w:val="24"/>
              </w:rPr>
            </w:pPr>
            <w:r w:rsidRPr="00D948C1">
              <w:rPr>
                <w:rFonts w:cs="Arial"/>
                <w:b/>
                <w:bCs/>
                <w:szCs w:val="24"/>
              </w:rPr>
              <w:t>-</w:t>
            </w:r>
          </w:p>
        </w:tc>
        <w:tc>
          <w:tcPr>
            <w:tcW w:w="1276" w:type="dxa"/>
            <w:vAlign w:val="center"/>
          </w:tcPr>
          <w:p w14:paraId="2D6FA025" w14:textId="70F7ABD4" w:rsidR="001C2721" w:rsidRPr="00D948C1" w:rsidRDefault="001C2721" w:rsidP="006C0086">
            <w:pPr>
              <w:spacing w:line="276" w:lineRule="auto"/>
              <w:jc w:val="right"/>
              <w:rPr>
                <w:rFonts w:cs="Arial"/>
                <w:b/>
                <w:bCs/>
                <w:szCs w:val="24"/>
              </w:rPr>
            </w:pPr>
            <w:r w:rsidRPr="00D948C1">
              <w:rPr>
                <w:rFonts w:cs="Arial"/>
                <w:b/>
                <w:bCs/>
                <w:szCs w:val="24"/>
              </w:rPr>
              <w:t>-</w:t>
            </w:r>
          </w:p>
        </w:tc>
        <w:tc>
          <w:tcPr>
            <w:tcW w:w="1842" w:type="dxa"/>
            <w:vAlign w:val="center"/>
          </w:tcPr>
          <w:p w14:paraId="32987A43" w14:textId="3F091893" w:rsidR="001C2721" w:rsidRPr="00D948C1" w:rsidRDefault="001C2721" w:rsidP="006C0086">
            <w:pPr>
              <w:spacing w:line="276" w:lineRule="auto"/>
              <w:jc w:val="right"/>
              <w:rPr>
                <w:rFonts w:cs="Arial"/>
                <w:b/>
                <w:bCs/>
                <w:szCs w:val="24"/>
              </w:rPr>
            </w:pPr>
            <w:r w:rsidRPr="00D948C1">
              <w:rPr>
                <w:rFonts w:cs="Arial"/>
                <w:b/>
                <w:bCs/>
                <w:szCs w:val="24"/>
              </w:rPr>
              <w:t>-</w:t>
            </w:r>
          </w:p>
        </w:tc>
        <w:tc>
          <w:tcPr>
            <w:tcW w:w="1560" w:type="dxa"/>
            <w:vAlign w:val="center"/>
          </w:tcPr>
          <w:p w14:paraId="1E973CDA" w14:textId="28502A0C" w:rsidR="001C2721" w:rsidRPr="00D948C1" w:rsidRDefault="001C2721" w:rsidP="006C0086">
            <w:pPr>
              <w:spacing w:line="276" w:lineRule="auto"/>
              <w:jc w:val="right"/>
              <w:rPr>
                <w:rFonts w:cs="Arial"/>
                <w:b/>
                <w:bCs/>
                <w:szCs w:val="24"/>
              </w:rPr>
            </w:pPr>
            <w:r w:rsidRPr="00D948C1">
              <w:rPr>
                <w:rFonts w:cs="Arial"/>
                <w:b/>
                <w:bCs/>
                <w:szCs w:val="24"/>
              </w:rPr>
              <w:t>4,</w:t>
            </w:r>
            <w:r w:rsidR="00D45179" w:rsidRPr="00D948C1">
              <w:rPr>
                <w:rFonts w:cs="Arial"/>
                <w:b/>
                <w:bCs/>
                <w:szCs w:val="24"/>
              </w:rPr>
              <w:t>301</w:t>
            </w:r>
            <w:r w:rsidRPr="00D948C1">
              <w:rPr>
                <w:rFonts w:cs="Arial"/>
                <w:b/>
                <w:bCs/>
                <w:szCs w:val="24"/>
              </w:rPr>
              <w:t xml:space="preserve"> </w:t>
            </w:r>
          </w:p>
        </w:tc>
        <w:tc>
          <w:tcPr>
            <w:tcW w:w="1701" w:type="dxa"/>
            <w:vAlign w:val="center"/>
          </w:tcPr>
          <w:p w14:paraId="2B0628E0" w14:textId="3F601346" w:rsidR="001C2721" w:rsidRPr="00D948C1" w:rsidRDefault="00D45179" w:rsidP="006C0086">
            <w:pPr>
              <w:spacing w:line="276" w:lineRule="auto"/>
              <w:jc w:val="right"/>
              <w:rPr>
                <w:rFonts w:cs="Arial"/>
                <w:b/>
                <w:bCs/>
                <w:szCs w:val="24"/>
              </w:rPr>
            </w:pPr>
            <w:r w:rsidRPr="00D948C1">
              <w:rPr>
                <w:rFonts w:cs="Arial"/>
                <w:b/>
                <w:bCs/>
                <w:szCs w:val="24"/>
              </w:rPr>
              <w:t>4,570</w:t>
            </w:r>
          </w:p>
        </w:tc>
        <w:tc>
          <w:tcPr>
            <w:tcW w:w="1559" w:type="dxa"/>
            <w:vAlign w:val="center"/>
          </w:tcPr>
          <w:p w14:paraId="265ADD43" w14:textId="224DE16E" w:rsidR="001C2721" w:rsidRPr="00D948C1" w:rsidRDefault="00D45179" w:rsidP="006C0086">
            <w:pPr>
              <w:spacing w:line="276" w:lineRule="auto"/>
              <w:jc w:val="right"/>
              <w:rPr>
                <w:rFonts w:cs="Arial"/>
                <w:b/>
                <w:bCs/>
                <w:szCs w:val="24"/>
              </w:rPr>
            </w:pPr>
            <w:r w:rsidRPr="00D948C1">
              <w:rPr>
                <w:rFonts w:cs="Arial"/>
                <w:b/>
                <w:bCs/>
                <w:szCs w:val="24"/>
              </w:rPr>
              <w:t>(3,253)</w:t>
            </w:r>
          </w:p>
        </w:tc>
        <w:tc>
          <w:tcPr>
            <w:tcW w:w="2126" w:type="dxa"/>
            <w:vAlign w:val="center"/>
          </w:tcPr>
          <w:p w14:paraId="06E71C8C" w14:textId="18022F96" w:rsidR="001C2721" w:rsidRPr="00D948C1" w:rsidRDefault="00D45179" w:rsidP="006C0086">
            <w:pPr>
              <w:spacing w:line="276" w:lineRule="auto"/>
              <w:jc w:val="right"/>
              <w:rPr>
                <w:rFonts w:cs="Arial"/>
                <w:b/>
                <w:bCs/>
                <w:szCs w:val="24"/>
              </w:rPr>
            </w:pPr>
            <w:r w:rsidRPr="00D948C1">
              <w:rPr>
                <w:rFonts w:cs="Arial"/>
                <w:b/>
                <w:bCs/>
                <w:szCs w:val="24"/>
              </w:rPr>
              <w:t>5,618</w:t>
            </w:r>
          </w:p>
        </w:tc>
      </w:tr>
      <w:bookmarkEnd w:id="25"/>
    </w:tbl>
    <w:p w14:paraId="67C91886" w14:textId="7B165B33" w:rsidR="002D6690" w:rsidRPr="00D948C1" w:rsidRDefault="002D6690" w:rsidP="006C0086">
      <w:pPr>
        <w:spacing w:line="276" w:lineRule="auto"/>
      </w:pPr>
    </w:p>
    <w:p w14:paraId="24F266F2" w14:textId="77777777" w:rsidR="003C7C40" w:rsidRPr="00D948C1" w:rsidRDefault="003C7C40" w:rsidP="006C0086">
      <w:pPr>
        <w:spacing w:line="276" w:lineRule="auto"/>
      </w:pPr>
      <w:r w:rsidRPr="00D948C1">
        <w:br w:type="page"/>
      </w:r>
    </w:p>
    <w:tbl>
      <w:tblPr>
        <w:tblStyle w:val="TableGrid"/>
        <w:tblW w:w="15156" w:type="dxa"/>
        <w:tblInd w:w="720" w:type="dxa"/>
        <w:tblLayout w:type="fixed"/>
        <w:tblLook w:val="04A0" w:firstRow="1" w:lastRow="0" w:firstColumn="1" w:lastColumn="0" w:noHBand="0" w:noVBand="1"/>
      </w:tblPr>
      <w:tblGrid>
        <w:gridCol w:w="3675"/>
        <w:gridCol w:w="1559"/>
        <w:gridCol w:w="1276"/>
        <w:gridCol w:w="1837"/>
        <w:gridCol w:w="1565"/>
        <w:gridCol w:w="1701"/>
        <w:gridCol w:w="1559"/>
        <w:gridCol w:w="1984"/>
      </w:tblGrid>
      <w:tr w:rsidR="00C7098F" w:rsidRPr="00D948C1" w14:paraId="02A0C65E" w14:textId="77777777" w:rsidTr="00611673">
        <w:trPr>
          <w:tblHeader/>
        </w:trPr>
        <w:tc>
          <w:tcPr>
            <w:tcW w:w="3675" w:type="dxa"/>
            <w:shd w:val="clear" w:color="auto" w:fill="BD2716"/>
            <w:vAlign w:val="center"/>
          </w:tcPr>
          <w:p w14:paraId="5033E3F8" w14:textId="77777777" w:rsidR="00C7098F" w:rsidRPr="00D948C1" w:rsidRDefault="00C7098F" w:rsidP="006C0086">
            <w:pPr>
              <w:spacing w:line="276" w:lineRule="auto"/>
              <w:rPr>
                <w:color w:val="FFFFFF" w:themeColor="background1"/>
                <w:szCs w:val="24"/>
              </w:rPr>
            </w:pPr>
            <w:r w:rsidRPr="00D948C1">
              <w:rPr>
                <w:color w:val="FFFFFF" w:themeColor="background1"/>
                <w:szCs w:val="24"/>
              </w:rPr>
              <w:lastRenderedPageBreak/>
              <w:t>2022/23</w:t>
            </w:r>
          </w:p>
          <w:p w14:paraId="1385CF36" w14:textId="71BD728A" w:rsidR="00C7098F" w:rsidRPr="00D948C1" w:rsidRDefault="00C7098F" w:rsidP="006C0086">
            <w:pPr>
              <w:spacing w:line="276" w:lineRule="auto"/>
              <w:rPr>
                <w:color w:val="FFFFFF" w:themeColor="background1"/>
                <w:szCs w:val="24"/>
              </w:rPr>
            </w:pPr>
            <w:r w:rsidRPr="00D948C1">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71486E1F"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Transfer to/(from) Earmarked Reserves</w:t>
            </w:r>
          </w:p>
          <w:p w14:paraId="0F6AF541" w14:textId="02B59FBD" w:rsidR="00C7098F" w:rsidRPr="00D948C1" w:rsidRDefault="00C7098F" w:rsidP="006C0086">
            <w:pPr>
              <w:spacing w:line="276" w:lineRule="auto"/>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68A90C13"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Transfer to/(from) Capital Reserves</w:t>
            </w:r>
          </w:p>
          <w:p w14:paraId="38F51FE4" w14:textId="38412F7A" w:rsidR="00C7098F" w:rsidRPr="00D948C1" w:rsidRDefault="00C7098F" w:rsidP="006C0086">
            <w:pPr>
              <w:spacing w:line="276" w:lineRule="auto"/>
              <w:jc w:val="right"/>
              <w:rPr>
                <w:color w:val="FFFFFF" w:themeColor="background1"/>
                <w:szCs w:val="24"/>
              </w:rPr>
            </w:pPr>
            <w:r w:rsidRPr="00D948C1">
              <w:rPr>
                <w:color w:val="FFFFFF" w:themeColor="background1"/>
                <w:szCs w:val="24"/>
              </w:rPr>
              <w:t>£000</w:t>
            </w:r>
          </w:p>
        </w:tc>
        <w:tc>
          <w:tcPr>
            <w:tcW w:w="1837" w:type="dxa"/>
            <w:shd w:val="clear" w:color="auto" w:fill="BD2716"/>
            <w:vAlign w:val="center"/>
          </w:tcPr>
          <w:p w14:paraId="6EF64715" w14:textId="77777777" w:rsidR="00C7098F" w:rsidRPr="00D948C1" w:rsidRDefault="00C7098F" w:rsidP="006C0086">
            <w:pPr>
              <w:spacing w:line="276" w:lineRule="auto"/>
              <w:jc w:val="right"/>
              <w:rPr>
                <w:b/>
                <w:color w:val="FFFFFF" w:themeColor="background1"/>
                <w:szCs w:val="24"/>
              </w:rPr>
            </w:pPr>
            <w:r w:rsidRPr="00D948C1">
              <w:rPr>
                <w:b/>
                <w:color w:val="FFFFFF" w:themeColor="background1"/>
                <w:szCs w:val="24"/>
              </w:rPr>
              <w:t>Total to arrive at amount charged to the General Fund</w:t>
            </w:r>
          </w:p>
          <w:p w14:paraId="154F7FA7" w14:textId="7911EC2F" w:rsidR="00C7098F" w:rsidRPr="00D948C1" w:rsidRDefault="00C7098F" w:rsidP="006C0086">
            <w:pPr>
              <w:spacing w:line="276" w:lineRule="auto"/>
              <w:jc w:val="right"/>
              <w:rPr>
                <w:color w:val="FFFFFF" w:themeColor="background1"/>
                <w:szCs w:val="24"/>
              </w:rPr>
            </w:pPr>
            <w:r w:rsidRPr="00D948C1">
              <w:rPr>
                <w:b/>
                <w:color w:val="FFFFFF" w:themeColor="background1"/>
                <w:szCs w:val="24"/>
              </w:rPr>
              <w:t>£000</w:t>
            </w:r>
          </w:p>
        </w:tc>
        <w:tc>
          <w:tcPr>
            <w:tcW w:w="1565" w:type="dxa"/>
            <w:shd w:val="clear" w:color="auto" w:fill="BD2716"/>
            <w:vAlign w:val="center"/>
          </w:tcPr>
          <w:p w14:paraId="46981FD6"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Adjustments for Capital Purposes (1)</w:t>
            </w:r>
          </w:p>
          <w:p w14:paraId="25E0F69F" w14:textId="550A34F3" w:rsidR="00C7098F" w:rsidRPr="00D948C1" w:rsidRDefault="00C7098F"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66C34991"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Net change for Pensions Adjustments (2)</w:t>
            </w:r>
          </w:p>
          <w:p w14:paraId="4261FA25" w14:textId="6CEA2DBE" w:rsidR="00C7098F" w:rsidRPr="00D948C1" w:rsidRDefault="00C7098F" w:rsidP="006C0086">
            <w:pPr>
              <w:spacing w:line="276" w:lineRule="auto"/>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1A38B7FF"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Other Differences (3)</w:t>
            </w:r>
          </w:p>
          <w:p w14:paraId="43C622C0" w14:textId="0CF77201" w:rsidR="00C7098F" w:rsidRPr="00D948C1" w:rsidRDefault="00C7098F" w:rsidP="006C0086">
            <w:pPr>
              <w:spacing w:line="276" w:lineRule="auto"/>
              <w:jc w:val="right"/>
              <w:rPr>
                <w:color w:val="FFFFFF" w:themeColor="background1"/>
                <w:szCs w:val="24"/>
              </w:rPr>
            </w:pPr>
            <w:r w:rsidRPr="00D948C1">
              <w:rPr>
                <w:color w:val="FFFFFF" w:themeColor="background1"/>
                <w:szCs w:val="24"/>
              </w:rPr>
              <w:t>£000</w:t>
            </w:r>
          </w:p>
        </w:tc>
        <w:tc>
          <w:tcPr>
            <w:tcW w:w="1984" w:type="dxa"/>
            <w:shd w:val="clear" w:color="auto" w:fill="BD2716"/>
            <w:vAlign w:val="center"/>
          </w:tcPr>
          <w:p w14:paraId="42AB7ED6" w14:textId="77777777" w:rsidR="00C7098F" w:rsidRPr="00D948C1" w:rsidRDefault="00C7098F" w:rsidP="006C0086">
            <w:pPr>
              <w:spacing w:line="276" w:lineRule="auto"/>
              <w:jc w:val="right"/>
              <w:rPr>
                <w:b/>
                <w:color w:val="FFFFFF" w:themeColor="background1"/>
                <w:szCs w:val="24"/>
              </w:rPr>
            </w:pPr>
            <w:r w:rsidRPr="00D948C1">
              <w:rPr>
                <w:b/>
                <w:color w:val="FFFFFF" w:themeColor="background1"/>
                <w:szCs w:val="24"/>
              </w:rPr>
              <w:t>Total adjustment between funding and accounting basis</w:t>
            </w:r>
          </w:p>
          <w:p w14:paraId="232FFA44" w14:textId="482DC00B" w:rsidR="00C7098F" w:rsidRPr="00D948C1" w:rsidRDefault="00C7098F" w:rsidP="006C0086">
            <w:pPr>
              <w:spacing w:line="276" w:lineRule="auto"/>
              <w:jc w:val="right"/>
              <w:rPr>
                <w:color w:val="FFFFFF" w:themeColor="background1"/>
                <w:szCs w:val="24"/>
              </w:rPr>
            </w:pPr>
            <w:r w:rsidRPr="00D948C1">
              <w:rPr>
                <w:b/>
                <w:color w:val="FFFFFF" w:themeColor="background1"/>
                <w:szCs w:val="24"/>
              </w:rPr>
              <w:t>£000</w:t>
            </w:r>
          </w:p>
        </w:tc>
      </w:tr>
      <w:tr w:rsidR="00C7098F" w:rsidRPr="00D948C1" w14:paraId="6BC03170" w14:textId="77777777" w:rsidTr="00233A66">
        <w:tc>
          <w:tcPr>
            <w:tcW w:w="3675" w:type="dxa"/>
          </w:tcPr>
          <w:p w14:paraId="7764DD86" w14:textId="12A7F9EF" w:rsidR="00C7098F" w:rsidRPr="00D948C1" w:rsidRDefault="00C7098F" w:rsidP="006C0086">
            <w:pPr>
              <w:spacing w:line="276" w:lineRule="auto"/>
              <w:rPr>
                <w:szCs w:val="24"/>
              </w:rPr>
            </w:pPr>
            <w:r w:rsidRPr="00D948C1">
              <w:rPr>
                <w:szCs w:val="24"/>
              </w:rPr>
              <w:t>Service Delivery</w:t>
            </w:r>
          </w:p>
        </w:tc>
        <w:tc>
          <w:tcPr>
            <w:tcW w:w="1559" w:type="dxa"/>
            <w:vAlign w:val="center"/>
          </w:tcPr>
          <w:p w14:paraId="739357E3" w14:textId="3847E9BD"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2C54913E" w14:textId="313DCE06"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769F8331" w14:textId="71FBBF98"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6078E603" w14:textId="22078659"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191CDAA2" w14:textId="1096B455" w:rsidR="00C7098F" w:rsidRPr="00D948C1" w:rsidRDefault="00C7098F" w:rsidP="006C0086">
            <w:pPr>
              <w:spacing w:line="276" w:lineRule="auto"/>
              <w:jc w:val="right"/>
              <w:rPr>
                <w:rFonts w:cs="Arial"/>
                <w:szCs w:val="24"/>
              </w:rPr>
            </w:pPr>
            <w:r w:rsidRPr="00D948C1">
              <w:rPr>
                <w:rFonts w:cs="Arial"/>
                <w:szCs w:val="24"/>
              </w:rPr>
              <w:t>(10,923)</w:t>
            </w:r>
          </w:p>
        </w:tc>
        <w:tc>
          <w:tcPr>
            <w:tcW w:w="1559" w:type="dxa"/>
            <w:vAlign w:val="center"/>
          </w:tcPr>
          <w:p w14:paraId="02FC2EA7" w14:textId="4F5A96CA" w:rsidR="00C7098F" w:rsidRPr="00D948C1" w:rsidRDefault="00C7098F" w:rsidP="006C0086">
            <w:pPr>
              <w:spacing w:line="276" w:lineRule="auto"/>
              <w:jc w:val="right"/>
              <w:rPr>
                <w:rFonts w:cs="Arial"/>
                <w:szCs w:val="24"/>
              </w:rPr>
            </w:pPr>
            <w:r w:rsidRPr="00D948C1">
              <w:rPr>
                <w:rFonts w:cs="Arial"/>
                <w:szCs w:val="24"/>
              </w:rPr>
              <w:t xml:space="preserve">778 </w:t>
            </w:r>
          </w:p>
        </w:tc>
        <w:tc>
          <w:tcPr>
            <w:tcW w:w="1984" w:type="dxa"/>
            <w:vAlign w:val="center"/>
          </w:tcPr>
          <w:p w14:paraId="1F96802E" w14:textId="7B6237E1" w:rsidR="00C7098F" w:rsidRPr="00D948C1" w:rsidRDefault="00C7098F" w:rsidP="006C0086">
            <w:pPr>
              <w:spacing w:line="276" w:lineRule="auto"/>
              <w:jc w:val="right"/>
              <w:rPr>
                <w:rFonts w:cs="Arial"/>
                <w:b/>
                <w:bCs/>
                <w:szCs w:val="24"/>
              </w:rPr>
            </w:pPr>
            <w:r w:rsidRPr="00D948C1">
              <w:rPr>
                <w:rFonts w:cs="Arial"/>
                <w:b/>
                <w:bCs/>
                <w:szCs w:val="24"/>
              </w:rPr>
              <w:t>(10,145)</w:t>
            </w:r>
          </w:p>
        </w:tc>
      </w:tr>
      <w:tr w:rsidR="00C7098F" w:rsidRPr="00D948C1" w14:paraId="18748AEC" w14:textId="77777777" w:rsidTr="00233A66">
        <w:tc>
          <w:tcPr>
            <w:tcW w:w="3675" w:type="dxa"/>
          </w:tcPr>
          <w:p w14:paraId="47358688" w14:textId="3E5FF081" w:rsidR="00C7098F" w:rsidRPr="00D948C1" w:rsidRDefault="00C7098F" w:rsidP="006C0086">
            <w:pPr>
              <w:spacing w:line="276" w:lineRule="auto"/>
              <w:rPr>
                <w:szCs w:val="24"/>
              </w:rPr>
            </w:pPr>
            <w:r w:rsidRPr="00D948C1">
              <w:rPr>
                <w:szCs w:val="24"/>
              </w:rPr>
              <w:t>Strategy and Planning</w:t>
            </w:r>
          </w:p>
        </w:tc>
        <w:tc>
          <w:tcPr>
            <w:tcW w:w="1559" w:type="dxa"/>
            <w:vAlign w:val="center"/>
          </w:tcPr>
          <w:p w14:paraId="6B76D829" w14:textId="56509631"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263BC21E" w14:textId="222C0812"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494F850B" w14:textId="086EB3AE"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0AAFE36C" w14:textId="1EA476C5"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18B45358" w14:textId="42984CFA" w:rsidR="00C7098F" w:rsidRPr="00D948C1" w:rsidRDefault="00C7098F" w:rsidP="006C0086">
            <w:pPr>
              <w:spacing w:line="276" w:lineRule="auto"/>
              <w:jc w:val="right"/>
              <w:rPr>
                <w:rFonts w:cs="Arial"/>
                <w:szCs w:val="24"/>
              </w:rPr>
            </w:pPr>
            <w:r w:rsidRPr="00D948C1">
              <w:rPr>
                <w:rFonts w:cs="Arial"/>
                <w:szCs w:val="24"/>
              </w:rPr>
              <w:t>(436)</w:t>
            </w:r>
          </w:p>
        </w:tc>
        <w:tc>
          <w:tcPr>
            <w:tcW w:w="1559" w:type="dxa"/>
            <w:vAlign w:val="center"/>
          </w:tcPr>
          <w:p w14:paraId="58EE17C8" w14:textId="637E0FBC" w:rsidR="00C7098F" w:rsidRPr="00D948C1" w:rsidRDefault="00C7098F" w:rsidP="006C0086">
            <w:pPr>
              <w:spacing w:line="276" w:lineRule="auto"/>
              <w:jc w:val="right"/>
              <w:rPr>
                <w:rFonts w:cs="Arial"/>
                <w:szCs w:val="24"/>
              </w:rPr>
            </w:pPr>
            <w:r w:rsidRPr="00D948C1">
              <w:rPr>
                <w:rFonts w:cs="Arial"/>
                <w:szCs w:val="24"/>
              </w:rPr>
              <w:t>(233)</w:t>
            </w:r>
          </w:p>
        </w:tc>
        <w:tc>
          <w:tcPr>
            <w:tcW w:w="1984" w:type="dxa"/>
            <w:vAlign w:val="center"/>
          </w:tcPr>
          <w:p w14:paraId="41133211" w14:textId="7353DE12" w:rsidR="00C7098F" w:rsidRPr="00D948C1" w:rsidRDefault="00C7098F" w:rsidP="006C0086">
            <w:pPr>
              <w:spacing w:line="276" w:lineRule="auto"/>
              <w:jc w:val="right"/>
              <w:rPr>
                <w:rFonts w:cs="Arial"/>
                <w:b/>
                <w:bCs/>
                <w:szCs w:val="24"/>
              </w:rPr>
            </w:pPr>
            <w:r w:rsidRPr="00D948C1">
              <w:rPr>
                <w:rFonts w:cs="Arial"/>
                <w:b/>
                <w:bCs/>
                <w:szCs w:val="24"/>
              </w:rPr>
              <w:t>(669)</w:t>
            </w:r>
          </w:p>
        </w:tc>
      </w:tr>
      <w:tr w:rsidR="00C7098F" w:rsidRPr="00D948C1" w14:paraId="3D93ACB0" w14:textId="77777777" w:rsidTr="00233A66">
        <w:tc>
          <w:tcPr>
            <w:tcW w:w="3675" w:type="dxa"/>
          </w:tcPr>
          <w:p w14:paraId="4A0243EB" w14:textId="49A9D6DE" w:rsidR="00C7098F" w:rsidRPr="00D948C1" w:rsidRDefault="00C7098F" w:rsidP="006C0086">
            <w:pPr>
              <w:spacing w:line="276" w:lineRule="auto"/>
              <w:rPr>
                <w:szCs w:val="24"/>
              </w:rPr>
            </w:pPr>
            <w:r w:rsidRPr="00D948C1">
              <w:rPr>
                <w:szCs w:val="24"/>
              </w:rPr>
              <w:t>People and Development</w:t>
            </w:r>
          </w:p>
        </w:tc>
        <w:tc>
          <w:tcPr>
            <w:tcW w:w="1559" w:type="dxa"/>
            <w:vAlign w:val="center"/>
          </w:tcPr>
          <w:p w14:paraId="53F47373" w14:textId="5A36EEBD"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60BD5B98" w14:textId="0E732C23"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63FDDDE3" w14:textId="4CF8F049"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1D3648E0" w14:textId="431A7033"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46967312" w14:textId="3E347A88" w:rsidR="00C7098F" w:rsidRPr="00D948C1" w:rsidRDefault="00C7098F" w:rsidP="006C0086">
            <w:pPr>
              <w:spacing w:line="276" w:lineRule="auto"/>
              <w:jc w:val="right"/>
              <w:rPr>
                <w:rFonts w:cs="Arial"/>
                <w:szCs w:val="24"/>
              </w:rPr>
            </w:pPr>
            <w:r w:rsidRPr="00D948C1">
              <w:rPr>
                <w:rFonts w:cs="Arial"/>
                <w:szCs w:val="24"/>
              </w:rPr>
              <w:t xml:space="preserve">400 </w:t>
            </w:r>
          </w:p>
        </w:tc>
        <w:tc>
          <w:tcPr>
            <w:tcW w:w="1559" w:type="dxa"/>
            <w:vAlign w:val="center"/>
          </w:tcPr>
          <w:p w14:paraId="14C94E23" w14:textId="7F3F066B" w:rsidR="00C7098F" w:rsidRPr="00D948C1" w:rsidRDefault="00C7098F" w:rsidP="006C0086">
            <w:pPr>
              <w:spacing w:line="276" w:lineRule="auto"/>
              <w:jc w:val="right"/>
              <w:rPr>
                <w:rFonts w:cs="Arial"/>
                <w:szCs w:val="24"/>
              </w:rPr>
            </w:pPr>
            <w:r w:rsidRPr="00D948C1">
              <w:rPr>
                <w:rFonts w:cs="Arial"/>
                <w:szCs w:val="24"/>
              </w:rPr>
              <w:t xml:space="preserve">- </w:t>
            </w:r>
          </w:p>
        </w:tc>
        <w:tc>
          <w:tcPr>
            <w:tcW w:w="1984" w:type="dxa"/>
            <w:vAlign w:val="center"/>
          </w:tcPr>
          <w:p w14:paraId="09C74AF7" w14:textId="2DF2A49E" w:rsidR="00C7098F" w:rsidRPr="00D948C1" w:rsidRDefault="00C7098F" w:rsidP="006C0086">
            <w:pPr>
              <w:spacing w:line="276" w:lineRule="auto"/>
              <w:jc w:val="right"/>
              <w:rPr>
                <w:rFonts w:cs="Arial"/>
                <w:b/>
                <w:bCs/>
                <w:szCs w:val="24"/>
              </w:rPr>
            </w:pPr>
            <w:r w:rsidRPr="00D948C1">
              <w:rPr>
                <w:rFonts w:cs="Arial"/>
                <w:b/>
                <w:bCs/>
                <w:szCs w:val="24"/>
              </w:rPr>
              <w:t xml:space="preserve">400 </w:t>
            </w:r>
          </w:p>
        </w:tc>
      </w:tr>
      <w:tr w:rsidR="00C7098F" w:rsidRPr="00D948C1" w14:paraId="21358A79" w14:textId="77777777" w:rsidTr="00233A66">
        <w:tc>
          <w:tcPr>
            <w:tcW w:w="3675" w:type="dxa"/>
          </w:tcPr>
          <w:p w14:paraId="6554B64D" w14:textId="36908E5E" w:rsidR="00C7098F" w:rsidRPr="00D948C1" w:rsidRDefault="00C7098F" w:rsidP="006C0086">
            <w:pPr>
              <w:spacing w:line="276" w:lineRule="auto"/>
              <w:rPr>
                <w:szCs w:val="24"/>
              </w:rPr>
            </w:pPr>
            <w:r w:rsidRPr="00D948C1">
              <w:rPr>
                <w:szCs w:val="24"/>
              </w:rPr>
              <w:t>Corporate Services</w:t>
            </w:r>
          </w:p>
        </w:tc>
        <w:tc>
          <w:tcPr>
            <w:tcW w:w="1559" w:type="dxa"/>
            <w:vAlign w:val="center"/>
          </w:tcPr>
          <w:p w14:paraId="7DE2840E" w14:textId="7205127B"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6A205A52" w14:textId="51ABD437"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75F1165A" w14:textId="3AE3B681"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3CF371E8" w14:textId="6086CA8D"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6265AAD2" w14:textId="09BBE5A5" w:rsidR="00C7098F" w:rsidRPr="00D948C1" w:rsidRDefault="00C7098F" w:rsidP="006C0086">
            <w:pPr>
              <w:spacing w:line="276" w:lineRule="auto"/>
              <w:jc w:val="right"/>
              <w:rPr>
                <w:rFonts w:cs="Arial"/>
                <w:szCs w:val="24"/>
              </w:rPr>
            </w:pPr>
            <w:r w:rsidRPr="00D948C1">
              <w:rPr>
                <w:rFonts w:cs="Arial"/>
                <w:szCs w:val="24"/>
              </w:rPr>
              <w:t xml:space="preserve">252 </w:t>
            </w:r>
          </w:p>
        </w:tc>
        <w:tc>
          <w:tcPr>
            <w:tcW w:w="1559" w:type="dxa"/>
            <w:vAlign w:val="center"/>
          </w:tcPr>
          <w:p w14:paraId="71571673" w14:textId="3E1F192C" w:rsidR="00C7098F" w:rsidRPr="00D948C1" w:rsidRDefault="00C7098F" w:rsidP="006C0086">
            <w:pPr>
              <w:spacing w:line="276" w:lineRule="auto"/>
              <w:jc w:val="right"/>
              <w:rPr>
                <w:rFonts w:cs="Arial"/>
                <w:szCs w:val="24"/>
              </w:rPr>
            </w:pPr>
            <w:r w:rsidRPr="00D948C1">
              <w:rPr>
                <w:rFonts w:cs="Arial"/>
                <w:szCs w:val="24"/>
              </w:rPr>
              <w:t>(272)</w:t>
            </w:r>
          </w:p>
        </w:tc>
        <w:tc>
          <w:tcPr>
            <w:tcW w:w="1984" w:type="dxa"/>
            <w:vAlign w:val="center"/>
          </w:tcPr>
          <w:p w14:paraId="350523A7" w14:textId="361BC740" w:rsidR="00C7098F" w:rsidRPr="00D948C1" w:rsidRDefault="00C7098F" w:rsidP="006C0086">
            <w:pPr>
              <w:spacing w:line="276" w:lineRule="auto"/>
              <w:jc w:val="right"/>
              <w:rPr>
                <w:rFonts w:cs="Arial"/>
                <w:b/>
                <w:bCs/>
                <w:szCs w:val="24"/>
              </w:rPr>
            </w:pPr>
            <w:r w:rsidRPr="00D948C1">
              <w:rPr>
                <w:rFonts w:cs="Arial"/>
                <w:b/>
                <w:bCs/>
                <w:szCs w:val="24"/>
              </w:rPr>
              <w:t>(20)</w:t>
            </w:r>
          </w:p>
        </w:tc>
      </w:tr>
      <w:tr w:rsidR="00C7098F" w:rsidRPr="00D948C1" w14:paraId="63A28C5C" w14:textId="77777777" w:rsidTr="00233A66">
        <w:tc>
          <w:tcPr>
            <w:tcW w:w="3675" w:type="dxa"/>
          </w:tcPr>
          <w:p w14:paraId="1E0DFE67" w14:textId="3E87C8FE" w:rsidR="00C7098F" w:rsidRPr="00D948C1" w:rsidRDefault="00C7098F" w:rsidP="006C0086">
            <w:pPr>
              <w:spacing w:line="276" w:lineRule="auto"/>
              <w:rPr>
                <w:szCs w:val="24"/>
              </w:rPr>
            </w:pPr>
            <w:r w:rsidRPr="00D948C1">
              <w:rPr>
                <w:szCs w:val="24"/>
              </w:rPr>
              <w:t>Firefighters Pensions</w:t>
            </w:r>
          </w:p>
        </w:tc>
        <w:tc>
          <w:tcPr>
            <w:tcW w:w="1559" w:type="dxa"/>
            <w:vAlign w:val="center"/>
          </w:tcPr>
          <w:p w14:paraId="19E582F9" w14:textId="3A4517BB"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0EB260BA" w14:textId="7526B1CC"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14DE3DDC" w14:textId="0B95BE06"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2CF7EBA0" w14:textId="5CC154E6"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3E1736A3" w14:textId="3E299DF5" w:rsidR="00C7098F" w:rsidRPr="00D948C1" w:rsidRDefault="00C7098F" w:rsidP="006C0086">
            <w:pPr>
              <w:spacing w:line="276" w:lineRule="auto"/>
              <w:jc w:val="right"/>
              <w:rPr>
                <w:rFonts w:cs="Arial"/>
                <w:szCs w:val="24"/>
              </w:rPr>
            </w:pPr>
            <w:r w:rsidRPr="00D948C1">
              <w:rPr>
                <w:rFonts w:cs="Arial"/>
                <w:szCs w:val="24"/>
              </w:rPr>
              <w:t xml:space="preserve">- </w:t>
            </w:r>
          </w:p>
        </w:tc>
        <w:tc>
          <w:tcPr>
            <w:tcW w:w="1559" w:type="dxa"/>
            <w:vAlign w:val="center"/>
          </w:tcPr>
          <w:p w14:paraId="1B97D911" w14:textId="7F88E324" w:rsidR="00C7098F" w:rsidRPr="00D948C1" w:rsidRDefault="00C7098F" w:rsidP="006C0086">
            <w:pPr>
              <w:spacing w:line="276" w:lineRule="auto"/>
              <w:jc w:val="right"/>
              <w:rPr>
                <w:rFonts w:cs="Arial"/>
                <w:szCs w:val="24"/>
              </w:rPr>
            </w:pPr>
            <w:r w:rsidRPr="00D948C1">
              <w:rPr>
                <w:rFonts w:cs="Arial"/>
                <w:szCs w:val="24"/>
              </w:rPr>
              <w:t xml:space="preserve">- </w:t>
            </w:r>
          </w:p>
        </w:tc>
        <w:tc>
          <w:tcPr>
            <w:tcW w:w="1984" w:type="dxa"/>
            <w:vAlign w:val="center"/>
          </w:tcPr>
          <w:p w14:paraId="2B6F3074" w14:textId="3A514DDA" w:rsidR="00C7098F" w:rsidRPr="00D948C1" w:rsidRDefault="00C7098F" w:rsidP="006C0086">
            <w:pPr>
              <w:spacing w:line="276" w:lineRule="auto"/>
              <w:jc w:val="right"/>
              <w:rPr>
                <w:rFonts w:cs="Arial"/>
                <w:b/>
                <w:bCs/>
                <w:szCs w:val="24"/>
              </w:rPr>
            </w:pPr>
            <w:r w:rsidRPr="00D948C1">
              <w:rPr>
                <w:rFonts w:cs="Arial"/>
                <w:b/>
                <w:bCs/>
                <w:szCs w:val="24"/>
              </w:rPr>
              <w:t xml:space="preserve">- </w:t>
            </w:r>
          </w:p>
        </w:tc>
      </w:tr>
      <w:tr w:rsidR="00C7098F" w:rsidRPr="00D948C1" w14:paraId="31064235" w14:textId="77777777" w:rsidTr="00233A66">
        <w:tc>
          <w:tcPr>
            <w:tcW w:w="3675" w:type="dxa"/>
          </w:tcPr>
          <w:p w14:paraId="6DEF846E" w14:textId="28168C47" w:rsidR="00C7098F" w:rsidRPr="00D948C1" w:rsidRDefault="00C7098F" w:rsidP="006C0086">
            <w:pPr>
              <w:spacing w:line="276" w:lineRule="auto"/>
              <w:rPr>
                <w:szCs w:val="24"/>
              </w:rPr>
            </w:pPr>
            <w:r w:rsidRPr="00D948C1">
              <w:rPr>
                <w:szCs w:val="24"/>
              </w:rPr>
              <w:t>Overheads</w:t>
            </w:r>
          </w:p>
        </w:tc>
        <w:tc>
          <w:tcPr>
            <w:tcW w:w="1559" w:type="dxa"/>
            <w:vAlign w:val="center"/>
          </w:tcPr>
          <w:p w14:paraId="18B85617" w14:textId="7FA7C991" w:rsidR="00C7098F" w:rsidRPr="00D948C1" w:rsidRDefault="00C7098F" w:rsidP="006C0086">
            <w:pPr>
              <w:spacing w:line="276" w:lineRule="auto"/>
              <w:jc w:val="right"/>
              <w:rPr>
                <w:rFonts w:cs="Arial"/>
                <w:szCs w:val="24"/>
              </w:rPr>
            </w:pPr>
            <w:r w:rsidRPr="00D948C1">
              <w:rPr>
                <w:rFonts w:cs="Arial"/>
                <w:szCs w:val="24"/>
              </w:rPr>
              <w:t>-</w:t>
            </w:r>
          </w:p>
        </w:tc>
        <w:tc>
          <w:tcPr>
            <w:tcW w:w="1276" w:type="dxa"/>
            <w:vAlign w:val="center"/>
          </w:tcPr>
          <w:p w14:paraId="5A155ED3" w14:textId="2EC3957C" w:rsidR="00C7098F" w:rsidRPr="00D948C1" w:rsidRDefault="00C7098F" w:rsidP="006C0086">
            <w:pPr>
              <w:spacing w:line="276" w:lineRule="auto"/>
              <w:jc w:val="right"/>
              <w:rPr>
                <w:rFonts w:cs="Arial"/>
                <w:szCs w:val="24"/>
              </w:rPr>
            </w:pPr>
            <w:r w:rsidRPr="00D948C1">
              <w:rPr>
                <w:rFonts w:cs="Arial"/>
                <w:szCs w:val="24"/>
              </w:rPr>
              <w:t>-</w:t>
            </w:r>
          </w:p>
        </w:tc>
        <w:tc>
          <w:tcPr>
            <w:tcW w:w="1837" w:type="dxa"/>
            <w:vAlign w:val="center"/>
          </w:tcPr>
          <w:p w14:paraId="72CB7A02" w14:textId="6622F8C8"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03148DC6" w14:textId="65127A7F" w:rsidR="00C7098F" w:rsidRPr="00D948C1" w:rsidRDefault="00C7098F" w:rsidP="006C0086">
            <w:pPr>
              <w:spacing w:line="276" w:lineRule="auto"/>
              <w:jc w:val="right"/>
              <w:rPr>
                <w:rFonts w:cs="Arial"/>
                <w:szCs w:val="24"/>
              </w:rPr>
            </w:pPr>
            <w:r w:rsidRPr="00D948C1">
              <w:rPr>
                <w:rFonts w:cs="Arial"/>
                <w:szCs w:val="24"/>
              </w:rPr>
              <w:t xml:space="preserve">4,214 </w:t>
            </w:r>
          </w:p>
        </w:tc>
        <w:tc>
          <w:tcPr>
            <w:tcW w:w="1701" w:type="dxa"/>
            <w:vAlign w:val="center"/>
          </w:tcPr>
          <w:p w14:paraId="468F9FE6" w14:textId="3B023E7A" w:rsidR="00C7098F" w:rsidRPr="00D948C1" w:rsidRDefault="00C7098F" w:rsidP="006C0086">
            <w:pPr>
              <w:spacing w:line="276" w:lineRule="auto"/>
              <w:jc w:val="right"/>
              <w:rPr>
                <w:rFonts w:cs="Arial"/>
                <w:szCs w:val="24"/>
              </w:rPr>
            </w:pPr>
            <w:r w:rsidRPr="00D948C1">
              <w:rPr>
                <w:rFonts w:cs="Arial"/>
                <w:szCs w:val="24"/>
              </w:rPr>
              <w:t xml:space="preserve">329 </w:t>
            </w:r>
          </w:p>
        </w:tc>
        <w:tc>
          <w:tcPr>
            <w:tcW w:w="1559" w:type="dxa"/>
            <w:vAlign w:val="center"/>
          </w:tcPr>
          <w:p w14:paraId="0EF61287" w14:textId="548C4C55" w:rsidR="00C7098F" w:rsidRPr="00D948C1" w:rsidRDefault="00C7098F" w:rsidP="006C0086">
            <w:pPr>
              <w:spacing w:line="276" w:lineRule="auto"/>
              <w:jc w:val="right"/>
              <w:rPr>
                <w:rFonts w:cs="Arial"/>
                <w:szCs w:val="24"/>
              </w:rPr>
            </w:pPr>
            <w:r w:rsidRPr="00D948C1">
              <w:rPr>
                <w:rFonts w:cs="Arial"/>
                <w:szCs w:val="24"/>
              </w:rPr>
              <w:t>(4,089)</w:t>
            </w:r>
          </w:p>
        </w:tc>
        <w:tc>
          <w:tcPr>
            <w:tcW w:w="1984" w:type="dxa"/>
            <w:vAlign w:val="center"/>
          </w:tcPr>
          <w:p w14:paraId="1131729A" w14:textId="6912B8FD" w:rsidR="00C7098F" w:rsidRPr="00D948C1" w:rsidRDefault="00C7098F" w:rsidP="006C0086">
            <w:pPr>
              <w:spacing w:line="276" w:lineRule="auto"/>
              <w:jc w:val="right"/>
              <w:rPr>
                <w:rFonts w:cs="Arial"/>
                <w:b/>
                <w:bCs/>
                <w:szCs w:val="24"/>
              </w:rPr>
            </w:pPr>
            <w:r w:rsidRPr="00D948C1">
              <w:rPr>
                <w:rFonts w:cs="Arial"/>
                <w:b/>
                <w:bCs/>
                <w:szCs w:val="24"/>
              </w:rPr>
              <w:t xml:space="preserve">454 </w:t>
            </w:r>
          </w:p>
        </w:tc>
      </w:tr>
      <w:tr w:rsidR="00C7098F" w:rsidRPr="00D948C1" w14:paraId="0BC38327" w14:textId="77777777" w:rsidTr="00233A66">
        <w:tc>
          <w:tcPr>
            <w:tcW w:w="3675" w:type="dxa"/>
          </w:tcPr>
          <w:p w14:paraId="6F11E11F" w14:textId="122B85E0" w:rsidR="00C7098F" w:rsidRPr="00D948C1" w:rsidRDefault="00C7098F" w:rsidP="006C0086">
            <w:pPr>
              <w:spacing w:line="276" w:lineRule="auto"/>
              <w:rPr>
                <w:b/>
                <w:szCs w:val="24"/>
              </w:rPr>
            </w:pPr>
            <w:r w:rsidRPr="00D948C1">
              <w:rPr>
                <w:b/>
                <w:szCs w:val="24"/>
              </w:rPr>
              <w:t>Net cost of Services</w:t>
            </w:r>
          </w:p>
        </w:tc>
        <w:tc>
          <w:tcPr>
            <w:tcW w:w="1559" w:type="dxa"/>
            <w:vAlign w:val="center"/>
          </w:tcPr>
          <w:p w14:paraId="1BF657FA" w14:textId="230D98C6" w:rsidR="00C7098F" w:rsidRPr="00D948C1" w:rsidRDefault="00C7098F" w:rsidP="006C0086">
            <w:pPr>
              <w:spacing w:line="276" w:lineRule="auto"/>
              <w:jc w:val="right"/>
              <w:rPr>
                <w:rFonts w:cs="Arial"/>
                <w:b/>
                <w:bCs/>
                <w:szCs w:val="24"/>
              </w:rPr>
            </w:pPr>
            <w:r w:rsidRPr="00D948C1">
              <w:rPr>
                <w:rFonts w:cs="Arial"/>
                <w:b/>
                <w:bCs/>
                <w:szCs w:val="24"/>
              </w:rPr>
              <w:t>-</w:t>
            </w:r>
          </w:p>
        </w:tc>
        <w:tc>
          <w:tcPr>
            <w:tcW w:w="1276" w:type="dxa"/>
            <w:vAlign w:val="center"/>
          </w:tcPr>
          <w:p w14:paraId="23417E7F" w14:textId="3AE3DDED" w:rsidR="00C7098F" w:rsidRPr="00D948C1" w:rsidRDefault="00C7098F" w:rsidP="006C0086">
            <w:pPr>
              <w:spacing w:line="276" w:lineRule="auto"/>
              <w:jc w:val="right"/>
              <w:rPr>
                <w:rFonts w:cs="Arial"/>
                <w:b/>
                <w:bCs/>
                <w:szCs w:val="24"/>
              </w:rPr>
            </w:pPr>
            <w:r w:rsidRPr="00D948C1">
              <w:rPr>
                <w:rFonts w:cs="Arial"/>
                <w:b/>
                <w:bCs/>
                <w:szCs w:val="24"/>
              </w:rPr>
              <w:t>-</w:t>
            </w:r>
          </w:p>
        </w:tc>
        <w:tc>
          <w:tcPr>
            <w:tcW w:w="1837" w:type="dxa"/>
            <w:vAlign w:val="center"/>
          </w:tcPr>
          <w:p w14:paraId="5499D315" w14:textId="04F267BB" w:rsidR="00C7098F" w:rsidRPr="00D948C1" w:rsidRDefault="00C7098F" w:rsidP="006C0086">
            <w:pPr>
              <w:spacing w:line="276" w:lineRule="auto"/>
              <w:jc w:val="right"/>
              <w:rPr>
                <w:rFonts w:cs="Arial"/>
                <w:b/>
                <w:bCs/>
                <w:szCs w:val="24"/>
              </w:rPr>
            </w:pPr>
            <w:r w:rsidRPr="00D948C1">
              <w:rPr>
                <w:rFonts w:cs="Arial"/>
                <w:b/>
                <w:bCs/>
                <w:szCs w:val="24"/>
              </w:rPr>
              <w:t>-</w:t>
            </w:r>
          </w:p>
        </w:tc>
        <w:tc>
          <w:tcPr>
            <w:tcW w:w="1565" w:type="dxa"/>
            <w:vAlign w:val="center"/>
          </w:tcPr>
          <w:p w14:paraId="2C43AE7D" w14:textId="3825A603" w:rsidR="00C7098F" w:rsidRPr="00D948C1" w:rsidRDefault="00C7098F" w:rsidP="006C0086">
            <w:pPr>
              <w:spacing w:line="276" w:lineRule="auto"/>
              <w:jc w:val="right"/>
              <w:rPr>
                <w:rFonts w:cs="Arial"/>
                <w:b/>
                <w:bCs/>
                <w:szCs w:val="24"/>
              </w:rPr>
            </w:pPr>
            <w:r w:rsidRPr="00D948C1">
              <w:rPr>
                <w:rFonts w:cs="Arial"/>
                <w:b/>
                <w:bCs/>
                <w:szCs w:val="24"/>
              </w:rPr>
              <w:t xml:space="preserve">4,214 </w:t>
            </w:r>
          </w:p>
        </w:tc>
        <w:tc>
          <w:tcPr>
            <w:tcW w:w="1701" w:type="dxa"/>
            <w:vAlign w:val="center"/>
          </w:tcPr>
          <w:p w14:paraId="3B89AD6E" w14:textId="22CC553F" w:rsidR="00C7098F" w:rsidRPr="00D948C1" w:rsidRDefault="00C7098F" w:rsidP="006C0086">
            <w:pPr>
              <w:spacing w:line="276" w:lineRule="auto"/>
              <w:jc w:val="right"/>
              <w:rPr>
                <w:rFonts w:cs="Arial"/>
                <w:b/>
                <w:bCs/>
                <w:szCs w:val="24"/>
              </w:rPr>
            </w:pPr>
            <w:r w:rsidRPr="00D948C1">
              <w:rPr>
                <w:rFonts w:cs="Arial"/>
                <w:b/>
                <w:bCs/>
                <w:szCs w:val="24"/>
              </w:rPr>
              <w:t>(10,378)</w:t>
            </w:r>
          </w:p>
        </w:tc>
        <w:tc>
          <w:tcPr>
            <w:tcW w:w="1559" w:type="dxa"/>
            <w:vAlign w:val="center"/>
          </w:tcPr>
          <w:p w14:paraId="2BCF1B65" w14:textId="58D4F718" w:rsidR="00C7098F" w:rsidRPr="00D948C1" w:rsidRDefault="00C7098F" w:rsidP="006C0086">
            <w:pPr>
              <w:spacing w:line="276" w:lineRule="auto"/>
              <w:jc w:val="right"/>
              <w:rPr>
                <w:rFonts w:cs="Arial"/>
                <w:b/>
                <w:bCs/>
                <w:szCs w:val="24"/>
              </w:rPr>
            </w:pPr>
            <w:r w:rsidRPr="00D948C1">
              <w:rPr>
                <w:rFonts w:cs="Arial"/>
                <w:b/>
                <w:bCs/>
                <w:szCs w:val="24"/>
              </w:rPr>
              <w:t>(3,816)</w:t>
            </w:r>
          </w:p>
        </w:tc>
        <w:tc>
          <w:tcPr>
            <w:tcW w:w="1984" w:type="dxa"/>
            <w:vAlign w:val="center"/>
          </w:tcPr>
          <w:p w14:paraId="435AC1A4" w14:textId="2783CB7D" w:rsidR="00C7098F" w:rsidRPr="00D948C1" w:rsidRDefault="00C7098F" w:rsidP="006C0086">
            <w:pPr>
              <w:spacing w:line="276" w:lineRule="auto"/>
              <w:jc w:val="right"/>
              <w:rPr>
                <w:rFonts w:cs="Arial"/>
                <w:b/>
                <w:bCs/>
                <w:szCs w:val="24"/>
              </w:rPr>
            </w:pPr>
            <w:r w:rsidRPr="00D948C1">
              <w:rPr>
                <w:rFonts w:cs="Arial"/>
                <w:b/>
                <w:bCs/>
                <w:szCs w:val="24"/>
              </w:rPr>
              <w:t>(9,980)</w:t>
            </w:r>
          </w:p>
        </w:tc>
      </w:tr>
      <w:tr w:rsidR="00C7098F" w:rsidRPr="00D948C1" w14:paraId="35FEFC96" w14:textId="77777777" w:rsidTr="00233A66">
        <w:tc>
          <w:tcPr>
            <w:tcW w:w="3675" w:type="dxa"/>
          </w:tcPr>
          <w:p w14:paraId="09A54903" w14:textId="7C756B0F" w:rsidR="00C7098F" w:rsidRPr="00D948C1" w:rsidRDefault="00C7098F" w:rsidP="006C0086">
            <w:pPr>
              <w:spacing w:line="276" w:lineRule="auto"/>
              <w:rPr>
                <w:szCs w:val="24"/>
              </w:rPr>
            </w:pPr>
            <w:r w:rsidRPr="00D948C1">
              <w:rPr>
                <w:szCs w:val="24"/>
              </w:rPr>
              <w:t>Other income and expenditure</w:t>
            </w:r>
          </w:p>
        </w:tc>
        <w:tc>
          <w:tcPr>
            <w:tcW w:w="1559" w:type="dxa"/>
            <w:vAlign w:val="center"/>
          </w:tcPr>
          <w:p w14:paraId="24EEBF80" w14:textId="6B270E07" w:rsidR="00C7098F" w:rsidRPr="00D948C1" w:rsidRDefault="00C7098F" w:rsidP="006C0086">
            <w:pPr>
              <w:spacing w:line="276" w:lineRule="auto"/>
              <w:jc w:val="right"/>
              <w:rPr>
                <w:rFonts w:cs="Arial"/>
                <w:szCs w:val="24"/>
              </w:rPr>
            </w:pPr>
            <w:r w:rsidRPr="00D948C1">
              <w:rPr>
                <w:rFonts w:cs="Arial"/>
                <w:szCs w:val="24"/>
              </w:rPr>
              <w:t xml:space="preserve">- </w:t>
            </w:r>
          </w:p>
        </w:tc>
        <w:tc>
          <w:tcPr>
            <w:tcW w:w="1276" w:type="dxa"/>
            <w:vAlign w:val="center"/>
          </w:tcPr>
          <w:p w14:paraId="6C8109A8" w14:textId="6B1AAD04" w:rsidR="00C7098F" w:rsidRPr="00D948C1" w:rsidRDefault="00C7098F" w:rsidP="006C0086">
            <w:pPr>
              <w:spacing w:line="276" w:lineRule="auto"/>
              <w:jc w:val="right"/>
              <w:rPr>
                <w:rFonts w:cs="Arial"/>
                <w:szCs w:val="24"/>
              </w:rPr>
            </w:pPr>
            <w:r w:rsidRPr="00D948C1">
              <w:rPr>
                <w:rFonts w:cs="Arial"/>
                <w:szCs w:val="24"/>
              </w:rPr>
              <w:t xml:space="preserve">- </w:t>
            </w:r>
          </w:p>
        </w:tc>
        <w:tc>
          <w:tcPr>
            <w:tcW w:w="1837" w:type="dxa"/>
            <w:vAlign w:val="center"/>
          </w:tcPr>
          <w:p w14:paraId="763548F2" w14:textId="4C867619" w:rsidR="00C7098F" w:rsidRPr="00D948C1" w:rsidRDefault="00C7098F" w:rsidP="006C0086">
            <w:pPr>
              <w:spacing w:line="276" w:lineRule="auto"/>
              <w:jc w:val="right"/>
              <w:rPr>
                <w:rFonts w:cs="Arial"/>
                <w:szCs w:val="24"/>
              </w:rPr>
            </w:pPr>
            <w:r w:rsidRPr="00D948C1">
              <w:rPr>
                <w:rFonts w:cs="Arial"/>
                <w:szCs w:val="24"/>
              </w:rPr>
              <w:t>-</w:t>
            </w:r>
          </w:p>
        </w:tc>
        <w:tc>
          <w:tcPr>
            <w:tcW w:w="1565" w:type="dxa"/>
            <w:vAlign w:val="center"/>
          </w:tcPr>
          <w:p w14:paraId="753C55A3" w14:textId="49B7A195" w:rsidR="00C7098F" w:rsidRPr="00D948C1" w:rsidRDefault="00C7098F" w:rsidP="006C0086">
            <w:pPr>
              <w:spacing w:line="276" w:lineRule="auto"/>
              <w:jc w:val="right"/>
              <w:rPr>
                <w:rFonts w:cs="Arial"/>
                <w:szCs w:val="24"/>
              </w:rPr>
            </w:pPr>
            <w:r w:rsidRPr="00D948C1">
              <w:rPr>
                <w:rFonts w:cs="Arial"/>
                <w:szCs w:val="24"/>
              </w:rPr>
              <w:t xml:space="preserve">- </w:t>
            </w:r>
          </w:p>
        </w:tc>
        <w:tc>
          <w:tcPr>
            <w:tcW w:w="1701" w:type="dxa"/>
            <w:vAlign w:val="center"/>
          </w:tcPr>
          <w:p w14:paraId="26AE3372" w14:textId="403C0E94" w:rsidR="00C7098F" w:rsidRPr="00D948C1" w:rsidRDefault="00C7098F" w:rsidP="006C0086">
            <w:pPr>
              <w:spacing w:line="276" w:lineRule="auto"/>
              <w:jc w:val="right"/>
              <w:rPr>
                <w:rFonts w:cs="Arial"/>
                <w:szCs w:val="24"/>
              </w:rPr>
            </w:pPr>
            <w:r w:rsidRPr="00D948C1">
              <w:rPr>
                <w:rFonts w:cs="Arial"/>
                <w:szCs w:val="24"/>
              </w:rPr>
              <w:t xml:space="preserve">23,246 </w:t>
            </w:r>
          </w:p>
        </w:tc>
        <w:tc>
          <w:tcPr>
            <w:tcW w:w="1559" w:type="dxa"/>
            <w:vAlign w:val="center"/>
          </w:tcPr>
          <w:p w14:paraId="03F85F2E" w14:textId="611F9815" w:rsidR="00C7098F" w:rsidRPr="00D948C1" w:rsidRDefault="00C7098F" w:rsidP="006C0086">
            <w:pPr>
              <w:spacing w:line="276" w:lineRule="auto"/>
              <w:jc w:val="right"/>
              <w:rPr>
                <w:rFonts w:cs="Arial"/>
                <w:szCs w:val="24"/>
              </w:rPr>
            </w:pPr>
            <w:r w:rsidRPr="00D948C1">
              <w:rPr>
                <w:rFonts w:cs="Arial"/>
                <w:szCs w:val="24"/>
              </w:rPr>
              <w:t xml:space="preserve">408 </w:t>
            </w:r>
          </w:p>
        </w:tc>
        <w:tc>
          <w:tcPr>
            <w:tcW w:w="1984" w:type="dxa"/>
            <w:vAlign w:val="center"/>
          </w:tcPr>
          <w:p w14:paraId="6A68151D" w14:textId="501062C3" w:rsidR="00C7098F" w:rsidRPr="00D948C1" w:rsidRDefault="00C7098F" w:rsidP="006C0086">
            <w:pPr>
              <w:spacing w:line="276" w:lineRule="auto"/>
              <w:jc w:val="right"/>
              <w:rPr>
                <w:rFonts w:cs="Arial"/>
                <w:b/>
                <w:bCs/>
                <w:szCs w:val="24"/>
              </w:rPr>
            </w:pPr>
            <w:r w:rsidRPr="00D948C1">
              <w:rPr>
                <w:rFonts w:cs="Arial"/>
                <w:b/>
                <w:bCs/>
                <w:szCs w:val="24"/>
              </w:rPr>
              <w:t xml:space="preserve">23,654 </w:t>
            </w:r>
          </w:p>
        </w:tc>
      </w:tr>
      <w:tr w:rsidR="00C7098F" w:rsidRPr="00D948C1" w14:paraId="39DCCFC1" w14:textId="77777777" w:rsidTr="00233A66">
        <w:tc>
          <w:tcPr>
            <w:tcW w:w="3675" w:type="dxa"/>
          </w:tcPr>
          <w:p w14:paraId="6065D806" w14:textId="724BEB95" w:rsidR="00C7098F" w:rsidRPr="00D948C1" w:rsidRDefault="00C7098F" w:rsidP="006C0086">
            <w:pPr>
              <w:spacing w:line="276" w:lineRule="auto"/>
              <w:rPr>
                <w:b/>
                <w:szCs w:val="24"/>
              </w:rPr>
            </w:pPr>
            <w:r w:rsidRPr="00D948C1">
              <w:rPr>
                <w:b/>
                <w:szCs w:val="24"/>
              </w:rPr>
              <w:t>Total</w:t>
            </w:r>
          </w:p>
        </w:tc>
        <w:tc>
          <w:tcPr>
            <w:tcW w:w="1559" w:type="dxa"/>
            <w:vAlign w:val="center"/>
          </w:tcPr>
          <w:p w14:paraId="3E1D5697" w14:textId="4A60EBBF" w:rsidR="00C7098F" w:rsidRPr="00D948C1" w:rsidRDefault="00C7098F" w:rsidP="006C0086">
            <w:pPr>
              <w:spacing w:line="276" w:lineRule="auto"/>
              <w:jc w:val="right"/>
              <w:rPr>
                <w:rFonts w:cs="Arial"/>
                <w:b/>
                <w:bCs/>
                <w:szCs w:val="24"/>
              </w:rPr>
            </w:pPr>
            <w:r w:rsidRPr="00D948C1">
              <w:rPr>
                <w:rFonts w:cs="Arial"/>
                <w:b/>
                <w:bCs/>
                <w:szCs w:val="24"/>
              </w:rPr>
              <w:t>-</w:t>
            </w:r>
          </w:p>
        </w:tc>
        <w:tc>
          <w:tcPr>
            <w:tcW w:w="1276" w:type="dxa"/>
            <w:vAlign w:val="center"/>
          </w:tcPr>
          <w:p w14:paraId="49A9DDFB" w14:textId="69C539F7" w:rsidR="00C7098F" w:rsidRPr="00D948C1" w:rsidRDefault="00C7098F" w:rsidP="006C0086">
            <w:pPr>
              <w:spacing w:line="276" w:lineRule="auto"/>
              <w:jc w:val="right"/>
              <w:rPr>
                <w:rFonts w:cs="Arial"/>
                <w:b/>
                <w:bCs/>
                <w:szCs w:val="24"/>
              </w:rPr>
            </w:pPr>
            <w:r w:rsidRPr="00D948C1">
              <w:rPr>
                <w:rFonts w:cs="Arial"/>
                <w:b/>
                <w:bCs/>
                <w:szCs w:val="24"/>
              </w:rPr>
              <w:t>-</w:t>
            </w:r>
          </w:p>
        </w:tc>
        <w:tc>
          <w:tcPr>
            <w:tcW w:w="1837" w:type="dxa"/>
            <w:vAlign w:val="center"/>
          </w:tcPr>
          <w:p w14:paraId="068FB4BA" w14:textId="12F6BCF5" w:rsidR="00C7098F" w:rsidRPr="00D948C1" w:rsidRDefault="00C7098F" w:rsidP="006C0086">
            <w:pPr>
              <w:spacing w:line="276" w:lineRule="auto"/>
              <w:jc w:val="right"/>
              <w:rPr>
                <w:rFonts w:cs="Arial"/>
                <w:b/>
                <w:bCs/>
                <w:szCs w:val="24"/>
              </w:rPr>
            </w:pPr>
            <w:r w:rsidRPr="00D948C1">
              <w:rPr>
                <w:rFonts w:cs="Arial"/>
                <w:b/>
                <w:bCs/>
                <w:szCs w:val="24"/>
              </w:rPr>
              <w:t>-</w:t>
            </w:r>
          </w:p>
        </w:tc>
        <w:tc>
          <w:tcPr>
            <w:tcW w:w="1565" w:type="dxa"/>
            <w:vAlign w:val="center"/>
          </w:tcPr>
          <w:p w14:paraId="5214FD30" w14:textId="21714893" w:rsidR="00C7098F" w:rsidRPr="00D948C1" w:rsidRDefault="00C7098F" w:rsidP="006C0086">
            <w:pPr>
              <w:spacing w:line="276" w:lineRule="auto"/>
              <w:jc w:val="right"/>
              <w:rPr>
                <w:rFonts w:cs="Arial"/>
                <w:b/>
                <w:bCs/>
                <w:szCs w:val="24"/>
              </w:rPr>
            </w:pPr>
            <w:r w:rsidRPr="00D948C1">
              <w:rPr>
                <w:rFonts w:cs="Arial"/>
                <w:b/>
                <w:bCs/>
                <w:szCs w:val="24"/>
              </w:rPr>
              <w:t xml:space="preserve">4,214 </w:t>
            </w:r>
          </w:p>
        </w:tc>
        <w:tc>
          <w:tcPr>
            <w:tcW w:w="1701" w:type="dxa"/>
            <w:vAlign w:val="center"/>
          </w:tcPr>
          <w:p w14:paraId="0A420E6E" w14:textId="3D3C23FC" w:rsidR="00C7098F" w:rsidRPr="00D948C1" w:rsidRDefault="00C7098F" w:rsidP="006C0086">
            <w:pPr>
              <w:spacing w:line="276" w:lineRule="auto"/>
              <w:jc w:val="right"/>
              <w:rPr>
                <w:rFonts w:cs="Arial"/>
                <w:b/>
                <w:bCs/>
                <w:szCs w:val="24"/>
              </w:rPr>
            </w:pPr>
            <w:r w:rsidRPr="00D948C1">
              <w:rPr>
                <w:rFonts w:cs="Arial"/>
                <w:b/>
                <w:bCs/>
                <w:szCs w:val="24"/>
              </w:rPr>
              <w:t xml:space="preserve">12,868 </w:t>
            </w:r>
          </w:p>
        </w:tc>
        <w:tc>
          <w:tcPr>
            <w:tcW w:w="1559" w:type="dxa"/>
            <w:vAlign w:val="center"/>
          </w:tcPr>
          <w:p w14:paraId="23304C55" w14:textId="16319345" w:rsidR="00C7098F" w:rsidRPr="00D948C1" w:rsidRDefault="00C7098F" w:rsidP="006C0086">
            <w:pPr>
              <w:spacing w:line="276" w:lineRule="auto"/>
              <w:jc w:val="right"/>
              <w:rPr>
                <w:rFonts w:cs="Arial"/>
                <w:b/>
                <w:bCs/>
                <w:szCs w:val="24"/>
              </w:rPr>
            </w:pPr>
            <w:r w:rsidRPr="00D948C1">
              <w:rPr>
                <w:rFonts w:cs="Arial"/>
                <w:b/>
                <w:bCs/>
                <w:szCs w:val="24"/>
              </w:rPr>
              <w:t>(3,408)</w:t>
            </w:r>
          </w:p>
        </w:tc>
        <w:tc>
          <w:tcPr>
            <w:tcW w:w="1984" w:type="dxa"/>
            <w:vAlign w:val="center"/>
          </w:tcPr>
          <w:p w14:paraId="0EED1F77" w14:textId="134FBD93" w:rsidR="00C7098F" w:rsidRPr="00D948C1" w:rsidRDefault="00C7098F" w:rsidP="006C0086">
            <w:pPr>
              <w:spacing w:line="276" w:lineRule="auto"/>
              <w:jc w:val="right"/>
              <w:rPr>
                <w:rFonts w:cs="Arial"/>
                <w:b/>
                <w:bCs/>
                <w:szCs w:val="24"/>
              </w:rPr>
            </w:pPr>
            <w:r w:rsidRPr="00D948C1">
              <w:rPr>
                <w:rFonts w:cs="Arial"/>
                <w:b/>
                <w:bCs/>
                <w:szCs w:val="24"/>
              </w:rPr>
              <w:t xml:space="preserve">13,674 </w:t>
            </w:r>
          </w:p>
        </w:tc>
      </w:tr>
    </w:tbl>
    <w:p w14:paraId="671AE971" w14:textId="77777777" w:rsidR="00831631" w:rsidRPr="00D948C1" w:rsidRDefault="00831631" w:rsidP="006C0086">
      <w:pPr>
        <w:spacing w:line="276" w:lineRule="auto"/>
        <w:ind w:left="720"/>
        <w:jc w:val="both"/>
        <w:rPr>
          <w:sz w:val="18"/>
          <w:szCs w:val="18"/>
        </w:rPr>
      </w:pPr>
    </w:p>
    <w:p w14:paraId="0E7A7516" w14:textId="46BE6830" w:rsidR="00296A09" w:rsidRPr="00D948C1" w:rsidRDefault="00296A09" w:rsidP="006C0086">
      <w:pPr>
        <w:spacing w:line="276" w:lineRule="auto"/>
        <w:ind w:left="720"/>
        <w:rPr>
          <w:szCs w:val="24"/>
        </w:rPr>
      </w:pPr>
      <w:r w:rsidRPr="00D948C1">
        <w:rPr>
          <w:szCs w:val="24"/>
        </w:rPr>
        <w:t xml:space="preserve">Note 1 – Adjustments for capital purposes – this column adds in depreciation, impairments and revaluation gains and losses. It also adjusts for capital disposals with a transfer of the income on the disposal and the amounts written off. </w:t>
      </w:r>
      <w:r w:rsidR="00760249" w:rsidRPr="00D948C1">
        <w:rPr>
          <w:szCs w:val="24"/>
        </w:rPr>
        <w:t>Minimum Revenue Provision</w:t>
      </w:r>
      <w:r w:rsidRPr="00D948C1">
        <w:rPr>
          <w:szCs w:val="24"/>
        </w:rPr>
        <w:t xml:space="preserve"> is deducted because it is not chargeable under generally accepted accounting practices. Adjustments are also made to recognise capital grant income.</w:t>
      </w:r>
    </w:p>
    <w:p w14:paraId="1F540F9F" w14:textId="77777777" w:rsidR="00F14715" w:rsidRPr="00D948C1" w:rsidRDefault="00F14715" w:rsidP="006C0086">
      <w:pPr>
        <w:spacing w:line="276" w:lineRule="auto"/>
        <w:ind w:left="720"/>
        <w:rPr>
          <w:szCs w:val="24"/>
        </w:rPr>
      </w:pPr>
    </w:p>
    <w:p w14:paraId="0AEA8917" w14:textId="77777777" w:rsidR="00296A09" w:rsidRPr="00D948C1" w:rsidRDefault="00296A09" w:rsidP="006C0086">
      <w:pPr>
        <w:spacing w:line="276" w:lineRule="auto"/>
        <w:ind w:left="720"/>
        <w:rPr>
          <w:szCs w:val="24"/>
        </w:rPr>
      </w:pPr>
      <w:r w:rsidRPr="00D948C1">
        <w:rPr>
          <w:szCs w:val="24"/>
        </w:rPr>
        <w:t>Note 2 – Pensions Adjustments - This shows which lines have been affected by the removal of pension contributions and replaced with IAS19 debits and credits.</w:t>
      </w:r>
    </w:p>
    <w:p w14:paraId="4062FAB3" w14:textId="77777777" w:rsidR="00F14715" w:rsidRPr="00D948C1" w:rsidRDefault="00F14715" w:rsidP="006C0086">
      <w:pPr>
        <w:spacing w:line="276" w:lineRule="auto"/>
        <w:ind w:left="720"/>
        <w:rPr>
          <w:szCs w:val="24"/>
        </w:rPr>
      </w:pPr>
    </w:p>
    <w:p w14:paraId="21EE932F" w14:textId="2E206BBA" w:rsidR="009F51E5" w:rsidRPr="00D948C1" w:rsidRDefault="00296A09" w:rsidP="006C0086">
      <w:pPr>
        <w:spacing w:line="276" w:lineRule="auto"/>
        <w:ind w:left="720"/>
        <w:rPr>
          <w:szCs w:val="24"/>
        </w:rPr>
        <w:sectPr w:rsidR="009F51E5" w:rsidRPr="00D948C1" w:rsidSect="0050229D">
          <w:pgSz w:w="16840" w:h="11907" w:orient="landscape" w:code="9"/>
          <w:pgMar w:top="567" w:right="454" w:bottom="567" w:left="397" w:header="720" w:footer="720" w:gutter="0"/>
          <w:cols w:space="720"/>
          <w:docGrid w:linePitch="326"/>
        </w:sectPr>
      </w:pPr>
      <w:r w:rsidRPr="00D948C1">
        <w:rPr>
          <w:szCs w:val="24"/>
        </w:rPr>
        <w:t>Note 3 – Other Differences - This column adjusts for timing differences on the amounts chargeable for Business Rates and Council Tax under Statute and the Code</w:t>
      </w:r>
      <w:r w:rsidR="001C2721" w:rsidRPr="00D948C1">
        <w:rPr>
          <w:szCs w:val="24"/>
        </w:rPr>
        <w:t xml:space="preserve"> and transfers to reserves</w:t>
      </w:r>
      <w:r w:rsidRPr="00D948C1">
        <w:rPr>
          <w:szCs w:val="24"/>
        </w:rPr>
        <w:t>.</w:t>
      </w:r>
    </w:p>
    <w:p w14:paraId="48DC6D68" w14:textId="77777777" w:rsidR="00D90216" w:rsidRPr="00D948C1" w:rsidRDefault="00EC5AC1" w:rsidP="006C0086">
      <w:pPr>
        <w:pStyle w:val="Heading2"/>
        <w:spacing w:line="276" w:lineRule="auto"/>
        <w:jc w:val="left"/>
        <w:rPr>
          <w:sz w:val="24"/>
          <w:szCs w:val="24"/>
        </w:rPr>
      </w:pPr>
      <w:bookmarkStart w:id="26" w:name="_Toc171068786"/>
      <w:r w:rsidRPr="00D948C1">
        <w:rPr>
          <w:sz w:val="24"/>
          <w:szCs w:val="24"/>
        </w:rPr>
        <w:lastRenderedPageBreak/>
        <w:t>2</w:t>
      </w:r>
      <w:r w:rsidR="005722FC" w:rsidRPr="00D948C1">
        <w:rPr>
          <w:sz w:val="24"/>
          <w:szCs w:val="24"/>
        </w:rPr>
        <w:tab/>
      </w:r>
      <w:bookmarkStart w:id="27" w:name="N2"/>
      <w:bookmarkEnd w:id="27"/>
      <w:r w:rsidR="00D90216" w:rsidRPr="00D948C1">
        <w:rPr>
          <w:sz w:val="24"/>
          <w:szCs w:val="24"/>
        </w:rPr>
        <w:t>Fire Authority Costs</w:t>
      </w:r>
      <w:bookmarkEnd w:id="26"/>
    </w:p>
    <w:p w14:paraId="4B5E0AB8" w14:textId="77777777" w:rsidR="00D90216" w:rsidRPr="00D948C1" w:rsidRDefault="00D90216" w:rsidP="006C0086">
      <w:pPr>
        <w:spacing w:line="276" w:lineRule="auto"/>
        <w:rPr>
          <w:b/>
          <w:sz w:val="22"/>
        </w:rPr>
      </w:pPr>
    </w:p>
    <w:p w14:paraId="085B49A8" w14:textId="341A4E42" w:rsidR="00D90216" w:rsidRPr="00D948C1" w:rsidRDefault="00D90216" w:rsidP="006C0086">
      <w:pPr>
        <w:pStyle w:val="BodyTextIndent"/>
        <w:spacing w:line="276" w:lineRule="auto"/>
        <w:rPr>
          <w:szCs w:val="24"/>
          <w:lang w:val="en-GB"/>
        </w:rPr>
      </w:pPr>
      <w:r w:rsidRPr="00D948C1">
        <w:rPr>
          <w:szCs w:val="24"/>
          <w:lang w:val="en-GB"/>
        </w:rPr>
        <w:t xml:space="preserve">In </w:t>
      </w:r>
      <w:r w:rsidRPr="00D948C1">
        <w:rPr>
          <w:szCs w:val="24"/>
        </w:rPr>
        <w:t>20</w:t>
      </w:r>
      <w:r w:rsidR="00EC5AC1" w:rsidRPr="00D948C1">
        <w:rPr>
          <w:szCs w:val="24"/>
        </w:rPr>
        <w:t>2</w:t>
      </w:r>
      <w:r w:rsidR="00C7098F" w:rsidRPr="00D948C1">
        <w:rPr>
          <w:szCs w:val="24"/>
        </w:rPr>
        <w:t>3</w:t>
      </w:r>
      <w:r w:rsidR="004E1871" w:rsidRPr="00D948C1">
        <w:rPr>
          <w:szCs w:val="24"/>
        </w:rPr>
        <w:t>/2</w:t>
      </w:r>
      <w:r w:rsidR="00C7098F" w:rsidRPr="00D948C1">
        <w:rPr>
          <w:szCs w:val="24"/>
        </w:rPr>
        <w:t>4</w:t>
      </w:r>
      <w:r w:rsidRPr="00D948C1">
        <w:rPr>
          <w:szCs w:val="24"/>
        </w:rPr>
        <w:t xml:space="preserve"> </w:t>
      </w:r>
      <w:r w:rsidRPr="00D948C1">
        <w:rPr>
          <w:szCs w:val="24"/>
          <w:lang w:val="en-GB"/>
        </w:rPr>
        <w:t>Fire Authority costs amounted to £0.</w:t>
      </w:r>
      <w:r w:rsidR="00AA7D6F" w:rsidRPr="00D948C1">
        <w:rPr>
          <w:szCs w:val="24"/>
          <w:lang w:val="en-GB"/>
        </w:rPr>
        <w:t>3</w:t>
      </w:r>
      <w:r w:rsidR="00187915" w:rsidRPr="00D948C1">
        <w:rPr>
          <w:szCs w:val="24"/>
          <w:lang w:val="en-GB"/>
        </w:rPr>
        <w:t>76</w:t>
      </w:r>
      <w:r w:rsidRPr="00D948C1">
        <w:rPr>
          <w:szCs w:val="24"/>
          <w:lang w:val="en-GB"/>
        </w:rPr>
        <w:t>m</w:t>
      </w:r>
      <w:r w:rsidR="003079EA" w:rsidRPr="00D948C1">
        <w:rPr>
          <w:szCs w:val="24"/>
          <w:lang w:val="en-GB"/>
        </w:rPr>
        <w:t xml:space="preserve"> (20</w:t>
      </w:r>
      <w:r w:rsidR="004E1871" w:rsidRPr="00D948C1">
        <w:rPr>
          <w:szCs w:val="24"/>
          <w:lang w:val="en-GB"/>
        </w:rPr>
        <w:t>2</w:t>
      </w:r>
      <w:r w:rsidR="00C7098F" w:rsidRPr="00D948C1">
        <w:rPr>
          <w:szCs w:val="24"/>
          <w:lang w:val="en-GB"/>
        </w:rPr>
        <w:t>3</w:t>
      </w:r>
      <w:r w:rsidR="004E1871" w:rsidRPr="00D948C1">
        <w:rPr>
          <w:szCs w:val="24"/>
          <w:lang w:val="en-GB"/>
        </w:rPr>
        <w:t>/2</w:t>
      </w:r>
      <w:r w:rsidR="00C7098F" w:rsidRPr="00D948C1">
        <w:rPr>
          <w:szCs w:val="24"/>
          <w:lang w:val="en-GB"/>
        </w:rPr>
        <w:t>4</w:t>
      </w:r>
      <w:r w:rsidR="003079EA" w:rsidRPr="00D948C1">
        <w:rPr>
          <w:szCs w:val="24"/>
          <w:lang w:val="en-GB"/>
        </w:rPr>
        <w:t>: £0.</w:t>
      </w:r>
      <w:r w:rsidR="00633531" w:rsidRPr="00D948C1">
        <w:rPr>
          <w:szCs w:val="24"/>
          <w:lang w:val="en-GB"/>
        </w:rPr>
        <w:t>3</w:t>
      </w:r>
      <w:r w:rsidR="00C7098F" w:rsidRPr="00D948C1">
        <w:rPr>
          <w:szCs w:val="24"/>
          <w:lang w:val="en-GB"/>
        </w:rPr>
        <w:t>32</w:t>
      </w:r>
      <w:r w:rsidR="003079EA" w:rsidRPr="00D948C1">
        <w:rPr>
          <w:szCs w:val="24"/>
          <w:lang w:val="en-GB"/>
        </w:rPr>
        <w:t>m)</w:t>
      </w:r>
      <w:r w:rsidRPr="00D948C1">
        <w:rPr>
          <w:szCs w:val="24"/>
          <w:lang w:val="en-GB"/>
        </w:rPr>
        <w:t>, analysed as follows:</w:t>
      </w:r>
    </w:p>
    <w:tbl>
      <w:tblPr>
        <w:tblW w:w="85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88"/>
      </w:tblGrid>
      <w:tr w:rsidR="000960DE" w:rsidRPr="00D948C1" w14:paraId="172F644E" w14:textId="77777777" w:rsidTr="000F5E3B">
        <w:trPr>
          <w:trHeight w:hRule="exact" w:val="576"/>
          <w:tblHeader/>
        </w:trPr>
        <w:tc>
          <w:tcPr>
            <w:tcW w:w="4770" w:type="dxa"/>
            <w:shd w:val="clear" w:color="auto" w:fill="BD2716"/>
          </w:tcPr>
          <w:p w14:paraId="31256476" w14:textId="06736A1E" w:rsidR="000960DE" w:rsidRPr="00D948C1" w:rsidRDefault="000960DE" w:rsidP="006C0086">
            <w:pPr>
              <w:pStyle w:val="Footer"/>
              <w:tabs>
                <w:tab w:val="clear" w:pos="4153"/>
                <w:tab w:val="clear" w:pos="8306"/>
              </w:tabs>
              <w:spacing w:line="276" w:lineRule="auto"/>
              <w:rPr>
                <w:color w:val="FFFFFF" w:themeColor="background1"/>
                <w:szCs w:val="24"/>
              </w:rPr>
            </w:pPr>
          </w:p>
        </w:tc>
        <w:tc>
          <w:tcPr>
            <w:tcW w:w="1890" w:type="dxa"/>
            <w:shd w:val="clear" w:color="auto" w:fill="BD2716"/>
            <w:vAlign w:val="center"/>
          </w:tcPr>
          <w:p w14:paraId="3B10D3F8" w14:textId="34BB03B2" w:rsidR="000960DE" w:rsidRPr="00D948C1" w:rsidRDefault="000960DE" w:rsidP="006C0086">
            <w:pPr>
              <w:pStyle w:val="BodyTextIndent"/>
              <w:spacing w:line="276" w:lineRule="auto"/>
              <w:ind w:left="0"/>
              <w:jc w:val="right"/>
              <w:rPr>
                <w:color w:val="FFFFFF" w:themeColor="background1"/>
                <w:szCs w:val="24"/>
              </w:rPr>
            </w:pPr>
            <w:r w:rsidRPr="00D948C1">
              <w:rPr>
                <w:color w:val="FFFFFF" w:themeColor="background1"/>
                <w:szCs w:val="24"/>
              </w:rPr>
              <w:t>202</w:t>
            </w:r>
            <w:r w:rsidR="00C7098F" w:rsidRPr="00D948C1">
              <w:rPr>
                <w:color w:val="FFFFFF" w:themeColor="background1"/>
                <w:szCs w:val="24"/>
              </w:rPr>
              <w:t>3</w:t>
            </w:r>
            <w:r w:rsidRPr="00D948C1">
              <w:rPr>
                <w:color w:val="FFFFFF" w:themeColor="background1"/>
                <w:szCs w:val="24"/>
              </w:rPr>
              <w:t>/2</w:t>
            </w:r>
            <w:r w:rsidR="00C7098F" w:rsidRPr="00D948C1">
              <w:rPr>
                <w:color w:val="FFFFFF" w:themeColor="background1"/>
                <w:szCs w:val="24"/>
              </w:rPr>
              <w:t>4</w:t>
            </w:r>
          </w:p>
          <w:p w14:paraId="028BBFB7" w14:textId="08D260BA" w:rsidR="003C7C40" w:rsidRPr="00D948C1" w:rsidRDefault="003C7C40"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888" w:type="dxa"/>
            <w:shd w:val="clear" w:color="auto" w:fill="BD2716"/>
            <w:vAlign w:val="center"/>
          </w:tcPr>
          <w:p w14:paraId="7AE4D692" w14:textId="77777777" w:rsidR="00C7098F" w:rsidRPr="00D948C1" w:rsidRDefault="00C7098F" w:rsidP="006C0086">
            <w:pPr>
              <w:pStyle w:val="BodyTextIndent"/>
              <w:spacing w:line="276" w:lineRule="auto"/>
              <w:ind w:left="0"/>
              <w:jc w:val="right"/>
              <w:rPr>
                <w:color w:val="FFFFFF" w:themeColor="background1"/>
                <w:szCs w:val="24"/>
              </w:rPr>
            </w:pPr>
            <w:r w:rsidRPr="00D948C1">
              <w:rPr>
                <w:color w:val="FFFFFF" w:themeColor="background1"/>
                <w:szCs w:val="24"/>
              </w:rPr>
              <w:t>2022/23</w:t>
            </w:r>
          </w:p>
          <w:p w14:paraId="43847763" w14:textId="380893B4" w:rsidR="003C7C40" w:rsidRPr="00D948C1" w:rsidRDefault="00C7098F"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r>
      <w:tr w:rsidR="00C7098F" w:rsidRPr="00D948C1" w14:paraId="5A257217" w14:textId="77777777" w:rsidTr="000F5E3B">
        <w:trPr>
          <w:trHeight w:hRule="exact" w:val="300"/>
        </w:trPr>
        <w:tc>
          <w:tcPr>
            <w:tcW w:w="4770" w:type="dxa"/>
          </w:tcPr>
          <w:p w14:paraId="0A35004C" w14:textId="77777777" w:rsidR="00C7098F" w:rsidRPr="00D948C1" w:rsidRDefault="00C7098F" w:rsidP="006C0086">
            <w:pPr>
              <w:pStyle w:val="Footer"/>
              <w:tabs>
                <w:tab w:val="clear" w:pos="4153"/>
                <w:tab w:val="clear" w:pos="8306"/>
                <w:tab w:val="left" w:pos="702"/>
              </w:tabs>
              <w:spacing w:line="276" w:lineRule="auto"/>
              <w:rPr>
                <w:szCs w:val="24"/>
              </w:rPr>
            </w:pPr>
            <w:r w:rsidRPr="00D948C1">
              <w:rPr>
                <w:szCs w:val="24"/>
              </w:rPr>
              <w:t>Members allowances/expenses</w:t>
            </w:r>
          </w:p>
        </w:tc>
        <w:tc>
          <w:tcPr>
            <w:tcW w:w="1890" w:type="dxa"/>
            <w:vAlign w:val="center"/>
          </w:tcPr>
          <w:p w14:paraId="2E5922C6" w14:textId="72AC3D51" w:rsidR="00C7098F" w:rsidRPr="00D948C1" w:rsidRDefault="00C7098F" w:rsidP="006C0086">
            <w:pPr>
              <w:pStyle w:val="Footer"/>
              <w:tabs>
                <w:tab w:val="clear" w:pos="4153"/>
                <w:tab w:val="clear" w:pos="8306"/>
                <w:tab w:val="decimal" w:pos="1080"/>
              </w:tabs>
              <w:spacing w:line="276" w:lineRule="auto"/>
              <w:jc w:val="right"/>
              <w:rPr>
                <w:szCs w:val="24"/>
              </w:rPr>
            </w:pPr>
            <w:r w:rsidRPr="00D948C1">
              <w:rPr>
                <w:szCs w:val="24"/>
              </w:rPr>
              <w:t>1</w:t>
            </w:r>
            <w:r w:rsidR="00187915" w:rsidRPr="00D948C1">
              <w:rPr>
                <w:szCs w:val="24"/>
              </w:rPr>
              <w:t>52</w:t>
            </w:r>
          </w:p>
        </w:tc>
        <w:tc>
          <w:tcPr>
            <w:tcW w:w="1888" w:type="dxa"/>
            <w:vAlign w:val="center"/>
          </w:tcPr>
          <w:p w14:paraId="0C908DB8" w14:textId="4F15846E" w:rsidR="00C7098F" w:rsidRPr="00D948C1" w:rsidRDefault="00C7098F" w:rsidP="006C0086">
            <w:pPr>
              <w:pStyle w:val="Footer"/>
              <w:tabs>
                <w:tab w:val="clear" w:pos="4153"/>
                <w:tab w:val="clear" w:pos="8306"/>
                <w:tab w:val="decimal" w:pos="1080"/>
              </w:tabs>
              <w:spacing w:line="276" w:lineRule="auto"/>
              <w:jc w:val="right"/>
              <w:rPr>
                <w:szCs w:val="24"/>
              </w:rPr>
            </w:pPr>
            <w:r w:rsidRPr="00D948C1">
              <w:rPr>
                <w:szCs w:val="24"/>
              </w:rPr>
              <w:t>140</w:t>
            </w:r>
          </w:p>
        </w:tc>
      </w:tr>
      <w:tr w:rsidR="00C7098F" w:rsidRPr="00D948C1" w14:paraId="1C5B417E" w14:textId="77777777" w:rsidTr="000F5E3B">
        <w:trPr>
          <w:trHeight w:hRule="exact" w:val="300"/>
        </w:trPr>
        <w:tc>
          <w:tcPr>
            <w:tcW w:w="4770" w:type="dxa"/>
          </w:tcPr>
          <w:p w14:paraId="6996BEA9" w14:textId="77777777" w:rsidR="00C7098F" w:rsidRPr="00D948C1" w:rsidRDefault="00C7098F" w:rsidP="006C0086">
            <w:pPr>
              <w:tabs>
                <w:tab w:val="left" w:pos="702"/>
              </w:tabs>
              <w:spacing w:line="276" w:lineRule="auto"/>
              <w:rPr>
                <w:szCs w:val="24"/>
              </w:rPr>
            </w:pPr>
            <w:r w:rsidRPr="00D948C1">
              <w:rPr>
                <w:szCs w:val="24"/>
              </w:rPr>
              <w:t>Statutory officers</w:t>
            </w:r>
          </w:p>
        </w:tc>
        <w:tc>
          <w:tcPr>
            <w:tcW w:w="1890" w:type="dxa"/>
            <w:vAlign w:val="center"/>
          </w:tcPr>
          <w:p w14:paraId="571D3F39" w14:textId="78980683" w:rsidR="00C7098F" w:rsidRPr="00D948C1" w:rsidRDefault="00187915" w:rsidP="006C0086">
            <w:pPr>
              <w:tabs>
                <w:tab w:val="decimal" w:pos="1080"/>
              </w:tabs>
              <w:spacing w:line="276" w:lineRule="auto"/>
              <w:jc w:val="right"/>
              <w:rPr>
                <w:szCs w:val="24"/>
              </w:rPr>
            </w:pPr>
            <w:r w:rsidRPr="00D948C1">
              <w:rPr>
                <w:szCs w:val="24"/>
              </w:rPr>
              <w:t>118</w:t>
            </w:r>
          </w:p>
        </w:tc>
        <w:tc>
          <w:tcPr>
            <w:tcW w:w="1888" w:type="dxa"/>
            <w:vAlign w:val="center"/>
          </w:tcPr>
          <w:p w14:paraId="3C79B5AB" w14:textId="446E3ECB" w:rsidR="00C7098F" w:rsidRPr="00D948C1" w:rsidRDefault="00C7098F" w:rsidP="006C0086">
            <w:pPr>
              <w:tabs>
                <w:tab w:val="decimal" w:pos="1080"/>
              </w:tabs>
              <w:spacing w:line="276" w:lineRule="auto"/>
              <w:jc w:val="right"/>
              <w:rPr>
                <w:szCs w:val="24"/>
              </w:rPr>
            </w:pPr>
            <w:r w:rsidRPr="00D948C1">
              <w:rPr>
                <w:szCs w:val="24"/>
              </w:rPr>
              <w:t>123</w:t>
            </w:r>
          </w:p>
        </w:tc>
      </w:tr>
      <w:tr w:rsidR="00C7098F" w:rsidRPr="00D948C1" w14:paraId="675D2655" w14:textId="77777777" w:rsidTr="000F5E3B">
        <w:trPr>
          <w:trHeight w:hRule="exact" w:val="300"/>
        </w:trPr>
        <w:tc>
          <w:tcPr>
            <w:tcW w:w="4770" w:type="dxa"/>
          </w:tcPr>
          <w:p w14:paraId="143762EB" w14:textId="77777777" w:rsidR="00C7098F" w:rsidRPr="00D948C1" w:rsidRDefault="00C7098F" w:rsidP="006C0086">
            <w:pPr>
              <w:tabs>
                <w:tab w:val="left" w:pos="702"/>
              </w:tabs>
              <w:spacing w:line="276" w:lineRule="auto"/>
              <w:rPr>
                <w:szCs w:val="24"/>
              </w:rPr>
            </w:pPr>
            <w:r w:rsidRPr="00D948C1">
              <w:rPr>
                <w:szCs w:val="24"/>
              </w:rPr>
              <w:t>Others</w:t>
            </w:r>
          </w:p>
        </w:tc>
        <w:tc>
          <w:tcPr>
            <w:tcW w:w="1890" w:type="dxa"/>
            <w:vAlign w:val="center"/>
          </w:tcPr>
          <w:p w14:paraId="2BDA8D04" w14:textId="113F4A13" w:rsidR="00C7098F" w:rsidRPr="00D948C1" w:rsidRDefault="00187915" w:rsidP="006C0086">
            <w:pPr>
              <w:tabs>
                <w:tab w:val="decimal" w:pos="1080"/>
              </w:tabs>
              <w:spacing w:line="276" w:lineRule="auto"/>
              <w:jc w:val="right"/>
              <w:rPr>
                <w:szCs w:val="24"/>
              </w:rPr>
            </w:pPr>
            <w:r w:rsidRPr="00D948C1">
              <w:rPr>
                <w:szCs w:val="24"/>
              </w:rPr>
              <w:t>106</w:t>
            </w:r>
          </w:p>
        </w:tc>
        <w:tc>
          <w:tcPr>
            <w:tcW w:w="1888" w:type="dxa"/>
            <w:vAlign w:val="center"/>
          </w:tcPr>
          <w:p w14:paraId="0D8015FE" w14:textId="4659EC12" w:rsidR="00C7098F" w:rsidRPr="00D948C1" w:rsidRDefault="00C7098F" w:rsidP="006C0086">
            <w:pPr>
              <w:tabs>
                <w:tab w:val="decimal" w:pos="1080"/>
              </w:tabs>
              <w:spacing w:line="276" w:lineRule="auto"/>
              <w:jc w:val="right"/>
              <w:rPr>
                <w:szCs w:val="24"/>
              </w:rPr>
            </w:pPr>
            <w:r w:rsidRPr="00D948C1">
              <w:rPr>
                <w:szCs w:val="24"/>
              </w:rPr>
              <w:t>69</w:t>
            </w:r>
          </w:p>
        </w:tc>
      </w:tr>
      <w:tr w:rsidR="00C7098F" w:rsidRPr="00D948C1" w14:paraId="5F4B826B" w14:textId="77777777" w:rsidTr="000F5E3B">
        <w:trPr>
          <w:trHeight w:hRule="exact" w:val="300"/>
        </w:trPr>
        <w:tc>
          <w:tcPr>
            <w:tcW w:w="4770" w:type="dxa"/>
          </w:tcPr>
          <w:p w14:paraId="7B948216" w14:textId="200E9ED1" w:rsidR="00C7098F" w:rsidRPr="00D948C1" w:rsidRDefault="00C7098F" w:rsidP="006C0086">
            <w:pPr>
              <w:tabs>
                <w:tab w:val="left" w:pos="702"/>
              </w:tabs>
              <w:spacing w:line="276" w:lineRule="auto"/>
              <w:rPr>
                <w:szCs w:val="24"/>
              </w:rPr>
            </w:pPr>
            <w:r w:rsidRPr="00D948C1">
              <w:rPr>
                <w:szCs w:val="24"/>
              </w:rPr>
              <w:t>Total</w:t>
            </w:r>
          </w:p>
        </w:tc>
        <w:tc>
          <w:tcPr>
            <w:tcW w:w="1890" w:type="dxa"/>
            <w:vAlign w:val="center"/>
          </w:tcPr>
          <w:p w14:paraId="0B4F85D3" w14:textId="46714647" w:rsidR="00C7098F" w:rsidRPr="00D948C1" w:rsidRDefault="00C7098F" w:rsidP="006C0086">
            <w:pPr>
              <w:tabs>
                <w:tab w:val="decimal" w:pos="1080"/>
              </w:tabs>
              <w:spacing w:line="276" w:lineRule="auto"/>
              <w:jc w:val="right"/>
              <w:rPr>
                <w:szCs w:val="24"/>
              </w:rPr>
            </w:pPr>
            <w:r w:rsidRPr="00D948C1">
              <w:rPr>
                <w:szCs w:val="24"/>
              </w:rPr>
              <w:t>3</w:t>
            </w:r>
            <w:r w:rsidR="00187915" w:rsidRPr="00D948C1">
              <w:rPr>
                <w:szCs w:val="24"/>
              </w:rPr>
              <w:t>76</w:t>
            </w:r>
          </w:p>
        </w:tc>
        <w:tc>
          <w:tcPr>
            <w:tcW w:w="1888" w:type="dxa"/>
            <w:vAlign w:val="center"/>
          </w:tcPr>
          <w:p w14:paraId="5BDCD18E" w14:textId="70E1341C" w:rsidR="00C7098F" w:rsidRPr="00D948C1" w:rsidRDefault="00C7098F" w:rsidP="006C0086">
            <w:pPr>
              <w:tabs>
                <w:tab w:val="decimal" w:pos="1080"/>
              </w:tabs>
              <w:spacing w:line="276" w:lineRule="auto"/>
              <w:jc w:val="right"/>
              <w:rPr>
                <w:szCs w:val="24"/>
              </w:rPr>
            </w:pPr>
            <w:r w:rsidRPr="00D948C1">
              <w:rPr>
                <w:szCs w:val="24"/>
              </w:rPr>
              <w:t>332</w:t>
            </w:r>
          </w:p>
        </w:tc>
      </w:tr>
    </w:tbl>
    <w:p w14:paraId="6ED72D57" w14:textId="77777777" w:rsidR="00DC4253" w:rsidRPr="00D948C1" w:rsidRDefault="00D90216" w:rsidP="006C0086">
      <w:pPr>
        <w:pStyle w:val="Footer"/>
        <w:tabs>
          <w:tab w:val="clear" w:pos="4153"/>
          <w:tab w:val="clear" w:pos="8306"/>
        </w:tabs>
        <w:spacing w:line="276" w:lineRule="auto"/>
        <w:jc w:val="both"/>
        <w:rPr>
          <w:sz w:val="22"/>
        </w:rPr>
      </w:pPr>
      <w:r w:rsidRPr="00D948C1">
        <w:rPr>
          <w:sz w:val="22"/>
        </w:rPr>
        <w:t xml:space="preserve"> </w:t>
      </w:r>
    </w:p>
    <w:p w14:paraId="4FF36714" w14:textId="77777777" w:rsidR="00D2322A" w:rsidRPr="00D948C1" w:rsidRDefault="00D2322A" w:rsidP="006C0086">
      <w:pPr>
        <w:pStyle w:val="Footer"/>
        <w:tabs>
          <w:tab w:val="clear" w:pos="4153"/>
          <w:tab w:val="clear" w:pos="8306"/>
        </w:tabs>
        <w:spacing w:line="276" w:lineRule="auto"/>
        <w:jc w:val="both"/>
        <w:rPr>
          <w:b/>
          <w:sz w:val="22"/>
        </w:rPr>
      </w:pPr>
    </w:p>
    <w:p w14:paraId="47C64980" w14:textId="3584B248" w:rsidR="00D90216" w:rsidRPr="00D948C1" w:rsidRDefault="00EC5AC1" w:rsidP="006C0086">
      <w:pPr>
        <w:pStyle w:val="Heading2"/>
        <w:spacing w:line="276" w:lineRule="auto"/>
        <w:jc w:val="left"/>
        <w:rPr>
          <w:sz w:val="24"/>
          <w:szCs w:val="24"/>
        </w:rPr>
      </w:pPr>
      <w:bookmarkStart w:id="28" w:name="_Toc171068787"/>
      <w:r w:rsidRPr="00D948C1">
        <w:rPr>
          <w:sz w:val="24"/>
          <w:szCs w:val="24"/>
        </w:rPr>
        <w:t>3</w:t>
      </w:r>
      <w:r w:rsidR="00D90216" w:rsidRPr="00D948C1">
        <w:rPr>
          <w:sz w:val="24"/>
          <w:szCs w:val="24"/>
        </w:rPr>
        <w:tab/>
        <w:t>Employees Emoluments</w:t>
      </w:r>
      <w:bookmarkEnd w:id="28"/>
    </w:p>
    <w:p w14:paraId="1CFE882C" w14:textId="77777777" w:rsidR="00D90216" w:rsidRPr="00D948C1" w:rsidRDefault="00D90216" w:rsidP="006C0086">
      <w:pPr>
        <w:pStyle w:val="Footer"/>
        <w:tabs>
          <w:tab w:val="clear" w:pos="4153"/>
          <w:tab w:val="clear" w:pos="8306"/>
        </w:tabs>
        <w:spacing w:line="276" w:lineRule="auto"/>
        <w:rPr>
          <w:sz w:val="22"/>
        </w:rPr>
      </w:pPr>
    </w:p>
    <w:p w14:paraId="75F936B9" w14:textId="792A5D12" w:rsidR="00D90216" w:rsidRPr="00D948C1" w:rsidRDefault="00D90216" w:rsidP="006C0086">
      <w:pPr>
        <w:pStyle w:val="BodyTextIndent2"/>
        <w:spacing w:line="276" w:lineRule="auto"/>
        <w:ind w:firstLine="0"/>
        <w:rPr>
          <w:szCs w:val="24"/>
        </w:rPr>
      </w:pPr>
      <w:r w:rsidRPr="00D948C1">
        <w:rPr>
          <w:szCs w:val="24"/>
        </w:rPr>
        <w:t xml:space="preserve">Details of the Authority’s employees, out of an estimated </w:t>
      </w:r>
      <w:r w:rsidR="002E15F7" w:rsidRPr="00D948C1">
        <w:rPr>
          <w:szCs w:val="24"/>
        </w:rPr>
        <w:t>1</w:t>
      </w:r>
      <w:r w:rsidR="00D45F10" w:rsidRPr="00D948C1">
        <w:rPr>
          <w:szCs w:val="24"/>
        </w:rPr>
        <w:t>,</w:t>
      </w:r>
      <w:r w:rsidR="002E15F7" w:rsidRPr="00D948C1">
        <w:rPr>
          <w:szCs w:val="24"/>
        </w:rPr>
        <w:t>1</w:t>
      </w:r>
      <w:r w:rsidR="009266C4" w:rsidRPr="00D948C1">
        <w:rPr>
          <w:szCs w:val="24"/>
        </w:rPr>
        <w:t>68</w:t>
      </w:r>
      <w:r w:rsidR="002741A8" w:rsidRPr="00D948C1">
        <w:rPr>
          <w:szCs w:val="24"/>
        </w:rPr>
        <w:t xml:space="preserve"> </w:t>
      </w:r>
      <w:r w:rsidR="00AA7D6F" w:rsidRPr="00D948C1">
        <w:rPr>
          <w:szCs w:val="24"/>
        </w:rPr>
        <w:t>employees</w:t>
      </w:r>
      <w:r w:rsidRPr="00D948C1">
        <w:rPr>
          <w:szCs w:val="24"/>
        </w:rPr>
        <w:t>, who have received pay and benefits of more than £50,000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888"/>
        <w:gridCol w:w="1888"/>
      </w:tblGrid>
      <w:tr w:rsidR="00C7098F" w:rsidRPr="00D948C1" w14:paraId="3721B587" w14:textId="77777777" w:rsidTr="000F5E3B">
        <w:trPr>
          <w:trHeight w:hRule="exact" w:val="578"/>
          <w:tblHeader/>
        </w:trPr>
        <w:tc>
          <w:tcPr>
            <w:tcW w:w="4768" w:type="dxa"/>
            <w:shd w:val="clear" w:color="auto" w:fill="BD2716"/>
          </w:tcPr>
          <w:p w14:paraId="194B9CD1" w14:textId="14BAAA30" w:rsidR="00C7098F" w:rsidRPr="00D948C1" w:rsidRDefault="00C7098F" w:rsidP="006C0086">
            <w:pPr>
              <w:pStyle w:val="Footer"/>
              <w:tabs>
                <w:tab w:val="clear" w:pos="4153"/>
                <w:tab w:val="clear" w:pos="8306"/>
                <w:tab w:val="left" w:pos="720"/>
                <w:tab w:val="right" w:pos="7920"/>
              </w:tabs>
              <w:spacing w:line="276" w:lineRule="auto"/>
              <w:rPr>
                <w:color w:val="FFFFFF" w:themeColor="background1"/>
                <w:szCs w:val="24"/>
              </w:rPr>
            </w:pPr>
          </w:p>
        </w:tc>
        <w:tc>
          <w:tcPr>
            <w:tcW w:w="1888" w:type="dxa"/>
            <w:shd w:val="clear" w:color="auto" w:fill="BD2716"/>
            <w:vAlign w:val="center"/>
          </w:tcPr>
          <w:p w14:paraId="4BC1F8E0" w14:textId="1CCEB3F3" w:rsidR="00C7098F" w:rsidRPr="00D948C1" w:rsidRDefault="00C7098F" w:rsidP="006C0086">
            <w:pPr>
              <w:spacing w:line="276" w:lineRule="auto"/>
              <w:jc w:val="right"/>
              <w:rPr>
                <w:color w:val="FFFFFF" w:themeColor="background1"/>
                <w:szCs w:val="24"/>
              </w:rPr>
            </w:pPr>
            <w:r w:rsidRPr="00D948C1">
              <w:rPr>
                <w:color w:val="FFFFFF" w:themeColor="background1"/>
                <w:szCs w:val="24"/>
              </w:rPr>
              <w:t>2023/24</w:t>
            </w:r>
          </w:p>
          <w:p w14:paraId="04CBB18E" w14:textId="6D074A80" w:rsidR="00C7098F" w:rsidRPr="00D948C1" w:rsidRDefault="00C7098F" w:rsidP="006C0086">
            <w:pPr>
              <w:spacing w:line="276" w:lineRule="auto"/>
              <w:jc w:val="right"/>
              <w:rPr>
                <w:color w:val="FFFFFF" w:themeColor="background1"/>
                <w:szCs w:val="24"/>
              </w:rPr>
            </w:pPr>
            <w:r w:rsidRPr="00D948C1">
              <w:rPr>
                <w:color w:val="FFFFFF" w:themeColor="background1"/>
                <w:szCs w:val="24"/>
              </w:rPr>
              <w:t>No.</w:t>
            </w:r>
          </w:p>
        </w:tc>
        <w:tc>
          <w:tcPr>
            <w:tcW w:w="1888" w:type="dxa"/>
            <w:shd w:val="clear" w:color="auto" w:fill="BD2716"/>
            <w:vAlign w:val="center"/>
          </w:tcPr>
          <w:p w14:paraId="523930AD" w14:textId="77777777" w:rsidR="00C7098F" w:rsidRPr="00D948C1" w:rsidRDefault="00C7098F" w:rsidP="006C0086">
            <w:pPr>
              <w:spacing w:line="276" w:lineRule="auto"/>
              <w:jc w:val="right"/>
              <w:rPr>
                <w:color w:val="FFFFFF" w:themeColor="background1"/>
                <w:szCs w:val="24"/>
              </w:rPr>
            </w:pPr>
            <w:r w:rsidRPr="00D948C1">
              <w:rPr>
                <w:color w:val="FFFFFF" w:themeColor="background1"/>
                <w:szCs w:val="24"/>
              </w:rPr>
              <w:t>2022/23</w:t>
            </w:r>
          </w:p>
          <w:p w14:paraId="0957C1D2" w14:textId="770D4392" w:rsidR="00C7098F" w:rsidRPr="00D948C1" w:rsidRDefault="00C7098F" w:rsidP="006C0086">
            <w:pPr>
              <w:spacing w:line="276" w:lineRule="auto"/>
              <w:jc w:val="right"/>
              <w:rPr>
                <w:color w:val="FFFFFF" w:themeColor="background1"/>
                <w:szCs w:val="24"/>
              </w:rPr>
            </w:pPr>
            <w:r w:rsidRPr="00D948C1">
              <w:rPr>
                <w:color w:val="FFFFFF" w:themeColor="background1"/>
                <w:szCs w:val="24"/>
              </w:rPr>
              <w:t>No.</w:t>
            </w:r>
          </w:p>
        </w:tc>
      </w:tr>
      <w:tr w:rsidR="00C7098F" w:rsidRPr="00D948C1" w14:paraId="58878B9D" w14:textId="77777777" w:rsidTr="000F5E3B">
        <w:trPr>
          <w:trHeight w:hRule="exact" w:val="300"/>
        </w:trPr>
        <w:tc>
          <w:tcPr>
            <w:tcW w:w="4768" w:type="dxa"/>
          </w:tcPr>
          <w:p w14:paraId="233DCB05" w14:textId="1AABAA39" w:rsidR="00C7098F" w:rsidRPr="00D948C1" w:rsidRDefault="00C7098F" w:rsidP="006C0086">
            <w:pPr>
              <w:pStyle w:val="Footer"/>
              <w:tabs>
                <w:tab w:val="clear" w:pos="4153"/>
                <w:tab w:val="clear" w:pos="8306"/>
                <w:tab w:val="left" w:pos="720"/>
                <w:tab w:val="left" w:pos="1422"/>
                <w:tab w:val="right" w:pos="7920"/>
              </w:tabs>
              <w:spacing w:line="276" w:lineRule="auto"/>
              <w:rPr>
                <w:szCs w:val="24"/>
              </w:rPr>
            </w:pPr>
            <w:r w:rsidRPr="00D948C1">
              <w:rPr>
                <w:szCs w:val="24"/>
              </w:rPr>
              <w:t>£75,000 - £79,999</w:t>
            </w:r>
          </w:p>
        </w:tc>
        <w:tc>
          <w:tcPr>
            <w:tcW w:w="1888" w:type="dxa"/>
            <w:vAlign w:val="center"/>
          </w:tcPr>
          <w:p w14:paraId="14A24387" w14:textId="1A5D8611" w:rsidR="00C7098F" w:rsidRPr="00D948C1" w:rsidRDefault="00187915" w:rsidP="006C0086">
            <w:pPr>
              <w:pStyle w:val="Footer"/>
              <w:tabs>
                <w:tab w:val="clear" w:pos="4153"/>
                <w:tab w:val="clear" w:pos="8306"/>
                <w:tab w:val="decimal" w:pos="810"/>
              </w:tabs>
              <w:spacing w:line="276" w:lineRule="auto"/>
              <w:jc w:val="right"/>
              <w:rPr>
                <w:szCs w:val="24"/>
              </w:rPr>
            </w:pPr>
            <w:r w:rsidRPr="00D948C1">
              <w:rPr>
                <w:szCs w:val="24"/>
              </w:rPr>
              <w:t>3</w:t>
            </w:r>
          </w:p>
        </w:tc>
        <w:tc>
          <w:tcPr>
            <w:tcW w:w="1888" w:type="dxa"/>
            <w:vAlign w:val="center"/>
          </w:tcPr>
          <w:p w14:paraId="2A0C1592" w14:textId="250A38DF" w:rsidR="00C7098F" w:rsidRPr="00D948C1" w:rsidRDefault="00C7098F" w:rsidP="006C0086">
            <w:pPr>
              <w:pStyle w:val="Footer"/>
              <w:tabs>
                <w:tab w:val="clear" w:pos="4153"/>
                <w:tab w:val="clear" w:pos="8306"/>
                <w:tab w:val="decimal" w:pos="810"/>
              </w:tabs>
              <w:spacing w:line="276" w:lineRule="auto"/>
              <w:jc w:val="right"/>
              <w:rPr>
                <w:szCs w:val="24"/>
              </w:rPr>
            </w:pPr>
            <w:r w:rsidRPr="00D948C1">
              <w:rPr>
                <w:szCs w:val="24"/>
              </w:rPr>
              <w:t>2</w:t>
            </w:r>
          </w:p>
        </w:tc>
      </w:tr>
      <w:tr w:rsidR="00C7098F" w:rsidRPr="00D948C1" w14:paraId="72228518" w14:textId="77777777" w:rsidTr="000F5E3B">
        <w:trPr>
          <w:trHeight w:hRule="exact" w:val="300"/>
        </w:trPr>
        <w:tc>
          <w:tcPr>
            <w:tcW w:w="4768" w:type="dxa"/>
          </w:tcPr>
          <w:p w14:paraId="6303DDB3" w14:textId="77777777" w:rsidR="00C7098F" w:rsidRPr="00D948C1" w:rsidRDefault="00C7098F" w:rsidP="006C0086">
            <w:pPr>
              <w:pStyle w:val="Footer"/>
              <w:tabs>
                <w:tab w:val="clear" w:pos="4153"/>
                <w:tab w:val="clear" w:pos="8306"/>
                <w:tab w:val="left" w:pos="720"/>
                <w:tab w:val="left" w:pos="1422"/>
                <w:tab w:val="right" w:pos="7920"/>
              </w:tabs>
              <w:spacing w:line="276" w:lineRule="auto"/>
              <w:rPr>
                <w:szCs w:val="24"/>
              </w:rPr>
            </w:pPr>
            <w:r w:rsidRPr="00D948C1">
              <w:rPr>
                <w:szCs w:val="24"/>
              </w:rPr>
              <w:t>£70,000 - £74,999</w:t>
            </w:r>
          </w:p>
        </w:tc>
        <w:tc>
          <w:tcPr>
            <w:tcW w:w="1888" w:type="dxa"/>
            <w:vAlign w:val="center"/>
          </w:tcPr>
          <w:p w14:paraId="265D09CD" w14:textId="10ED0050" w:rsidR="00C7098F" w:rsidRPr="00D948C1" w:rsidRDefault="00C7098F" w:rsidP="006C0086">
            <w:pPr>
              <w:pStyle w:val="Footer"/>
              <w:tabs>
                <w:tab w:val="clear" w:pos="4153"/>
                <w:tab w:val="clear" w:pos="8306"/>
                <w:tab w:val="decimal" w:pos="810"/>
              </w:tabs>
              <w:spacing w:line="276" w:lineRule="auto"/>
              <w:jc w:val="right"/>
              <w:rPr>
                <w:szCs w:val="24"/>
              </w:rPr>
            </w:pPr>
            <w:r w:rsidRPr="00D948C1">
              <w:rPr>
                <w:szCs w:val="24"/>
              </w:rPr>
              <w:t>1</w:t>
            </w:r>
            <w:r w:rsidR="00187915" w:rsidRPr="00D948C1">
              <w:rPr>
                <w:szCs w:val="24"/>
              </w:rPr>
              <w:t>1</w:t>
            </w:r>
          </w:p>
        </w:tc>
        <w:tc>
          <w:tcPr>
            <w:tcW w:w="1888" w:type="dxa"/>
            <w:vAlign w:val="center"/>
          </w:tcPr>
          <w:p w14:paraId="36744EC9" w14:textId="3EE88618" w:rsidR="00C7098F" w:rsidRPr="00D948C1" w:rsidRDefault="00C7098F" w:rsidP="006C0086">
            <w:pPr>
              <w:pStyle w:val="Footer"/>
              <w:tabs>
                <w:tab w:val="clear" w:pos="4153"/>
                <w:tab w:val="clear" w:pos="8306"/>
                <w:tab w:val="decimal" w:pos="810"/>
              </w:tabs>
              <w:spacing w:line="276" w:lineRule="auto"/>
              <w:jc w:val="right"/>
              <w:rPr>
                <w:szCs w:val="24"/>
              </w:rPr>
            </w:pPr>
            <w:r w:rsidRPr="00D948C1">
              <w:rPr>
                <w:szCs w:val="24"/>
              </w:rPr>
              <w:t>1</w:t>
            </w:r>
          </w:p>
        </w:tc>
      </w:tr>
      <w:tr w:rsidR="00C7098F" w:rsidRPr="00D948C1" w14:paraId="571DE7CB" w14:textId="77777777" w:rsidTr="000F5E3B">
        <w:trPr>
          <w:trHeight w:hRule="exact" w:val="300"/>
        </w:trPr>
        <w:tc>
          <w:tcPr>
            <w:tcW w:w="4768" w:type="dxa"/>
          </w:tcPr>
          <w:p w14:paraId="3158CEE0" w14:textId="77777777" w:rsidR="00C7098F" w:rsidRPr="00D948C1" w:rsidRDefault="00C7098F" w:rsidP="006C0086">
            <w:pPr>
              <w:pStyle w:val="Footer"/>
              <w:tabs>
                <w:tab w:val="clear" w:pos="4153"/>
                <w:tab w:val="clear" w:pos="8306"/>
                <w:tab w:val="left" w:pos="720"/>
                <w:tab w:val="left" w:pos="1422"/>
                <w:tab w:val="right" w:pos="7920"/>
              </w:tabs>
              <w:spacing w:line="276" w:lineRule="auto"/>
              <w:rPr>
                <w:szCs w:val="24"/>
              </w:rPr>
            </w:pPr>
            <w:r w:rsidRPr="00D948C1">
              <w:rPr>
                <w:szCs w:val="24"/>
              </w:rPr>
              <w:t>£65,000 - £69,999</w:t>
            </w:r>
          </w:p>
        </w:tc>
        <w:tc>
          <w:tcPr>
            <w:tcW w:w="1888" w:type="dxa"/>
            <w:vAlign w:val="center"/>
          </w:tcPr>
          <w:p w14:paraId="3705233E" w14:textId="6CC856DB" w:rsidR="00C7098F" w:rsidRPr="00D948C1" w:rsidRDefault="00187915" w:rsidP="006C0086">
            <w:pPr>
              <w:pStyle w:val="Footer"/>
              <w:tabs>
                <w:tab w:val="clear" w:pos="4153"/>
                <w:tab w:val="clear" w:pos="8306"/>
                <w:tab w:val="decimal" w:pos="810"/>
              </w:tabs>
              <w:spacing w:line="276" w:lineRule="auto"/>
              <w:jc w:val="right"/>
              <w:rPr>
                <w:szCs w:val="24"/>
              </w:rPr>
            </w:pPr>
            <w:r w:rsidRPr="00D948C1">
              <w:rPr>
                <w:szCs w:val="24"/>
              </w:rPr>
              <w:t>13</w:t>
            </w:r>
          </w:p>
        </w:tc>
        <w:tc>
          <w:tcPr>
            <w:tcW w:w="1888" w:type="dxa"/>
            <w:vAlign w:val="center"/>
          </w:tcPr>
          <w:p w14:paraId="290B9BEB" w14:textId="6C0DCE08" w:rsidR="00C7098F" w:rsidRPr="00D948C1" w:rsidRDefault="00C7098F" w:rsidP="006C0086">
            <w:pPr>
              <w:pStyle w:val="Footer"/>
              <w:tabs>
                <w:tab w:val="clear" w:pos="4153"/>
                <w:tab w:val="clear" w:pos="8306"/>
                <w:tab w:val="decimal" w:pos="810"/>
              </w:tabs>
              <w:spacing w:line="276" w:lineRule="auto"/>
              <w:jc w:val="right"/>
              <w:rPr>
                <w:szCs w:val="24"/>
              </w:rPr>
            </w:pPr>
            <w:r w:rsidRPr="00D948C1">
              <w:rPr>
                <w:szCs w:val="24"/>
              </w:rPr>
              <w:t>8</w:t>
            </w:r>
          </w:p>
        </w:tc>
      </w:tr>
      <w:tr w:rsidR="00C7098F" w:rsidRPr="00D948C1" w14:paraId="3579D8D6" w14:textId="77777777" w:rsidTr="000F5E3B">
        <w:trPr>
          <w:trHeight w:hRule="exact" w:val="300"/>
        </w:trPr>
        <w:tc>
          <w:tcPr>
            <w:tcW w:w="4768" w:type="dxa"/>
          </w:tcPr>
          <w:p w14:paraId="31522892" w14:textId="77777777" w:rsidR="00C7098F" w:rsidRPr="00D948C1" w:rsidRDefault="00C7098F" w:rsidP="006C0086">
            <w:pPr>
              <w:pStyle w:val="Footer"/>
              <w:tabs>
                <w:tab w:val="clear" w:pos="4153"/>
                <w:tab w:val="clear" w:pos="8306"/>
                <w:tab w:val="left" w:pos="720"/>
                <w:tab w:val="left" w:pos="1422"/>
                <w:tab w:val="right" w:pos="7920"/>
              </w:tabs>
              <w:spacing w:line="276" w:lineRule="auto"/>
              <w:rPr>
                <w:szCs w:val="24"/>
              </w:rPr>
            </w:pPr>
            <w:r w:rsidRPr="00D948C1">
              <w:rPr>
                <w:szCs w:val="24"/>
              </w:rPr>
              <w:t>£60,000 - £64,999</w:t>
            </w:r>
          </w:p>
        </w:tc>
        <w:tc>
          <w:tcPr>
            <w:tcW w:w="1888" w:type="dxa"/>
            <w:vAlign w:val="center"/>
          </w:tcPr>
          <w:p w14:paraId="37EB2A01" w14:textId="0FF8ADC0" w:rsidR="00C7098F" w:rsidRPr="00D948C1" w:rsidRDefault="00187915" w:rsidP="006C0086">
            <w:pPr>
              <w:pStyle w:val="Footer"/>
              <w:tabs>
                <w:tab w:val="clear" w:pos="4153"/>
                <w:tab w:val="clear" w:pos="8306"/>
                <w:tab w:val="decimal" w:pos="810"/>
              </w:tabs>
              <w:spacing w:line="276" w:lineRule="auto"/>
              <w:jc w:val="right"/>
              <w:rPr>
                <w:szCs w:val="24"/>
              </w:rPr>
            </w:pPr>
            <w:r w:rsidRPr="00D948C1">
              <w:rPr>
                <w:szCs w:val="24"/>
              </w:rPr>
              <w:t>39</w:t>
            </w:r>
          </w:p>
        </w:tc>
        <w:tc>
          <w:tcPr>
            <w:tcW w:w="1888" w:type="dxa"/>
            <w:vAlign w:val="center"/>
          </w:tcPr>
          <w:p w14:paraId="0BD1097F" w14:textId="412BF1C9" w:rsidR="00C7098F" w:rsidRPr="00D948C1" w:rsidRDefault="00C7098F" w:rsidP="006C0086">
            <w:pPr>
              <w:pStyle w:val="Footer"/>
              <w:tabs>
                <w:tab w:val="clear" w:pos="4153"/>
                <w:tab w:val="clear" w:pos="8306"/>
                <w:tab w:val="decimal" w:pos="810"/>
              </w:tabs>
              <w:spacing w:line="276" w:lineRule="auto"/>
              <w:jc w:val="right"/>
              <w:rPr>
                <w:szCs w:val="24"/>
              </w:rPr>
            </w:pPr>
            <w:r w:rsidRPr="00D948C1">
              <w:rPr>
                <w:szCs w:val="24"/>
              </w:rPr>
              <w:t>20</w:t>
            </w:r>
          </w:p>
        </w:tc>
      </w:tr>
      <w:tr w:rsidR="00C7098F" w:rsidRPr="00D948C1" w14:paraId="341F2CF1" w14:textId="77777777" w:rsidTr="000F5E3B">
        <w:trPr>
          <w:trHeight w:hRule="exact" w:val="300"/>
        </w:trPr>
        <w:tc>
          <w:tcPr>
            <w:tcW w:w="4768" w:type="dxa"/>
          </w:tcPr>
          <w:p w14:paraId="1E804EAE" w14:textId="77777777" w:rsidR="00C7098F" w:rsidRPr="00D948C1" w:rsidRDefault="00C7098F" w:rsidP="006C0086">
            <w:pPr>
              <w:tabs>
                <w:tab w:val="left" w:pos="720"/>
                <w:tab w:val="left" w:pos="1422"/>
                <w:tab w:val="right" w:pos="7920"/>
              </w:tabs>
              <w:spacing w:line="276" w:lineRule="auto"/>
              <w:rPr>
                <w:szCs w:val="24"/>
              </w:rPr>
            </w:pPr>
            <w:r w:rsidRPr="00D948C1">
              <w:rPr>
                <w:szCs w:val="24"/>
              </w:rPr>
              <w:t>£55,000 - £59,999</w:t>
            </w:r>
          </w:p>
        </w:tc>
        <w:tc>
          <w:tcPr>
            <w:tcW w:w="1888" w:type="dxa"/>
            <w:vAlign w:val="center"/>
          </w:tcPr>
          <w:p w14:paraId="3B5720E2" w14:textId="725F6C5F" w:rsidR="00C7098F" w:rsidRPr="00D948C1" w:rsidRDefault="00187915" w:rsidP="006C0086">
            <w:pPr>
              <w:tabs>
                <w:tab w:val="decimal" w:pos="810"/>
              </w:tabs>
              <w:spacing w:line="276" w:lineRule="auto"/>
              <w:jc w:val="right"/>
              <w:rPr>
                <w:szCs w:val="24"/>
              </w:rPr>
            </w:pPr>
            <w:r w:rsidRPr="00D948C1">
              <w:rPr>
                <w:szCs w:val="24"/>
              </w:rPr>
              <w:t>40</w:t>
            </w:r>
          </w:p>
        </w:tc>
        <w:tc>
          <w:tcPr>
            <w:tcW w:w="1888" w:type="dxa"/>
            <w:vAlign w:val="center"/>
          </w:tcPr>
          <w:p w14:paraId="7BAE4A2A" w14:textId="46B0B2F7" w:rsidR="00C7098F" w:rsidRPr="00D948C1" w:rsidRDefault="00C7098F" w:rsidP="006C0086">
            <w:pPr>
              <w:tabs>
                <w:tab w:val="decimal" w:pos="810"/>
              </w:tabs>
              <w:spacing w:line="276" w:lineRule="auto"/>
              <w:jc w:val="right"/>
              <w:rPr>
                <w:szCs w:val="24"/>
              </w:rPr>
            </w:pPr>
            <w:r w:rsidRPr="00D948C1">
              <w:rPr>
                <w:szCs w:val="24"/>
              </w:rPr>
              <w:t>51</w:t>
            </w:r>
          </w:p>
        </w:tc>
      </w:tr>
      <w:tr w:rsidR="00C7098F" w:rsidRPr="00D948C1" w14:paraId="529DDE15" w14:textId="77777777" w:rsidTr="000F5E3B">
        <w:trPr>
          <w:trHeight w:hRule="exact" w:val="300"/>
        </w:trPr>
        <w:tc>
          <w:tcPr>
            <w:tcW w:w="4768" w:type="dxa"/>
          </w:tcPr>
          <w:p w14:paraId="2B0BD665" w14:textId="77777777" w:rsidR="00C7098F" w:rsidRPr="00D948C1" w:rsidRDefault="00C7098F" w:rsidP="006C0086">
            <w:pPr>
              <w:tabs>
                <w:tab w:val="left" w:pos="720"/>
                <w:tab w:val="left" w:pos="1422"/>
                <w:tab w:val="right" w:pos="7920"/>
              </w:tabs>
              <w:spacing w:line="276" w:lineRule="auto"/>
              <w:rPr>
                <w:szCs w:val="24"/>
              </w:rPr>
            </w:pPr>
            <w:r w:rsidRPr="00D948C1">
              <w:rPr>
                <w:szCs w:val="24"/>
              </w:rPr>
              <w:t>£50,000 - £54,999</w:t>
            </w:r>
          </w:p>
        </w:tc>
        <w:tc>
          <w:tcPr>
            <w:tcW w:w="1888" w:type="dxa"/>
            <w:vAlign w:val="center"/>
          </w:tcPr>
          <w:p w14:paraId="002CA70E" w14:textId="1A6D6C0E" w:rsidR="00C7098F" w:rsidRPr="00D948C1" w:rsidRDefault="00187915" w:rsidP="006C0086">
            <w:pPr>
              <w:tabs>
                <w:tab w:val="decimal" w:pos="810"/>
              </w:tabs>
              <w:spacing w:line="276" w:lineRule="auto"/>
              <w:jc w:val="right"/>
              <w:rPr>
                <w:szCs w:val="24"/>
              </w:rPr>
            </w:pPr>
            <w:r w:rsidRPr="00D948C1">
              <w:rPr>
                <w:szCs w:val="24"/>
              </w:rPr>
              <w:t>73</w:t>
            </w:r>
          </w:p>
        </w:tc>
        <w:tc>
          <w:tcPr>
            <w:tcW w:w="1888" w:type="dxa"/>
            <w:vAlign w:val="center"/>
          </w:tcPr>
          <w:p w14:paraId="49D17B3D" w14:textId="233134DD" w:rsidR="00C7098F" w:rsidRPr="00D948C1" w:rsidRDefault="00C7098F" w:rsidP="006C0086">
            <w:pPr>
              <w:tabs>
                <w:tab w:val="decimal" w:pos="810"/>
              </w:tabs>
              <w:spacing w:line="276" w:lineRule="auto"/>
              <w:jc w:val="right"/>
              <w:rPr>
                <w:szCs w:val="24"/>
              </w:rPr>
            </w:pPr>
            <w:r w:rsidRPr="00D948C1">
              <w:rPr>
                <w:szCs w:val="24"/>
              </w:rPr>
              <w:t>65</w:t>
            </w:r>
          </w:p>
        </w:tc>
      </w:tr>
      <w:tr w:rsidR="00C7098F" w:rsidRPr="00D948C1" w14:paraId="4890BE4D" w14:textId="77777777" w:rsidTr="000F5E3B">
        <w:trPr>
          <w:trHeight w:hRule="exact" w:val="300"/>
        </w:trPr>
        <w:tc>
          <w:tcPr>
            <w:tcW w:w="4768" w:type="dxa"/>
          </w:tcPr>
          <w:p w14:paraId="0D5DB9ED" w14:textId="1E50A1B8" w:rsidR="00C7098F" w:rsidRPr="00D948C1" w:rsidRDefault="00C7098F" w:rsidP="006C0086">
            <w:pPr>
              <w:tabs>
                <w:tab w:val="left" w:pos="720"/>
                <w:tab w:val="left" w:pos="1422"/>
                <w:tab w:val="right" w:pos="7920"/>
              </w:tabs>
              <w:spacing w:line="276" w:lineRule="auto"/>
              <w:rPr>
                <w:szCs w:val="24"/>
              </w:rPr>
            </w:pPr>
            <w:r w:rsidRPr="00D948C1">
              <w:rPr>
                <w:szCs w:val="24"/>
              </w:rPr>
              <w:t>Total</w:t>
            </w:r>
          </w:p>
        </w:tc>
        <w:tc>
          <w:tcPr>
            <w:tcW w:w="1888" w:type="dxa"/>
            <w:vAlign w:val="center"/>
          </w:tcPr>
          <w:p w14:paraId="5FB27AF5" w14:textId="060B3885" w:rsidR="00C7098F" w:rsidRPr="00D948C1" w:rsidRDefault="00C7098F" w:rsidP="006C0086">
            <w:pPr>
              <w:tabs>
                <w:tab w:val="decimal" w:pos="810"/>
              </w:tabs>
              <w:spacing w:line="276" w:lineRule="auto"/>
              <w:jc w:val="right"/>
              <w:rPr>
                <w:szCs w:val="24"/>
              </w:rPr>
            </w:pPr>
            <w:r w:rsidRPr="00D948C1">
              <w:rPr>
                <w:szCs w:val="24"/>
              </w:rPr>
              <w:t>1</w:t>
            </w:r>
            <w:r w:rsidR="00187915" w:rsidRPr="00D948C1">
              <w:rPr>
                <w:szCs w:val="24"/>
              </w:rPr>
              <w:t>79</w:t>
            </w:r>
          </w:p>
        </w:tc>
        <w:tc>
          <w:tcPr>
            <w:tcW w:w="1888" w:type="dxa"/>
            <w:vAlign w:val="center"/>
          </w:tcPr>
          <w:p w14:paraId="18994414" w14:textId="0A19DD29" w:rsidR="00C7098F" w:rsidRPr="00D948C1" w:rsidRDefault="00C7098F" w:rsidP="006C0086">
            <w:pPr>
              <w:tabs>
                <w:tab w:val="decimal" w:pos="810"/>
              </w:tabs>
              <w:spacing w:line="276" w:lineRule="auto"/>
              <w:jc w:val="right"/>
              <w:rPr>
                <w:szCs w:val="24"/>
              </w:rPr>
            </w:pPr>
            <w:r w:rsidRPr="00D948C1">
              <w:rPr>
                <w:szCs w:val="24"/>
              </w:rPr>
              <w:t>147</w:t>
            </w:r>
          </w:p>
        </w:tc>
      </w:tr>
    </w:tbl>
    <w:p w14:paraId="73E15966" w14:textId="77777777" w:rsidR="006E188F" w:rsidRPr="00D948C1" w:rsidRDefault="006E188F" w:rsidP="006C0086">
      <w:pPr>
        <w:pStyle w:val="BodyTextIndent2"/>
        <w:spacing w:line="276" w:lineRule="auto"/>
        <w:ind w:firstLine="0"/>
        <w:jc w:val="both"/>
        <w:rPr>
          <w:sz w:val="22"/>
        </w:rPr>
      </w:pPr>
    </w:p>
    <w:p w14:paraId="4CB5EA25" w14:textId="545A25A2" w:rsidR="00A00B2E" w:rsidRPr="00D948C1" w:rsidRDefault="006E188F" w:rsidP="006C0086">
      <w:pPr>
        <w:pStyle w:val="BodyTextIndent2"/>
        <w:spacing w:line="276" w:lineRule="auto"/>
        <w:ind w:firstLine="0"/>
        <w:rPr>
          <w:szCs w:val="24"/>
        </w:rPr>
      </w:pPr>
      <w:r w:rsidRPr="00D948C1">
        <w:rPr>
          <w:szCs w:val="24"/>
        </w:rPr>
        <w:t xml:space="preserve">The above table excludes Senior Officers, who are disclosed individually </w:t>
      </w:r>
      <w:r w:rsidR="00E91302" w:rsidRPr="00D948C1">
        <w:rPr>
          <w:szCs w:val="24"/>
        </w:rPr>
        <w:t>in</w:t>
      </w:r>
      <w:r w:rsidR="00140881" w:rsidRPr="00D948C1">
        <w:rPr>
          <w:szCs w:val="24"/>
        </w:rPr>
        <w:t xml:space="preserve"> the following </w:t>
      </w:r>
      <w:r w:rsidR="00E91302" w:rsidRPr="00D948C1">
        <w:rPr>
          <w:szCs w:val="24"/>
        </w:rPr>
        <w:t>tables</w:t>
      </w:r>
      <w:r w:rsidRPr="00D948C1">
        <w:rPr>
          <w:szCs w:val="24"/>
        </w:rPr>
        <w:t>.</w:t>
      </w:r>
    </w:p>
    <w:p w14:paraId="5F6A6EBA" w14:textId="77777777" w:rsidR="00BE3C0F" w:rsidRPr="00D948C1" w:rsidRDefault="00BE3C0F" w:rsidP="006C0086">
      <w:pPr>
        <w:pStyle w:val="BodyTextIndent2"/>
        <w:spacing w:line="276" w:lineRule="auto"/>
        <w:ind w:firstLine="0"/>
        <w:rPr>
          <w:szCs w:val="24"/>
        </w:rPr>
      </w:pPr>
    </w:p>
    <w:p w14:paraId="251C2AAC" w14:textId="77777777" w:rsidR="00BE3C0F" w:rsidRPr="00D948C1" w:rsidRDefault="00BE3C0F" w:rsidP="006C0086">
      <w:pPr>
        <w:pStyle w:val="Heading3"/>
        <w:spacing w:line="276" w:lineRule="auto"/>
        <w:ind w:firstLine="567"/>
        <w:rPr>
          <w:szCs w:val="24"/>
        </w:rPr>
        <w:sectPr w:rsidR="00BE3C0F" w:rsidRPr="00D948C1" w:rsidSect="0050229D">
          <w:pgSz w:w="11907" w:h="16840" w:code="9"/>
          <w:pgMar w:top="454" w:right="567" w:bottom="397" w:left="567" w:header="720" w:footer="720" w:gutter="0"/>
          <w:cols w:space="720"/>
          <w:docGrid w:linePitch="326"/>
        </w:sectPr>
      </w:pPr>
    </w:p>
    <w:p w14:paraId="7DF0BE42" w14:textId="41387655" w:rsidR="00D90216" w:rsidRPr="00D948C1" w:rsidRDefault="00D90216" w:rsidP="006C0086">
      <w:pPr>
        <w:spacing w:line="276" w:lineRule="auto"/>
        <w:ind w:firstLine="567"/>
        <w:rPr>
          <w:b/>
          <w:bCs/>
          <w:szCs w:val="24"/>
        </w:rPr>
      </w:pPr>
      <w:r w:rsidRPr="00D948C1">
        <w:rPr>
          <w:b/>
          <w:bCs/>
          <w:szCs w:val="24"/>
        </w:rPr>
        <w:lastRenderedPageBreak/>
        <w:t>Senior Officers Remuneration</w:t>
      </w:r>
    </w:p>
    <w:p w14:paraId="692C23B4" w14:textId="77777777" w:rsidR="002D6690" w:rsidRPr="00D948C1" w:rsidRDefault="002D6690" w:rsidP="006C0086">
      <w:pPr>
        <w:spacing w:line="276" w:lineRule="auto"/>
        <w:rPr>
          <w:b/>
          <w:bCs/>
          <w:szCs w:val="24"/>
        </w:rPr>
      </w:pPr>
    </w:p>
    <w:p w14:paraId="17BFD31B" w14:textId="77777777" w:rsidR="00D90216" w:rsidRPr="00D948C1" w:rsidRDefault="00D90216" w:rsidP="006C0086">
      <w:pPr>
        <w:tabs>
          <w:tab w:val="left" w:pos="720"/>
          <w:tab w:val="right" w:pos="7920"/>
        </w:tabs>
        <w:spacing w:line="276" w:lineRule="auto"/>
        <w:ind w:left="567"/>
        <w:rPr>
          <w:szCs w:val="24"/>
        </w:rPr>
      </w:pPr>
      <w:r w:rsidRPr="00D948C1">
        <w:rPr>
          <w:szCs w:val="24"/>
        </w:rPr>
        <w:t>During the year, Senior Officers received remuneration packages as detailed below – these employees are also excluded from the table above.</w:t>
      </w:r>
    </w:p>
    <w:p w14:paraId="3512604B" w14:textId="77777777" w:rsidR="00D90216" w:rsidRPr="00D948C1" w:rsidRDefault="00D90216" w:rsidP="006C0086">
      <w:pPr>
        <w:pStyle w:val="BalloonText"/>
        <w:tabs>
          <w:tab w:val="left" w:pos="720"/>
          <w:tab w:val="right" w:pos="7920"/>
        </w:tabs>
        <w:spacing w:line="276" w:lineRule="auto"/>
        <w:rPr>
          <w:rFonts w:ascii="Arial" w:hAnsi="Arial"/>
          <w:sz w:val="24"/>
          <w:szCs w:val="24"/>
        </w:rPr>
      </w:pPr>
    </w:p>
    <w:tbl>
      <w:tblPr>
        <w:tblW w:w="48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0"/>
        <w:gridCol w:w="1135"/>
        <w:gridCol w:w="1430"/>
        <w:gridCol w:w="2256"/>
        <w:gridCol w:w="2688"/>
        <w:gridCol w:w="1954"/>
      </w:tblGrid>
      <w:tr w:rsidR="00A00B2E" w:rsidRPr="00D948C1" w14:paraId="72BC8BCA" w14:textId="77777777" w:rsidTr="00611673">
        <w:trPr>
          <w:tblHeader/>
        </w:trPr>
        <w:tc>
          <w:tcPr>
            <w:tcW w:w="1930" w:type="pct"/>
            <w:shd w:val="clear" w:color="auto" w:fill="BD2716"/>
            <w:vAlign w:val="center"/>
          </w:tcPr>
          <w:p w14:paraId="055325E7" w14:textId="21DAE4B0" w:rsidR="00A01DCD" w:rsidRPr="00D948C1" w:rsidRDefault="00A01DCD" w:rsidP="006C0086">
            <w:pPr>
              <w:tabs>
                <w:tab w:val="left" w:pos="720"/>
                <w:tab w:val="right" w:pos="7920"/>
              </w:tabs>
              <w:spacing w:line="276" w:lineRule="auto"/>
              <w:rPr>
                <w:bCs/>
                <w:color w:val="FFFFFF" w:themeColor="background1"/>
                <w:szCs w:val="24"/>
              </w:rPr>
            </w:pPr>
            <w:r w:rsidRPr="00D948C1">
              <w:rPr>
                <w:bCs/>
                <w:color w:val="FFFFFF" w:themeColor="background1"/>
                <w:szCs w:val="24"/>
              </w:rPr>
              <w:t>202</w:t>
            </w:r>
            <w:r w:rsidR="00C7098F" w:rsidRPr="00D948C1">
              <w:rPr>
                <w:bCs/>
                <w:color w:val="FFFFFF" w:themeColor="background1"/>
                <w:szCs w:val="24"/>
              </w:rPr>
              <w:t>3</w:t>
            </w:r>
            <w:r w:rsidRPr="00D948C1">
              <w:rPr>
                <w:bCs/>
                <w:color w:val="FFFFFF" w:themeColor="background1"/>
                <w:szCs w:val="24"/>
              </w:rPr>
              <w:t>/2</w:t>
            </w:r>
            <w:r w:rsidR="00C7098F" w:rsidRPr="00D948C1">
              <w:rPr>
                <w:bCs/>
                <w:color w:val="FFFFFF" w:themeColor="background1"/>
                <w:szCs w:val="24"/>
              </w:rPr>
              <w:t>4</w:t>
            </w:r>
          </w:p>
          <w:p w14:paraId="71C432CD" w14:textId="039ED215" w:rsidR="00CB21DE" w:rsidRPr="00D948C1" w:rsidRDefault="00D90216" w:rsidP="006C0086">
            <w:pPr>
              <w:tabs>
                <w:tab w:val="left" w:pos="720"/>
                <w:tab w:val="right" w:pos="7920"/>
              </w:tabs>
              <w:spacing w:line="276" w:lineRule="auto"/>
              <w:rPr>
                <w:bCs/>
                <w:color w:val="FFFFFF" w:themeColor="background1"/>
                <w:szCs w:val="24"/>
              </w:rPr>
            </w:pPr>
            <w:r w:rsidRPr="00D948C1">
              <w:rPr>
                <w:bCs/>
                <w:color w:val="FFFFFF" w:themeColor="background1"/>
                <w:szCs w:val="24"/>
              </w:rPr>
              <w:t>Post holder information (post title and name)</w:t>
            </w:r>
          </w:p>
        </w:tc>
        <w:tc>
          <w:tcPr>
            <w:tcW w:w="368" w:type="pct"/>
            <w:shd w:val="clear" w:color="auto" w:fill="BD2716"/>
            <w:vAlign w:val="center"/>
          </w:tcPr>
          <w:p w14:paraId="0F612485" w14:textId="77777777" w:rsidR="00D90216" w:rsidRPr="00D948C1" w:rsidRDefault="00D90216"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Salary</w:t>
            </w:r>
          </w:p>
          <w:p w14:paraId="11919C9A" w14:textId="6E048114"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c>
          <w:tcPr>
            <w:tcW w:w="464" w:type="pct"/>
            <w:shd w:val="clear" w:color="auto" w:fill="BD2716"/>
            <w:vAlign w:val="center"/>
          </w:tcPr>
          <w:p w14:paraId="1A317C6A" w14:textId="13E95E1B" w:rsidR="00D90216" w:rsidRPr="00D948C1" w:rsidRDefault="00D90216"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Allowances</w:t>
            </w:r>
          </w:p>
          <w:p w14:paraId="777EB862" w14:textId="24EFA720" w:rsidR="00B312EB"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p w14:paraId="53748B8D" w14:textId="77777777" w:rsidR="00B312EB" w:rsidRPr="00D948C1" w:rsidRDefault="00B312EB" w:rsidP="006C0086">
            <w:pPr>
              <w:tabs>
                <w:tab w:val="left" w:pos="720"/>
                <w:tab w:val="right" w:pos="7920"/>
              </w:tabs>
              <w:spacing w:line="276" w:lineRule="auto"/>
              <w:jc w:val="right"/>
              <w:rPr>
                <w:color w:val="FFFFFF" w:themeColor="background1"/>
                <w:szCs w:val="24"/>
              </w:rPr>
            </w:pPr>
          </w:p>
        </w:tc>
        <w:tc>
          <w:tcPr>
            <w:tcW w:w="732" w:type="pct"/>
            <w:shd w:val="clear" w:color="auto" w:fill="BD2716"/>
            <w:vAlign w:val="center"/>
          </w:tcPr>
          <w:p w14:paraId="148F2D05" w14:textId="77777777" w:rsidR="00B312EB" w:rsidRPr="00D948C1" w:rsidRDefault="00D90216"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Total Remuneration excluding pension contributions</w:t>
            </w:r>
          </w:p>
          <w:p w14:paraId="2B84E6A7" w14:textId="49E0262C"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c>
          <w:tcPr>
            <w:tcW w:w="872" w:type="pct"/>
            <w:shd w:val="clear" w:color="auto" w:fill="BD2716"/>
            <w:vAlign w:val="center"/>
          </w:tcPr>
          <w:p w14:paraId="2A19FE52" w14:textId="77777777" w:rsidR="00B312EB" w:rsidRPr="00D948C1" w:rsidRDefault="00D90216" w:rsidP="006C0086">
            <w:pPr>
              <w:tabs>
                <w:tab w:val="left" w:pos="720"/>
                <w:tab w:val="right" w:pos="7920"/>
              </w:tabs>
              <w:spacing w:line="276" w:lineRule="auto"/>
              <w:ind w:left="19"/>
              <w:jc w:val="right"/>
              <w:rPr>
                <w:color w:val="FFFFFF" w:themeColor="background1"/>
                <w:szCs w:val="24"/>
              </w:rPr>
            </w:pPr>
            <w:r w:rsidRPr="00D948C1">
              <w:rPr>
                <w:color w:val="FFFFFF" w:themeColor="background1"/>
                <w:szCs w:val="24"/>
              </w:rPr>
              <w:t xml:space="preserve">Pension contributions </w:t>
            </w:r>
            <w:r w:rsidR="00E54BE5" w:rsidRPr="00D948C1">
              <w:rPr>
                <w:color w:val="FFFFFF" w:themeColor="background1"/>
                <w:szCs w:val="24"/>
              </w:rPr>
              <w:t>accrued at the standard employer rate for all senior officers</w:t>
            </w:r>
          </w:p>
          <w:p w14:paraId="24917088" w14:textId="302CC84C" w:rsidR="00A01DCD" w:rsidRPr="00D948C1" w:rsidRDefault="00A01DCD" w:rsidP="006C0086">
            <w:pPr>
              <w:tabs>
                <w:tab w:val="left" w:pos="720"/>
                <w:tab w:val="right" w:pos="7920"/>
              </w:tabs>
              <w:spacing w:line="276" w:lineRule="auto"/>
              <w:ind w:left="19"/>
              <w:jc w:val="right"/>
              <w:rPr>
                <w:color w:val="FFFFFF" w:themeColor="background1"/>
                <w:szCs w:val="24"/>
              </w:rPr>
            </w:pPr>
            <w:r w:rsidRPr="00D948C1">
              <w:rPr>
                <w:color w:val="FFFFFF" w:themeColor="background1"/>
                <w:szCs w:val="24"/>
              </w:rPr>
              <w:t>£000</w:t>
            </w:r>
          </w:p>
        </w:tc>
        <w:tc>
          <w:tcPr>
            <w:tcW w:w="634" w:type="pct"/>
            <w:shd w:val="clear" w:color="auto" w:fill="BD2716"/>
            <w:vAlign w:val="center"/>
          </w:tcPr>
          <w:p w14:paraId="26FC1C41" w14:textId="77777777" w:rsidR="00B312EB" w:rsidRPr="00D948C1" w:rsidRDefault="00D90216"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Total Remuneration including pension contributions</w:t>
            </w:r>
          </w:p>
          <w:p w14:paraId="318C699D" w14:textId="04C145E2"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r>
      <w:tr w:rsidR="00A00B2E" w:rsidRPr="00D948C1" w14:paraId="4EFF54B1" w14:textId="77777777" w:rsidTr="00233A66">
        <w:tc>
          <w:tcPr>
            <w:tcW w:w="1930" w:type="pct"/>
            <w:shd w:val="clear" w:color="auto" w:fill="auto"/>
          </w:tcPr>
          <w:p w14:paraId="522FA07B" w14:textId="79E47BBC" w:rsidR="009A592B" w:rsidRPr="00D948C1" w:rsidRDefault="003A5F15" w:rsidP="006C0086">
            <w:pPr>
              <w:tabs>
                <w:tab w:val="left" w:pos="720"/>
                <w:tab w:val="right" w:pos="7920"/>
              </w:tabs>
              <w:spacing w:line="276" w:lineRule="auto"/>
              <w:rPr>
                <w:szCs w:val="24"/>
              </w:rPr>
            </w:pPr>
            <w:bookmarkStart w:id="29" w:name="_Hlk135644265"/>
            <w:r w:rsidRPr="00D948C1">
              <w:rPr>
                <w:szCs w:val="24"/>
              </w:rPr>
              <w:t>Chief Fire Officer – Justin Johnston</w:t>
            </w:r>
          </w:p>
        </w:tc>
        <w:tc>
          <w:tcPr>
            <w:tcW w:w="368" w:type="pct"/>
            <w:shd w:val="clear" w:color="auto" w:fill="auto"/>
            <w:vAlign w:val="center"/>
          </w:tcPr>
          <w:p w14:paraId="082C7989" w14:textId="2A79EB4E" w:rsidR="003A5F15" w:rsidRPr="00D948C1" w:rsidRDefault="00B244AB" w:rsidP="006C0086">
            <w:pPr>
              <w:tabs>
                <w:tab w:val="left" w:pos="1168"/>
                <w:tab w:val="right" w:pos="7920"/>
              </w:tabs>
              <w:spacing w:line="276" w:lineRule="auto"/>
              <w:jc w:val="right"/>
              <w:rPr>
                <w:szCs w:val="24"/>
              </w:rPr>
            </w:pPr>
            <w:r w:rsidRPr="00D948C1">
              <w:rPr>
                <w:szCs w:val="24"/>
              </w:rPr>
              <w:t>178,022</w:t>
            </w:r>
          </w:p>
        </w:tc>
        <w:tc>
          <w:tcPr>
            <w:tcW w:w="464" w:type="pct"/>
            <w:shd w:val="clear" w:color="auto" w:fill="auto"/>
            <w:vAlign w:val="center"/>
          </w:tcPr>
          <w:p w14:paraId="2D3F30FF" w14:textId="2244C79C" w:rsidR="003A5F15" w:rsidRPr="00D948C1" w:rsidRDefault="00B244AB"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6C477143" w14:textId="5D9D938C" w:rsidR="003A5F15" w:rsidRPr="00D948C1" w:rsidRDefault="00B244AB" w:rsidP="006C0086">
            <w:pPr>
              <w:tabs>
                <w:tab w:val="left" w:pos="720"/>
                <w:tab w:val="right" w:pos="7920"/>
              </w:tabs>
              <w:spacing w:line="276" w:lineRule="auto"/>
              <w:jc w:val="right"/>
              <w:rPr>
                <w:szCs w:val="24"/>
              </w:rPr>
            </w:pPr>
            <w:r w:rsidRPr="00D948C1">
              <w:rPr>
                <w:szCs w:val="24"/>
              </w:rPr>
              <w:t>178,022</w:t>
            </w:r>
          </w:p>
        </w:tc>
        <w:tc>
          <w:tcPr>
            <w:tcW w:w="872" w:type="pct"/>
            <w:shd w:val="clear" w:color="auto" w:fill="auto"/>
            <w:vAlign w:val="center"/>
          </w:tcPr>
          <w:p w14:paraId="0BD11440" w14:textId="6B32E205" w:rsidR="003A5F15" w:rsidRPr="00D948C1" w:rsidRDefault="00B244AB" w:rsidP="006C0086">
            <w:pPr>
              <w:spacing w:line="276" w:lineRule="auto"/>
              <w:jc w:val="right"/>
              <w:rPr>
                <w:rFonts w:cs="Arial"/>
                <w:szCs w:val="24"/>
              </w:rPr>
            </w:pPr>
            <w:r w:rsidRPr="00D948C1">
              <w:rPr>
                <w:rFonts w:cs="Arial"/>
                <w:szCs w:val="24"/>
              </w:rPr>
              <w:t>51,270</w:t>
            </w:r>
          </w:p>
        </w:tc>
        <w:tc>
          <w:tcPr>
            <w:tcW w:w="634" w:type="pct"/>
            <w:shd w:val="clear" w:color="auto" w:fill="auto"/>
            <w:vAlign w:val="center"/>
          </w:tcPr>
          <w:p w14:paraId="6F0286EE" w14:textId="5C5829AF" w:rsidR="003A5F15" w:rsidRPr="00D948C1" w:rsidRDefault="00B244AB" w:rsidP="006C0086">
            <w:pPr>
              <w:spacing w:line="276" w:lineRule="auto"/>
              <w:jc w:val="right"/>
              <w:rPr>
                <w:rFonts w:cs="Arial"/>
                <w:szCs w:val="24"/>
              </w:rPr>
            </w:pPr>
            <w:r w:rsidRPr="00D948C1">
              <w:rPr>
                <w:rFonts w:cs="Arial"/>
                <w:szCs w:val="24"/>
              </w:rPr>
              <w:t>229,292</w:t>
            </w:r>
          </w:p>
        </w:tc>
      </w:tr>
      <w:tr w:rsidR="00A00B2E" w:rsidRPr="00D948C1" w14:paraId="1C299CBE" w14:textId="77777777" w:rsidTr="00233A66">
        <w:tc>
          <w:tcPr>
            <w:tcW w:w="1930" w:type="pct"/>
            <w:shd w:val="clear" w:color="auto" w:fill="auto"/>
          </w:tcPr>
          <w:p w14:paraId="3460EA6F" w14:textId="4D6BC386" w:rsidR="009A592B" w:rsidRPr="00D948C1" w:rsidRDefault="003A5F15" w:rsidP="006C0086">
            <w:pPr>
              <w:tabs>
                <w:tab w:val="left" w:pos="720"/>
                <w:tab w:val="right" w:pos="7920"/>
              </w:tabs>
              <w:spacing w:line="276" w:lineRule="auto"/>
              <w:rPr>
                <w:szCs w:val="24"/>
              </w:rPr>
            </w:pPr>
            <w:r w:rsidRPr="00D948C1">
              <w:rPr>
                <w:szCs w:val="24"/>
              </w:rPr>
              <w:t xml:space="preserve">Director of Service Delivery – </w:t>
            </w:r>
            <w:r w:rsidR="009A592B" w:rsidRPr="00D948C1">
              <w:rPr>
                <w:szCs w:val="24"/>
              </w:rPr>
              <w:t>John Charters</w:t>
            </w:r>
          </w:p>
        </w:tc>
        <w:tc>
          <w:tcPr>
            <w:tcW w:w="368" w:type="pct"/>
            <w:shd w:val="clear" w:color="auto" w:fill="auto"/>
            <w:vAlign w:val="center"/>
          </w:tcPr>
          <w:p w14:paraId="050E7FE4" w14:textId="62424B3F" w:rsidR="003A5F15" w:rsidRPr="00D948C1" w:rsidRDefault="00B244AB" w:rsidP="006C0086">
            <w:pPr>
              <w:tabs>
                <w:tab w:val="left" w:pos="1168"/>
                <w:tab w:val="right" w:pos="7920"/>
              </w:tabs>
              <w:spacing w:line="276" w:lineRule="auto"/>
              <w:jc w:val="right"/>
              <w:rPr>
                <w:szCs w:val="24"/>
              </w:rPr>
            </w:pPr>
            <w:r w:rsidRPr="00D948C1">
              <w:rPr>
                <w:szCs w:val="24"/>
              </w:rPr>
              <w:t>137,699</w:t>
            </w:r>
          </w:p>
        </w:tc>
        <w:tc>
          <w:tcPr>
            <w:tcW w:w="464" w:type="pct"/>
            <w:shd w:val="clear" w:color="auto" w:fill="auto"/>
            <w:vAlign w:val="center"/>
          </w:tcPr>
          <w:p w14:paraId="184CFFF5" w14:textId="244D9531" w:rsidR="003A5F15" w:rsidRPr="00D948C1" w:rsidRDefault="00B244AB"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5D042156" w14:textId="452E18C5" w:rsidR="003A5F15" w:rsidRPr="00D948C1" w:rsidRDefault="00B244AB" w:rsidP="006C0086">
            <w:pPr>
              <w:tabs>
                <w:tab w:val="left" w:pos="720"/>
                <w:tab w:val="right" w:pos="7920"/>
              </w:tabs>
              <w:spacing w:line="276" w:lineRule="auto"/>
              <w:jc w:val="right"/>
              <w:rPr>
                <w:szCs w:val="24"/>
              </w:rPr>
            </w:pPr>
            <w:r w:rsidRPr="00D948C1">
              <w:rPr>
                <w:szCs w:val="24"/>
              </w:rPr>
              <w:t>137,699</w:t>
            </w:r>
          </w:p>
        </w:tc>
        <w:tc>
          <w:tcPr>
            <w:tcW w:w="872" w:type="pct"/>
            <w:shd w:val="clear" w:color="auto" w:fill="auto"/>
            <w:vAlign w:val="center"/>
          </w:tcPr>
          <w:p w14:paraId="027FB717" w14:textId="49C4E356" w:rsidR="003A5F15" w:rsidRPr="00D948C1" w:rsidRDefault="00B244AB" w:rsidP="006C0086">
            <w:pPr>
              <w:spacing w:line="276" w:lineRule="auto"/>
              <w:jc w:val="right"/>
              <w:rPr>
                <w:rFonts w:cs="Arial"/>
                <w:szCs w:val="24"/>
              </w:rPr>
            </w:pPr>
            <w:r w:rsidRPr="00D948C1">
              <w:rPr>
                <w:rFonts w:cs="Arial"/>
                <w:szCs w:val="24"/>
              </w:rPr>
              <w:t>39,657</w:t>
            </w:r>
          </w:p>
        </w:tc>
        <w:tc>
          <w:tcPr>
            <w:tcW w:w="634" w:type="pct"/>
            <w:shd w:val="clear" w:color="auto" w:fill="auto"/>
            <w:vAlign w:val="center"/>
          </w:tcPr>
          <w:p w14:paraId="789F8E78" w14:textId="2412A9C0" w:rsidR="003A5F15" w:rsidRPr="00D948C1" w:rsidRDefault="00B244AB" w:rsidP="006C0086">
            <w:pPr>
              <w:spacing w:line="276" w:lineRule="auto"/>
              <w:jc w:val="right"/>
              <w:rPr>
                <w:rFonts w:cs="Arial"/>
                <w:szCs w:val="24"/>
              </w:rPr>
            </w:pPr>
            <w:r w:rsidRPr="00D948C1">
              <w:rPr>
                <w:rFonts w:cs="Arial"/>
                <w:szCs w:val="24"/>
              </w:rPr>
              <w:t>177,356</w:t>
            </w:r>
          </w:p>
        </w:tc>
      </w:tr>
      <w:tr w:rsidR="00A00B2E" w:rsidRPr="00D948C1" w14:paraId="238109B6" w14:textId="77777777" w:rsidTr="00233A66">
        <w:tc>
          <w:tcPr>
            <w:tcW w:w="1930" w:type="pct"/>
            <w:shd w:val="clear" w:color="auto" w:fill="auto"/>
          </w:tcPr>
          <w:p w14:paraId="6D8C813B" w14:textId="3A38B8A2" w:rsidR="009A592B" w:rsidRPr="00D948C1" w:rsidRDefault="003A5F15" w:rsidP="006C0086">
            <w:pPr>
              <w:tabs>
                <w:tab w:val="left" w:pos="720"/>
                <w:tab w:val="right" w:pos="7920"/>
              </w:tabs>
              <w:spacing w:line="276" w:lineRule="auto"/>
              <w:rPr>
                <w:szCs w:val="24"/>
              </w:rPr>
            </w:pPr>
            <w:r w:rsidRPr="00D948C1">
              <w:rPr>
                <w:szCs w:val="24"/>
              </w:rPr>
              <w:t xml:space="preserve">Director of Strategy &amp; Planning – Steve </w:t>
            </w:r>
            <w:r w:rsidR="009A592B" w:rsidRPr="00D948C1">
              <w:rPr>
                <w:szCs w:val="24"/>
              </w:rPr>
              <w:t>Healey</w:t>
            </w:r>
          </w:p>
        </w:tc>
        <w:tc>
          <w:tcPr>
            <w:tcW w:w="368" w:type="pct"/>
            <w:shd w:val="clear" w:color="auto" w:fill="auto"/>
            <w:vAlign w:val="center"/>
          </w:tcPr>
          <w:p w14:paraId="4246B430" w14:textId="671A5477" w:rsidR="003A5F15" w:rsidRPr="00D948C1" w:rsidRDefault="00B244AB" w:rsidP="006C0086">
            <w:pPr>
              <w:tabs>
                <w:tab w:val="left" w:pos="1168"/>
                <w:tab w:val="right" w:pos="7920"/>
              </w:tabs>
              <w:spacing w:line="276" w:lineRule="auto"/>
              <w:jc w:val="right"/>
              <w:rPr>
                <w:szCs w:val="24"/>
              </w:rPr>
            </w:pPr>
            <w:r w:rsidRPr="00D948C1">
              <w:rPr>
                <w:szCs w:val="24"/>
              </w:rPr>
              <w:t>165,708</w:t>
            </w:r>
          </w:p>
        </w:tc>
        <w:tc>
          <w:tcPr>
            <w:tcW w:w="464" w:type="pct"/>
            <w:shd w:val="clear" w:color="auto" w:fill="auto"/>
            <w:vAlign w:val="center"/>
          </w:tcPr>
          <w:p w14:paraId="2D7B63BD" w14:textId="7827595B" w:rsidR="003A5F15" w:rsidRPr="00D948C1" w:rsidRDefault="00B244AB"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71AE1C61" w14:textId="559A5A7E" w:rsidR="003A5F15" w:rsidRPr="00D948C1" w:rsidRDefault="00B244AB" w:rsidP="006C0086">
            <w:pPr>
              <w:tabs>
                <w:tab w:val="left" w:pos="720"/>
                <w:tab w:val="right" w:pos="7920"/>
              </w:tabs>
              <w:spacing w:line="276" w:lineRule="auto"/>
              <w:jc w:val="right"/>
              <w:rPr>
                <w:szCs w:val="24"/>
              </w:rPr>
            </w:pPr>
            <w:r w:rsidRPr="00D948C1">
              <w:rPr>
                <w:szCs w:val="24"/>
              </w:rPr>
              <w:t>165,708</w:t>
            </w:r>
          </w:p>
        </w:tc>
        <w:tc>
          <w:tcPr>
            <w:tcW w:w="872" w:type="pct"/>
            <w:shd w:val="clear" w:color="auto" w:fill="auto"/>
            <w:vAlign w:val="center"/>
          </w:tcPr>
          <w:p w14:paraId="3F83A375" w14:textId="1E86C74E" w:rsidR="003A5F15" w:rsidRPr="00D948C1" w:rsidRDefault="00B244AB" w:rsidP="006C0086">
            <w:pPr>
              <w:spacing w:line="276" w:lineRule="auto"/>
              <w:jc w:val="right"/>
              <w:rPr>
                <w:rFonts w:cs="Arial"/>
                <w:szCs w:val="24"/>
              </w:rPr>
            </w:pPr>
            <w:r w:rsidRPr="00D948C1">
              <w:rPr>
                <w:rFonts w:cs="Arial"/>
                <w:szCs w:val="24"/>
              </w:rPr>
              <w:t>47,724</w:t>
            </w:r>
          </w:p>
        </w:tc>
        <w:tc>
          <w:tcPr>
            <w:tcW w:w="634" w:type="pct"/>
            <w:shd w:val="clear" w:color="auto" w:fill="auto"/>
            <w:vAlign w:val="center"/>
          </w:tcPr>
          <w:p w14:paraId="3822A0D6" w14:textId="78161DB3" w:rsidR="00B244AB" w:rsidRPr="00D948C1" w:rsidRDefault="00B244AB" w:rsidP="006C0086">
            <w:pPr>
              <w:spacing w:line="276" w:lineRule="auto"/>
              <w:jc w:val="right"/>
              <w:rPr>
                <w:rFonts w:cs="Arial"/>
                <w:szCs w:val="24"/>
              </w:rPr>
            </w:pPr>
            <w:r w:rsidRPr="00D948C1">
              <w:rPr>
                <w:rFonts w:cs="Arial"/>
                <w:szCs w:val="24"/>
              </w:rPr>
              <w:t>213,43</w:t>
            </w:r>
            <w:r w:rsidR="001A7208" w:rsidRPr="00D948C1">
              <w:rPr>
                <w:rFonts w:cs="Arial"/>
                <w:szCs w:val="24"/>
              </w:rPr>
              <w:t>2</w:t>
            </w:r>
          </w:p>
        </w:tc>
      </w:tr>
      <w:tr w:rsidR="00A00B2E" w:rsidRPr="00D948C1" w14:paraId="782A2554" w14:textId="77777777" w:rsidTr="00233A66">
        <w:tc>
          <w:tcPr>
            <w:tcW w:w="1930" w:type="pct"/>
            <w:shd w:val="clear" w:color="auto" w:fill="auto"/>
          </w:tcPr>
          <w:p w14:paraId="036ED4E8" w14:textId="2D0FE73C" w:rsidR="009A592B" w:rsidRPr="00D948C1" w:rsidRDefault="009A592B" w:rsidP="006C0086">
            <w:pPr>
              <w:tabs>
                <w:tab w:val="left" w:pos="720"/>
                <w:tab w:val="right" w:pos="7920"/>
              </w:tabs>
              <w:spacing w:line="276" w:lineRule="auto"/>
              <w:rPr>
                <w:szCs w:val="24"/>
              </w:rPr>
            </w:pPr>
            <w:r w:rsidRPr="00D948C1">
              <w:rPr>
                <w:szCs w:val="24"/>
              </w:rPr>
              <w:t>Director of People &amp; Development – Robert Warren</w:t>
            </w:r>
          </w:p>
        </w:tc>
        <w:tc>
          <w:tcPr>
            <w:tcW w:w="368" w:type="pct"/>
            <w:shd w:val="clear" w:color="auto" w:fill="auto"/>
            <w:vAlign w:val="center"/>
          </w:tcPr>
          <w:p w14:paraId="4DEA7E61" w14:textId="65954CFA" w:rsidR="009A592B" w:rsidRPr="00D948C1" w:rsidRDefault="001A7208" w:rsidP="006C0086">
            <w:pPr>
              <w:tabs>
                <w:tab w:val="left" w:pos="1168"/>
                <w:tab w:val="right" w:pos="7920"/>
              </w:tabs>
              <w:spacing w:line="276" w:lineRule="auto"/>
              <w:jc w:val="right"/>
              <w:rPr>
                <w:szCs w:val="24"/>
              </w:rPr>
            </w:pPr>
            <w:r w:rsidRPr="00D948C1">
              <w:rPr>
                <w:szCs w:val="24"/>
              </w:rPr>
              <w:t>126,351</w:t>
            </w:r>
          </w:p>
        </w:tc>
        <w:tc>
          <w:tcPr>
            <w:tcW w:w="464" w:type="pct"/>
            <w:shd w:val="clear" w:color="auto" w:fill="auto"/>
            <w:vAlign w:val="center"/>
          </w:tcPr>
          <w:p w14:paraId="37FF2E9F" w14:textId="2BB6F368" w:rsidR="009A592B" w:rsidRPr="00D948C1" w:rsidRDefault="001A7208"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53AC6C5E" w14:textId="225C0DF1" w:rsidR="009A592B" w:rsidRPr="00D948C1" w:rsidRDefault="001A7208" w:rsidP="006C0086">
            <w:pPr>
              <w:tabs>
                <w:tab w:val="left" w:pos="720"/>
                <w:tab w:val="right" w:pos="7920"/>
              </w:tabs>
              <w:spacing w:line="276" w:lineRule="auto"/>
              <w:jc w:val="right"/>
              <w:rPr>
                <w:szCs w:val="24"/>
              </w:rPr>
            </w:pPr>
            <w:r w:rsidRPr="00D948C1">
              <w:rPr>
                <w:szCs w:val="24"/>
              </w:rPr>
              <w:t>126,351</w:t>
            </w:r>
          </w:p>
        </w:tc>
        <w:tc>
          <w:tcPr>
            <w:tcW w:w="872" w:type="pct"/>
            <w:shd w:val="clear" w:color="auto" w:fill="auto"/>
            <w:vAlign w:val="center"/>
          </w:tcPr>
          <w:p w14:paraId="18C62D7D" w14:textId="05102E28" w:rsidR="009A592B" w:rsidRPr="00D948C1" w:rsidRDefault="00CC6BEF" w:rsidP="006C0086">
            <w:pPr>
              <w:spacing w:line="276" w:lineRule="auto"/>
              <w:jc w:val="right"/>
              <w:rPr>
                <w:rFonts w:cs="Arial"/>
                <w:szCs w:val="24"/>
              </w:rPr>
            </w:pPr>
            <w:r>
              <w:rPr>
                <w:rFonts w:cs="Arial"/>
                <w:szCs w:val="24"/>
              </w:rPr>
              <w:t>3</w:t>
            </w:r>
            <w:r w:rsidR="00D723B5" w:rsidRPr="00D948C1">
              <w:rPr>
                <w:rFonts w:cs="Arial"/>
                <w:szCs w:val="24"/>
              </w:rPr>
              <w:t>,</w:t>
            </w:r>
            <w:r>
              <w:rPr>
                <w:rFonts w:cs="Arial"/>
                <w:szCs w:val="24"/>
              </w:rPr>
              <w:t>499</w:t>
            </w:r>
          </w:p>
        </w:tc>
        <w:tc>
          <w:tcPr>
            <w:tcW w:w="634" w:type="pct"/>
            <w:shd w:val="clear" w:color="auto" w:fill="auto"/>
            <w:vAlign w:val="center"/>
          </w:tcPr>
          <w:p w14:paraId="05CBD800" w14:textId="3B378876" w:rsidR="009A592B" w:rsidRPr="00D948C1" w:rsidRDefault="001A7208" w:rsidP="006C0086">
            <w:pPr>
              <w:spacing w:line="276" w:lineRule="auto"/>
              <w:jc w:val="right"/>
              <w:rPr>
                <w:rFonts w:cs="Arial"/>
                <w:szCs w:val="24"/>
              </w:rPr>
            </w:pPr>
            <w:r w:rsidRPr="00D948C1">
              <w:rPr>
                <w:rFonts w:cs="Arial"/>
                <w:szCs w:val="24"/>
              </w:rPr>
              <w:t>1</w:t>
            </w:r>
            <w:r w:rsidR="00CC6BEF">
              <w:rPr>
                <w:rFonts w:cs="Arial"/>
                <w:szCs w:val="24"/>
              </w:rPr>
              <w:t>29</w:t>
            </w:r>
            <w:r w:rsidRPr="00D948C1">
              <w:rPr>
                <w:rFonts w:cs="Arial"/>
                <w:szCs w:val="24"/>
              </w:rPr>
              <w:t>,</w:t>
            </w:r>
            <w:r w:rsidR="00CC6BEF">
              <w:rPr>
                <w:rFonts w:cs="Arial"/>
                <w:szCs w:val="24"/>
              </w:rPr>
              <w:t>850</w:t>
            </w:r>
          </w:p>
        </w:tc>
      </w:tr>
      <w:tr w:rsidR="001A7208" w:rsidRPr="00D948C1" w14:paraId="74CB00B7" w14:textId="77777777" w:rsidTr="00233A66">
        <w:tc>
          <w:tcPr>
            <w:tcW w:w="1930" w:type="pct"/>
            <w:shd w:val="clear" w:color="auto" w:fill="auto"/>
          </w:tcPr>
          <w:p w14:paraId="03E7039A" w14:textId="7A2AC08F" w:rsidR="001A7208" w:rsidRPr="00D948C1" w:rsidRDefault="001A7208" w:rsidP="006C0086">
            <w:pPr>
              <w:tabs>
                <w:tab w:val="left" w:pos="720"/>
                <w:tab w:val="right" w:pos="7920"/>
              </w:tabs>
              <w:spacing w:line="276" w:lineRule="auto"/>
              <w:rPr>
                <w:szCs w:val="24"/>
              </w:rPr>
            </w:pPr>
            <w:r w:rsidRPr="00D948C1">
              <w:rPr>
                <w:szCs w:val="24"/>
              </w:rPr>
              <w:t>Director of Corporate Services – Steven Brown</w:t>
            </w:r>
          </w:p>
        </w:tc>
        <w:tc>
          <w:tcPr>
            <w:tcW w:w="368" w:type="pct"/>
            <w:shd w:val="clear" w:color="auto" w:fill="auto"/>
            <w:vAlign w:val="center"/>
          </w:tcPr>
          <w:p w14:paraId="5081D6A1" w14:textId="24E6A7A4" w:rsidR="001A7208" w:rsidRPr="00D948C1" w:rsidRDefault="001A7208" w:rsidP="006C0086">
            <w:pPr>
              <w:tabs>
                <w:tab w:val="left" w:pos="1168"/>
                <w:tab w:val="right" w:pos="7920"/>
              </w:tabs>
              <w:spacing w:line="276" w:lineRule="auto"/>
              <w:jc w:val="right"/>
              <w:rPr>
                <w:szCs w:val="24"/>
              </w:rPr>
            </w:pPr>
            <w:r w:rsidRPr="00D948C1">
              <w:rPr>
                <w:szCs w:val="24"/>
              </w:rPr>
              <w:t>94,361</w:t>
            </w:r>
          </w:p>
        </w:tc>
        <w:tc>
          <w:tcPr>
            <w:tcW w:w="464" w:type="pct"/>
            <w:shd w:val="clear" w:color="auto" w:fill="auto"/>
            <w:vAlign w:val="center"/>
          </w:tcPr>
          <w:p w14:paraId="2013B45C" w14:textId="3FBA0F0D" w:rsidR="001A7208" w:rsidRPr="00D948C1" w:rsidRDefault="001A7208"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2EFAE70B" w14:textId="7137ABBF" w:rsidR="001A7208" w:rsidRPr="00D948C1" w:rsidRDefault="001A7208" w:rsidP="006C0086">
            <w:pPr>
              <w:tabs>
                <w:tab w:val="left" w:pos="1168"/>
                <w:tab w:val="right" w:pos="7920"/>
              </w:tabs>
              <w:spacing w:line="276" w:lineRule="auto"/>
              <w:jc w:val="right"/>
              <w:rPr>
                <w:szCs w:val="24"/>
              </w:rPr>
            </w:pPr>
            <w:r w:rsidRPr="00D948C1">
              <w:rPr>
                <w:szCs w:val="24"/>
              </w:rPr>
              <w:t>94,361</w:t>
            </w:r>
          </w:p>
        </w:tc>
        <w:tc>
          <w:tcPr>
            <w:tcW w:w="872" w:type="pct"/>
            <w:shd w:val="clear" w:color="auto" w:fill="auto"/>
            <w:vAlign w:val="center"/>
          </w:tcPr>
          <w:p w14:paraId="6A7E5E9F" w14:textId="1E3AC701" w:rsidR="001A7208" w:rsidRPr="00D948C1" w:rsidRDefault="00CC6BEF" w:rsidP="006C0086">
            <w:pPr>
              <w:spacing w:line="276" w:lineRule="auto"/>
              <w:jc w:val="right"/>
              <w:rPr>
                <w:rFonts w:cs="Arial"/>
                <w:szCs w:val="24"/>
              </w:rPr>
            </w:pPr>
            <w:r>
              <w:rPr>
                <w:szCs w:val="24"/>
              </w:rPr>
              <w:t>2</w:t>
            </w:r>
            <w:r w:rsidR="001A7208" w:rsidRPr="00D948C1">
              <w:rPr>
                <w:szCs w:val="24"/>
              </w:rPr>
              <w:t>,</w:t>
            </w:r>
            <w:r>
              <w:rPr>
                <w:szCs w:val="24"/>
              </w:rPr>
              <w:t>737</w:t>
            </w:r>
          </w:p>
        </w:tc>
        <w:tc>
          <w:tcPr>
            <w:tcW w:w="634" w:type="pct"/>
            <w:shd w:val="clear" w:color="auto" w:fill="auto"/>
            <w:vAlign w:val="center"/>
          </w:tcPr>
          <w:p w14:paraId="0D00DA7F" w14:textId="1F32DBFB" w:rsidR="001A7208" w:rsidRPr="00D948C1" w:rsidRDefault="00CC6BEF" w:rsidP="006C0086">
            <w:pPr>
              <w:spacing w:line="276" w:lineRule="auto"/>
              <w:jc w:val="right"/>
              <w:rPr>
                <w:rFonts w:cs="Arial"/>
                <w:szCs w:val="24"/>
              </w:rPr>
            </w:pPr>
            <w:r>
              <w:rPr>
                <w:rFonts w:cs="Arial"/>
                <w:szCs w:val="24"/>
              </w:rPr>
              <w:t>97</w:t>
            </w:r>
            <w:r w:rsidR="001A7208" w:rsidRPr="00D948C1">
              <w:rPr>
                <w:rFonts w:cs="Arial"/>
                <w:szCs w:val="24"/>
              </w:rPr>
              <w:t>,</w:t>
            </w:r>
            <w:r>
              <w:rPr>
                <w:rFonts w:cs="Arial"/>
                <w:szCs w:val="24"/>
              </w:rPr>
              <w:t>0</w:t>
            </w:r>
            <w:r w:rsidR="001A7208" w:rsidRPr="00D948C1">
              <w:rPr>
                <w:rFonts w:cs="Arial"/>
                <w:szCs w:val="24"/>
              </w:rPr>
              <w:t>9</w:t>
            </w:r>
            <w:r>
              <w:rPr>
                <w:rFonts w:cs="Arial"/>
                <w:szCs w:val="24"/>
              </w:rPr>
              <w:t>8</w:t>
            </w:r>
          </w:p>
        </w:tc>
      </w:tr>
      <w:tr w:rsidR="001A7208" w:rsidRPr="00D948C1" w14:paraId="0E6CA097" w14:textId="77777777" w:rsidTr="00233A66">
        <w:tc>
          <w:tcPr>
            <w:tcW w:w="1930" w:type="pct"/>
            <w:shd w:val="clear" w:color="auto" w:fill="auto"/>
          </w:tcPr>
          <w:p w14:paraId="2AE770BB" w14:textId="0ABCF940" w:rsidR="001A7208" w:rsidRPr="00D948C1" w:rsidRDefault="001A7208" w:rsidP="006C0086">
            <w:pPr>
              <w:tabs>
                <w:tab w:val="left" w:pos="720"/>
                <w:tab w:val="right" w:pos="7920"/>
              </w:tabs>
              <w:spacing w:line="276" w:lineRule="auto"/>
              <w:rPr>
                <w:szCs w:val="24"/>
              </w:rPr>
            </w:pPr>
            <w:r w:rsidRPr="00D948C1">
              <w:rPr>
                <w:szCs w:val="24"/>
              </w:rPr>
              <w:t>Total</w:t>
            </w:r>
          </w:p>
        </w:tc>
        <w:tc>
          <w:tcPr>
            <w:tcW w:w="368" w:type="pct"/>
            <w:shd w:val="clear" w:color="auto" w:fill="auto"/>
            <w:vAlign w:val="center"/>
          </w:tcPr>
          <w:p w14:paraId="0BDC8057" w14:textId="15C3116B" w:rsidR="001A7208" w:rsidRPr="00D948C1" w:rsidRDefault="001A7208" w:rsidP="006C0086">
            <w:pPr>
              <w:tabs>
                <w:tab w:val="left" w:pos="1168"/>
                <w:tab w:val="right" w:pos="7920"/>
              </w:tabs>
              <w:spacing w:line="276" w:lineRule="auto"/>
              <w:jc w:val="right"/>
              <w:rPr>
                <w:szCs w:val="24"/>
              </w:rPr>
            </w:pPr>
            <w:r w:rsidRPr="00D948C1">
              <w:rPr>
                <w:szCs w:val="24"/>
              </w:rPr>
              <w:t>702,141</w:t>
            </w:r>
          </w:p>
        </w:tc>
        <w:tc>
          <w:tcPr>
            <w:tcW w:w="464" w:type="pct"/>
            <w:shd w:val="clear" w:color="auto" w:fill="auto"/>
            <w:vAlign w:val="center"/>
          </w:tcPr>
          <w:p w14:paraId="25344B3F" w14:textId="7E2BA8C9" w:rsidR="001A7208" w:rsidRPr="00D948C1" w:rsidRDefault="001A7208" w:rsidP="006C0086">
            <w:pPr>
              <w:tabs>
                <w:tab w:val="left" w:pos="720"/>
                <w:tab w:val="right" w:pos="7920"/>
              </w:tabs>
              <w:spacing w:line="276" w:lineRule="auto"/>
              <w:jc w:val="right"/>
              <w:rPr>
                <w:szCs w:val="24"/>
              </w:rPr>
            </w:pPr>
            <w:r w:rsidRPr="00D948C1">
              <w:rPr>
                <w:szCs w:val="24"/>
              </w:rPr>
              <w:t>-</w:t>
            </w:r>
          </w:p>
        </w:tc>
        <w:tc>
          <w:tcPr>
            <w:tcW w:w="732" w:type="pct"/>
            <w:shd w:val="clear" w:color="auto" w:fill="auto"/>
            <w:vAlign w:val="center"/>
          </w:tcPr>
          <w:p w14:paraId="623767DB" w14:textId="2FE1A926" w:rsidR="001A7208" w:rsidRPr="00D948C1" w:rsidRDefault="001A7208" w:rsidP="006C0086">
            <w:pPr>
              <w:tabs>
                <w:tab w:val="left" w:pos="1168"/>
                <w:tab w:val="right" w:pos="7920"/>
              </w:tabs>
              <w:spacing w:line="276" w:lineRule="auto"/>
              <w:jc w:val="right"/>
              <w:rPr>
                <w:szCs w:val="24"/>
              </w:rPr>
            </w:pPr>
            <w:r w:rsidRPr="00D948C1">
              <w:rPr>
                <w:szCs w:val="24"/>
              </w:rPr>
              <w:t>702,141</w:t>
            </w:r>
          </w:p>
        </w:tc>
        <w:tc>
          <w:tcPr>
            <w:tcW w:w="872" w:type="pct"/>
            <w:shd w:val="clear" w:color="auto" w:fill="auto"/>
            <w:vAlign w:val="center"/>
          </w:tcPr>
          <w:p w14:paraId="029830B4" w14:textId="0D34DC36" w:rsidR="001A7208" w:rsidRPr="00D948C1" w:rsidRDefault="001A7208" w:rsidP="006C0086">
            <w:pPr>
              <w:spacing w:line="276" w:lineRule="auto"/>
              <w:jc w:val="right"/>
              <w:rPr>
                <w:rFonts w:cs="Arial"/>
                <w:szCs w:val="24"/>
              </w:rPr>
            </w:pPr>
            <w:r w:rsidRPr="00D948C1">
              <w:rPr>
                <w:rFonts w:cs="Arial"/>
                <w:szCs w:val="24"/>
              </w:rPr>
              <w:t>1</w:t>
            </w:r>
            <w:r w:rsidR="00F71C0E">
              <w:rPr>
                <w:rFonts w:cs="Arial"/>
                <w:szCs w:val="24"/>
              </w:rPr>
              <w:t>44</w:t>
            </w:r>
            <w:r w:rsidRPr="00D948C1">
              <w:rPr>
                <w:rFonts w:cs="Arial"/>
                <w:szCs w:val="24"/>
              </w:rPr>
              <w:t>,</w:t>
            </w:r>
            <w:r w:rsidR="00F71C0E">
              <w:rPr>
                <w:rFonts w:cs="Arial"/>
                <w:szCs w:val="24"/>
              </w:rPr>
              <w:t>871</w:t>
            </w:r>
          </w:p>
        </w:tc>
        <w:tc>
          <w:tcPr>
            <w:tcW w:w="634" w:type="pct"/>
            <w:shd w:val="clear" w:color="auto" w:fill="auto"/>
            <w:vAlign w:val="center"/>
          </w:tcPr>
          <w:p w14:paraId="23910B56" w14:textId="7AE68438" w:rsidR="001A7208" w:rsidRPr="00D948C1" w:rsidRDefault="001A7208" w:rsidP="006C0086">
            <w:pPr>
              <w:spacing w:line="276" w:lineRule="auto"/>
              <w:jc w:val="right"/>
              <w:rPr>
                <w:rFonts w:cs="Arial"/>
                <w:szCs w:val="24"/>
              </w:rPr>
            </w:pPr>
            <w:r w:rsidRPr="00D948C1">
              <w:rPr>
                <w:rFonts w:cs="Arial"/>
                <w:szCs w:val="24"/>
              </w:rPr>
              <w:t>8</w:t>
            </w:r>
            <w:r w:rsidR="00F71C0E">
              <w:rPr>
                <w:rFonts w:cs="Arial"/>
                <w:szCs w:val="24"/>
              </w:rPr>
              <w:t>4</w:t>
            </w:r>
            <w:r w:rsidRPr="00D948C1">
              <w:rPr>
                <w:rFonts w:cs="Arial"/>
                <w:szCs w:val="24"/>
              </w:rPr>
              <w:t>7,</w:t>
            </w:r>
            <w:r w:rsidR="00F71C0E">
              <w:rPr>
                <w:rFonts w:cs="Arial"/>
                <w:szCs w:val="24"/>
              </w:rPr>
              <w:t>011</w:t>
            </w:r>
          </w:p>
        </w:tc>
      </w:tr>
      <w:bookmarkEnd w:id="29"/>
    </w:tbl>
    <w:p w14:paraId="66016A78" w14:textId="5626AE1B" w:rsidR="005D04CB" w:rsidRPr="00D948C1" w:rsidRDefault="005D04CB" w:rsidP="006C0086">
      <w:pPr>
        <w:spacing w:line="276" w:lineRule="auto"/>
        <w:rPr>
          <w:szCs w:val="24"/>
        </w:rPr>
      </w:pPr>
    </w:p>
    <w:tbl>
      <w:tblPr>
        <w:tblW w:w="154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1134"/>
        <w:gridCol w:w="1434"/>
        <w:gridCol w:w="2256"/>
        <w:gridCol w:w="2687"/>
        <w:gridCol w:w="1956"/>
      </w:tblGrid>
      <w:tr w:rsidR="00A01DCD" w:rsidRPr="00D948C1" w14:paraId="0F723510" w14:textId="77777777" w:rsidTr="00611673">
        <w:trPr>
          <w:tblHeader/>
        </w:trPr>
        <w:tc>
          <w:tcPr>
            <w:tcW w:w="5987" w:type="dxa"/>
            <w:shd w:val="clear" w:color="auto" w:fill="BD2716"/>
            <w:vAlign w:val="center"/>
          </w:tcPr>
          <w:p w14:paraId="2B6F824F" w14:textId="77777777" w:rsidR="00C7098F" w:rsidRPr="00D948C1" w:rsidRDefault="00C7098F" w:rsidP="006C0086">
            <w:pPr>
              <w:tabs>
                <w:tab w:val="left" w:pos="720"/>
                <w:tab w:val="right" w:pos="7920"/>
              </w:tabs>
              <w:spacing w:line="276" w:lineRule="auto"/>
              <w:rPr>
                <w:bCs/>
                <w:color w:val="FFFFFF" w:themeColor="background1"/>
                <w:szCs w:val="24"/>
              </w:rPr>
            </w:pPr>
            <w:r w:rsidRPr="00D948C1">
              <w:rPr>
                <w:bCs/>
                <w:color w:val="FFFFFF" w:themeColor="background1"/>
                <w:szCs w:val="24"/>
              </w:rPr>
              <w:t>2022/23</w:t>
            </w:r>
          </w:p>
          <w:p w14:paraId="3F9DEB68" w14:textId="6FE6D6E8" w:rsidR="00A01DCD" w:rsidRPr="00D948C1" w:rsidRDefault="00C7098F" w:rsidP="006C0086">
            <w:pPr>
              <w:tabs>
                <w:tab w:val="left" w:pos="720"/>
                <w:tab w:val="right" w:pos="7920"/>
              </w:tabs>
              <w:spacing w:line="276" w:lineRule="auto"/>
              <w:rPr>
                <w:b/>
                <w:color w:val="FFFFFF" w:themeColor="background1"/>
                <w:szCs w:val="24"/>
              </w:rPr>
            </w:pPr>
            <w:r w:rsidRPr="00D948C1">
              <w:rPr>
                <w:bCs/>
                <w:color w:val="FFFFFF" w:themeColor="background1"/>
                <w:szCs w:val="24"/>
              </w:rPr>
              <w:t>Post holder information (post title and name)</w:t>
            </w:r>
          </w:p>
        </w:tc>
        <w:tc>
          <w:tcPr>
            <w:tcW w:w="1134" w:type="dxa"/>
            <w:shd w:val="clear" w:color="auto" w:fill="BD2716"/>
            <w:vAlign w:val="center"/>
          </w:tcPr>
          <w:p w14:paraId="68CC7BEA" w14:textId="77777777"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Salary</w:t>
            </w:r>
          </w:p>
          <w:p w14:paraId="1BDAFD90" w14:textId="07BAAE15"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c>
          <w:tcPr>
            <w:tcW w:w="1434" w:type="dxa"/>
            <w:shd w:val="clear" w:color="auto" w:fill="BD2716"/>
            <w:vAlign w:val="center"/>
          </w:tcPr>
          <w:p w14:paraId="34AB79A9" w14:textId="77777777" w:rsidR="00372872" w:rsidRPr="00D948C1" w:rsidRDefault="00372872"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Allowances</w:t>
            </w:r>
          </w:p>
          <w:p w14:paraId="316729BA" w14:textId="77777777" w:rsidR="00372872" w:rsidRPr="00D948C1" w:rsidRDefault="00372872"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p w14:paraId="4F6BA186" w14:textId="1FB51F97" w:rsidR="00A01DCD" w:rsidRPr="00D948C1" w:rsidRDefault="00A01DCD" w:rsidP="006C0086">
            <w:pPr>
              <w:tabs>
                <w:tab w:val="left" w:pos="720"/>
                <w:tab w:val="right" w:pos="7920"/>
              </w:tabs>
              <w:spacing w:line="276" w:lineRule="auto"/>
              <w:jc w:val="right"/>
              <w:rPr>
                <w:color w:val="FFFFFF" w:themeColor="background1"/>
                <w:szCs w:val="24"/>
              </w:rPr>
            </w:pPr>
          </w:p>
        </w:tc>
        <w:tc>
          <w:tcPr>
            <w:tcW w:w="2256" w:type="dxa"/>
            <w:shd w:val="clear" w:color="auto" w:fill="BD2716"/>
            <w:vAlign w:val="center"/>
          </w:tcPr>
          <w:p w14:paraId="0752AD00" w14:textId="77777777"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Total Remuneration excluding pension contributions</w:t>
            </w:r>
          </w:p>
          <w:p w14:paraId="116940A7" w14:textId="09C39CAA"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c>
          <w:tcPr>
            <w:tcW w:w="2687" w:type="dxa"/>
            <w:shd w:val="clear" w:color="auto" w:fill="BD2716"/>
            <w:vAlign w:val="center"/>
          </w:tcPr>
          <w:p w14:paraId="1B83430C" w14:textId="77777777" w:rsidR="00A01DCD" w:rsidRPr="00D948C1" w:rsidRDefault="00A01DCD" w:rsidP="006C0086">
            <w:pPr>
              <w:tabs>
                <w:tab w:val="left" w:pos="720"/>
                <w:tab w:val="right" w:pos="7920"/>
              </w:tabs>
              <w:spacing w:line="276" w:lineRule="auto"/>
              <w:ind w:left="19"/>
              <w:jc w:val="right"/>
              <w:rPr>
                <w:color w:val="FFFFFF" w:themeColor="background1"/>
                <w:szCs w:val="24"/>
              </w:rPr>
            </w:pPr>
            <w:r w:rsidRPr="00D948C1">
              <w:rPr>
                <w:color w:val="FFFFFF" w:themeColor="background1"/>
                <w:szCs w:val="24"/>
              </w:rPr>
              <w:t>Pension contributions accrued at the standard employer rate for all senior officers</w:t>
            </w:r>
          </w:p>
          <w:p w14:paraId="0DE1F9C6" w14:textId="15AFF5C9" w:rsidR="00A01DCD" w:rsidRPr="00D948C1" w:rsidRDefault="00A01DCD" w:rsidP="006C0086">
            <w:pPr>
              <w:tabs>
                <w:tab w:val="left" w:pos="720"/>
                <w:tab w:val="right" w:pos="7920"/>
              </w:tabs>
              <w:spacing w:line="276" w:lineRule="auto"/>
              <w:ind w:left="19"/>
              <w:jc w:val="right"/>
              <w:rPr>
                <w:color w:val="FFFFFF" w:themeColor="background1"/>
                <w:szCs w:val="24"/>
              </w:rPr>
            </w:pPr>
            <w:r w:rsidRPr="00D948C1">
              <w:rPr>
                <w:color w:val="FFFFFF" w:themeColor="background1"/>
                <w:szCs w:val="24"/>
              </w:rPr>
              <w:t>£000</w:t>
            </w:r>
          </w:p>
        </w:tc>
        <w:tc>
          <w:tcPr>
            <w:tcW w:w="1956" w:type="dxa"/>
            <w:shd w:val="clear" w:color="auto" w:fill="BD2716"/>
            <w:vAlign w:val="center"/>
          </w:tcPr>
          <w:p w14:paraId="0DC30DBF" w14:textId="77777777"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Total Remuneration including pension contributions</w:t>
            </w:r>
          </w:p>
          <w:p w14:paraId="7F05754E" w14:textId="0EF30187" w:rsidR="00A01DCD" w:rsidRPr="00D948C1" w:rsidRDefault="00A01DCD" w:rsidP="006C0086">
            <w:pPr>
              <w:tabs>
                <w:tab w:val="left" w:pos="720"/>
                <w:tab w:val="right" w:pos="7920"/>
              </w:tabs>
              <w:spacing w:line="276" w:lineRule="auto"/>
              <w:jc w:val="right"/>
              <w:rPr>
                <w:color w:val="FFFFFF" w:themeColor="background1"/>
                <w:szCs w:val="24"/>
              </w:rPr>
            </w:pPr>
            <w:r w:rsidRPr="00D948C1">
              <w:rPr>
                <w:color w:val="FFFFFF" w:themeColor="background1"/>
                <w:szCs w:val="24"/>
              </w:rPr>
              <w:t>£000</w:t>
            </w:r>
          </w:p>
        </w:tc>
      </w:tr>
      <w:tr w:rsidR="00C7098F" w:rsidRPr="00D948C1" w14:paraId="24656DDB" w14:textId="77777777" w:rsidTr="00233A66">
        <w:tc>
          <w:tcPr>
            <w:tcW w:w="5987" w:type="dxa"/>
            <w:shd w:val="clear" w:color="auto" w:fill="auto"/>
          </w:tcPr>
          <w:p w14:paraId="7CCFE68E" w14:textId="77737398" w:rsidR="00C7098F" w:rsidRPr="00D948C1" w:rsidRDefault="00C7098F" w:rsidP="006C0086">
            <w:pPr>
              <w:tabs>
                <w:tab w:val="left" w:pos="720"/>
                <w:tab w:val="right" w:pos="7920"/>
              </w:tabs>
              <w:spacing w:line="276" w:lineRule="auto"/>
              <w:rPr>
                <w:szCs w:val="24"/>
              </w:rPr>
            </w:pPr>
            <w:r w:rsidRPr="00D948C1">
              <w:rPr>
                <w:szCs w:val="24"/>
              </w:rPr>
              <w:t>Chief Fire Officer – Justin Johnston</w:t>
            </w:r>
          </w:p>
        </w:tc>
        <w:tc>
          <w:tcPr>
            <w:tcW w:w="1134" w:type="dxa"/>
            <w:shd w:val="clear" w:color="auto" w:fill="auto"/>
            <w:vAlign w:val="center"/>
          </w:tcPr>
          <w:p w14:paraId="4ECCCAFF" w14:textId="196C1466" w:rsidR="00C7098F" w:rsidRPr="00D948C1" w:rsidRDefault="00C7098F" w:rsidP="006C0086">
            <w:pPr>
              <w:tabs>
                <w:tab w:val="left" w:pos="1168"/>
                <w:tab w:val="right" w:pos="7920"/>
              </w:tabs>
              <w:spacing w:line="276" w:lineRule="auto"/>
              <w:jc w:val="right"/>
              <w:rPr>
                <w:szCs w:val="24"/>
              </w:rPr>
            </w:pPr>
            <w:r w:rsidRPr="00D948C1">
              <w:rPr>
                <w:szCs w:val="24"/>
              </w:rPr>
              <w:t>153,121</w:t>
            </w:r>
          </w:p>
        </w:tc>
        <w:tc>
          <w:tcPr>
            <w:tcW w:w="1434" w:type="dxa"/>
            <w:shd w:val="clear" w:color="auto" w:fill="auto"/>
            <w:vAlign w:val="center"/>
          </w:tcPr>
          <w:p w14:paraId="21948AC1" w14:textId="487311A8"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5A9BDA17" w14:textId="20AB307D" w:rsidR="00C7098F" w:rsidRPr="00D948C1" w:rsidRDefault="00C7098F" w:rsidP="006C0086">
            <w:pPr>
              <w:tabs>
                <w:tab w:val="left" w:pos="720"/>
                <w:tab w:val="right" w:pos="7920"/>
              </w:tabs>
              <w:spacing w:line="276" w:lineRule="auto"/>
              <w:jc w:val="right"/>
              <w:rPr>
                <w:szCs w:val="24"/>
              </w:rPr>
            </w:pPr>
            <w:r w:rsidRPr="00D948C1">
              <w:rPr>
                <w:szCs w:val="24"/>
              </w:rPr>
              <w:t>153,121</w:t>
            </w:r>
          </w:p>
        </w:tc>
        <w:tc>
          <w:tcPr>
            <w:tcW w:w="2687" w:type="dxa"/>
            <w:shd w:val="clear" w:color="auto" w:fill="auto"/>
            <w:vAlign w:val="center"/>
          </w:tcPr>
          <w:p w14:paraId="280A853D" w14:textId="7C5B7E61" w:rsidR="00C7098F" w:rsidRPr="00D948C1" w:rsidRDefault="00C7098F" w:rsidP="006C0086">
            <w:pPr>
              <w:spacing w:line="276" w:lineRule="auto"/>
              <w:jc w:val="right"/>
              <w:rPr>
                <w:rFonts w:cs="Arial"/>
                <w:szCs w:val="24"/>
              </w:rPr>
            </w:pPr>
            <w:r w:rsidRPr="00D948C1">
              <w:rPr>
                <w:rFonts w:cs="Arial"/>
                <w:szCs w:val="24"/>
              </w:rPr>
              <w:t>44,099</w:t>
            </w:r>
          </w:p>
        </w:tc>
        <w:tc>
          <w:tcPr>
            <w:tcW w:w="1956" w:type="dxa"/>
            <w:shd w:val="clear" w:color="auto" w:fill="auto"/>
            <w:vAlign w:val="center"/>
          </w:tcPr>
          <w:p w14:paraId="36A649AE" w14:textId="3CE8CCDE" w:rsidR="00C7098F" w:rsidRPr="00D948C1" w:rsidRDefault="00C7098F" w:rsidP="006C0086">
            <w:pPr>
              <w:spacing w:line="276" w:lineRule="auto"/>
              <w:jc w:val="right"/>
              <w:rPr>
                <w:rFonts w:cs="Arial"/>
                <w:szCs w:val="24"/>
              </w:rPr>
            </w:pPr>
            <w:r w:rsidRPr="00D948C1">
              <w:rPr>
                <w:rFonts w:cs="Arial"/>
                <w:szCs w:val="24"/>
              </w:rPr>
              <w:t>197,220</w:t>
            </w:r>
          </w:p>
        </w:tc>
      </w:tr>
      <w:tr w:rsidR="00C7098F" w:rsidRPr="00D948C1" w14:paraId="4F4531EC" w14:textId="77777777" w:rsidTr="00233A66">
        <w:tc>
          <w:tcPr>
            <w:tcW w:w="5987" w:type="dxa"/>
            <w:shd w:val="clear" w:color="auto" w:fill="auto"/>
          </w:tcPr>
          <w:p w14:paraId="07FA8835" w14:textId="3A6AAB8E" w:rsidR="00C7098F" w:rsidRPr="00D948C1" w:rsidRDefault="00C7098F" w:rsidP="006C0086">
            <w:pPr>
              <w:tabs>
                <w:tab w:val="left" w:pos="720"/>
                <w:tab w:val="right" w:pos="7920"/>
              </w:tabs>
              <w:spacing w:line="276" w:lineRule="auto"/>
              <w:rPr>
                <w:szCs w:val="24"/>
              </w:rPr>
            </w:pPr>
            <w:r w:rsidRPr="00D948C1">
              <w:rPr>
                <w:szCs w:val="24"/>
              </w:rPr>
              <w:t>Director of Service Delivery – John Charters</w:t>
            </w:r>
          </w:p>
        </w:tc>
        <w:tc>
          <w:tcPr>
            <w:tcW w:w="1134" w:type="dxa"/>
            <w:shd w:val="clear" w:color="auto" w:fill="auto"/>
            <w:vAlign w:val="center"/>
          </w:tcPr>
          <w:p w14:paraId="31481280" w14:textId="391256A9" w:rsidR="00C7098F" w:rsidRPr="00D948C1" w:rsidRDefault="00C7098F" w:rsidP="006C0086">
            <w:pPr>
              <w:tabs>
                <w:tab w:val="left" w:pos="1168"/>
                <w:tab w:val="right" w:pos="7920"/>
              </w:tabs>
              <w:spacing w:line="276" w:lineRule="auto"/>
              <w:jc w:val="right"/>
              <w:rPr>
                <w:szCs w:val="24"/>
              </w:rPr>
            </w:pPr>
            <w:r w:rsidRPr="00D948C1">
              <w:rPr>
                <w:szCs w:val="24"/>
              </w:rPr>
              <w:t>120,377</w:t>
            </w:r>
          </w:p>
        </w:tc>
        <w:tc>
          <w:tcPr>
            <w:tcW w:w="1434" w:type="dxa"/>
            <w:shd w:val="clear" w:color="auto" w:fill="auto"/>
            <w:vAlign w:val="center"/>
          </w:tcPr>
          <w:p w14:paraId="34FA89A6" w14:textId="24355D9A"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0A7F7448" w14:textId="00688C0D" w:rsidR="00C7098F" w:rsidRPr="00D948C1" w:rsidRDefault="00C7098F" w:rsidP="006C0086">
            <w:pPr>
              <w:tabs>
                <w:tab w:val="left" w:pos="720"/>
                <w:tab w:val="right" w:pos="7920"/>
              </w:tabs>
              <w:spacing w:line="276" w:lineRule="auto"/>
              <w:jc w:val="right"/>
              <w:rPr>
                <w:szCs w:val="24"/>
              </w:rPr>
            </w:pPr>
            <w:r w:rsidRPr="00D948C1">
              <w:rPr>
                <w:szCs w:val="24"/>
              </w:rPr>
              <w:t>120,377</w:t>
            </w:r>
          </w:p>
        </w:tc>
        <w:tc>
          <w:tcPr>
            <w:tcW w:w="2687" w:type="dxa"/>
            <w:shd w:val="clear" w:color="auto" w:fill="auto"/>
            <w:vAlign w:val="center"/>
          </w:tcPr>
          <w:p w14:paraId="569CB2DD" w14:textId="13A1B781" w:rsidR="00C7098F" w:rsidRPr="00D948C1" w:rsidRDefault="00C7098F" w:rsidP="006C0086">
            <w:pPr>
              <w:spacing w:line="276" w:lineRule="auto"/>
              <w:jc w:val="right"/>
              <w:rPr>
                <w:rFonts w:cs="Arial"/>
                <w:szCs w:val="24"/>
              </w:rPr>
            </w:pPr>
            <w:r w:rsidRPr="00D948C1">
              <w:rPr>
                <w:rFonts w:cs="Arial"/>
                <w:szCs w:val="24"/>
              </w:rPr>
              <w:t>34,669</w:t>
            </w:r>
          </w:p>
        </w:tc>
        <w:tc>
          <w:tcPr>
            <w:tcW w:w="1956" w:type="dxa"/>
            <w:shd w:val="clear" w:color="auto" w:fill="auto"/>
            <w:vAlign w:val="center"/>
          </w:tcPr>
          <w:p w14:paraId="5486B7C7" w14:textId="0D1D5C7F" w:rsidR="00C7098F" w:rsidRPr="00D948C1" w:rsidRDefault="00C7098F" w:rsidP="006C0086">
            <w:pPr>
              <w:spacing w:line="276" w:lineRule="auto"/>
              <w:jc w:val="right"/>
              <w:rPr>
                <w:rFonts w:cs="Arial"/>
                <w:szCs w:val="24"/>
              </w:rPr>
            </w:pPr>
            <w:r w:rsidRPr="00D948C1">
              <w:rPr>
                <w:rFonts w:cs="Arial"/>
                <w:szCs w:val="24"/>
              </w:rPr>
              <w:t>155,046</w:t>
            </w:r>
          </w:p>
        </w:tc>
      </w:tr>
      <w:tr w:rsidR="00C7098F" w:rsidRPr="00D948C1" w14:paraId="6D812632" w14:textId="77777777" w:rsidTr="00233A66">
        <w:tc>
          <w:tcPr>
            <w:tcW w:w="5987" w:type="dxa"/>
            <w:shd w:val="clear" w:color="auto" w:fill="auto"/>
          </w:tcPr>
          <w:p w14:paraId="2C990267" w14:textId="4B210448" w:rsidR="00C7098F" w:rsidRPr="00D948C1" w:rsidRDefault="00C7098F" w:rsidP="006C0086">
            <w:pPr>
              <w:tabs>
                <w:tab w:val="left" w:pos="720"/>
                <w:tab w:val="right" w:pos="7920"/>
              </w:tabs>
              <w:spacing w:line="276" w:lineRule="auto"/>
              <w:rPr>
                <w:szCs w:val="24"/>
              </w:rPr>
            </w:pPr>
            <w:r w:rsidRPr="00D948C1">
              <w:rPr>
                <w:szCs w:val="24"/>
              </w:rPr>
              <w:t>Director of Strategy &amp; Planning – Steve Healey</w:t>
            </w:r>
          </w:p>
        </w:tc>
        <w:tc>
          <w:tcPr>
            <w:tcW w:w="1134" w:type="dxa"/>
            <w:shd w:val="clear" w:color="auto" w:fill="auto"/>
            <w:vAlign w:val="center"/>
          </w:tcPr>
          <w:p w14:paraId="04FDF0D4" w14:textId="4D31CAF0" w:rsidR="00C7098F" w:rsidRPr="00D948C1" w:rsidRDefault="00C7098F" w:rsidP="006C0086">
            <w:pPr>
              <w:tabs>
                <w:tab w:val="left" w:pos="1168"/>
                <w:tab w:val="right" w:pos="7920"/>
              </w:tabs>
              <w:spacing w:line="276" w:lineRule="auto"/>
              <w:jc w:val="right"/>
              <w:rPr>
                <w:szCs w:val="24"/>
              </w:rPr>
            </w:pPr>
            <w:r w:rsidRPr="00D948C1">
              <w:rPr>
                <w:szCs w:val="24"/>
              </w:rPr>
              <w:t>141,769</w:t>
            </w:r>
          </w:p>
        </w:tc>
        <w:tc>
          <w:tcPr>
            <w:tcW w:w="1434" w:type="dxa"/>
            <w:shd w:val="clear" w:color="auto" w:fill="auto"/>
            <w:vAlign w:val="center"/>
          </w:tcPr>
          <w:p w14:paraId="1D0CAC77" w14:textId="50E96F9E"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0A411498" w14:textId="12E8049A" w:rsidR="00C7098F" w:rsidRPr="00D948C1" w:rsidRDefault="00C7098F" w:rsidP="006C0086">
            <w:pPr>
              <w:tabs>
                <w:tab w:val="left" w:pos="720"/>
                <w:tab w:val="right" w:pos="7920"/>
              </w:tabs>
              <w:spacing w:line="276" w:lineRule="auto"/>
              <w:jc w:val="right"/>
              <w:rPr>
                <w:szCs w:val="24"/>
              </w:rPr>
            </w:pPr>
            <w:r w:rsidRPr="00D948C1">
              <w:rPr>
                <w:szCs w:val="24"/>
              </w:rPr>
              <w:t>141,769</w:t>
            </w:r>
          </w:p>
        </w:tc>
        <w:tc>
          <w:tcPr>
            <w:tcW w:w="2687" w:type="dxa"/>
            <w:shd w:val="clear" w:color="auto" w:fill="auto"/>
            <w:vAlign w:val="center"/>
          </w:tcPr>
          <w:p w14:paraId="7DBFCA01" w14:textId="6782FBDC" w:rsidR="00C7098F" w:rsidRPr="00D948C1" w:rsidRDefault="00C7098F" w:rsidP="006C0086">
            <w:pPr>
              <w:spacing w:line="276" w:lineRule="auto"/>
              <w:jc w:val="right"/>
              <w:rPr>
                <w:rFonts w:cs="Arial"/>
                <w:szCs w:val="24"/>
              </w:rPr>
            </w:pPr>
            <w:r w:rsidRPr="00D948C1">
              <w:rPr>
                <w:rFonts w:cs="Arial"/>
                <w:szCs w:val="24"/>
              </w:rPr>
              <w:t>40,829</w:t>
            </w:r>
          </w:p>
        </w:tc>
        <w:tc>
          <w:tcPr>
            <w:tcW w:w="1956" w:type="dxa"/>
            <w:shd w:val="clear" w:color="auto" w:fill="auto"/>
            <w:vAlign w:val="center"/>
          </w:tcPr>
          <w:p w14:paraId="41B590CF" w14:textId="07EC5424" w:rsidR="00C7098F" w:rsidRPr="00D948C1" w:rsidRDefault="00C7098F" w:rsidP="006C0086">
            <w:pPr>
              <w:spacing w:line="276" w:lineRule="auto"/>
              <w:jc w:val="right"/>
              <w:rPr>
                <w:rFonts w:cs="Arial"/>
                <w:szCs w:val="24"/>
              </w:rPr>
            </w:pPr>
            <w:r w:rsidRPr="00D948C1">
              <w:rPr>
                <w:rFonts w:cs="Arial"/>
                <w:szCs w:val="24"/>
              </w:rPr>
              <w:t>182,598</w:t>
            </w:r>
          </w:p>
        </w:tc>
      </w:tr>
      <w:tr w:rsidR="00C7098F" w:rsidRPr="00D948C1" w14:paraId="38D36A4D" w14:textId="77777777" w:rsidTr="00233A66">
        <w:tc>
          <w:tcPr>
            <w:tcW w:w="5987" w:type="dxa"/>
            <w:shd w:val="clear" w:color="auto" w:fill="auto"/>
          </w:tcPr>
          <w:p w14:paraId="0EA33392" w14:textId="0129CA7E" w:rsidR="00C7098F" w:rsidRPr="00D948C1" w:rsidRDefault="00C7098F" w:rsidP="006C0086">
            <w:pPr>
              <w:tabs>
                <w:tab w:val="left" w:pos="720"/>
                <w:tab w:val="right" w:pos="7920"/>
              </w:tabs>
              <w:spacing w:line="276" w:lineRule="auto"/>
              <w:rPr>
                <w:szCs w:val="24"/>
              </w:rPr>
            </w:pPr>
            <w:r w:rsidRPr="00D948C1">
              <w:rPr>
                <w:szCs w:val="24"/>
              </w:rPr>
              <w:t>Director of People &amp; Development – Robert Warren</w:t>
            </w:r>
          </w:p>
        </w:tc>
        <w:tc>
          <w:tcPr>
            <w:tcW w:w="1134" w:type="dxa"/>
            <w:shd w:val="clear" w:color="auto" w:fill="auto"/>
            <w:vAlign w:val="center"/>
          </w:tcPr>
          <w:p w14:paraId="25FE0EA1" w14:textId="1E32145A" w:rsidR="00C7098F" w:rsidRPr="00D948C1" w:rsidRDefault="00C7098F" w:rsidP="006C0086">
            <w:pPr>
              <w:tabs>
                <w:tab w:val="left" w:pos="1168"/>
                <w:tab w:val="right" w:pos="7920"/>
              </w:tabs>
              <w:spacing w:line="276" w:lineRule="auto"/>
              <w:jc w:val="right"/>
              <w:rPr>
                <w:szCs w:val="24"/>
              </w:rPr>
            </w:pPr>
            <w:r w:rsidRPr="00D948C1">
              <w:rPr>
                <w:szCs w:val="24"/>
              </w:rPr>
              <w:t>108,678</w:t>
            </w:r>
          </w:p>
        </w:tc>
        <w:tc>
          <w:tcPr>
            <w:tcW w:w="1434" w:type="dxa"/>
            <w:shd w:val="clear" w:color="auto" w:fill="auto"/>
            <w:vAlign w:val="center"/>
          </w:tcPr>
          <w:p w14:paraId="1E83FEDF" w14:textId="7065124F"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48D57652" w14:textId="6DC9B029" w:rsidR="00C7098F" w:rsidRPr="00D948C1" w:rsidRDefault="00C7098F" w:rsidP="006C0086">
            <w:pPr>
              <w:tabs>
                <w:tab w:val="left" w:pos="1168"/>
                <w:tab w:val="right" w:pos="7920"/>
              </w:tabs>
              <w:spacing w:line="276" w:lineRule="auto"/>
              <w:jc w:val="right"/>
              <w:rPr>
                <w:szCs w:val="24"/>
              </w:rPr>
            </w:pPr>
            <w:r w:rsidRPr="00D948C1">
              <w:rPr>
                <w:szCs w:val="24"/>
              </w:rPr>
              <w:t>108,678</w:t>
            </w:r>
          </w:p>
        </w:tc>
        <w:tc>
          <w:tcPr>
            <w:tcW w:w="2687" w:type="dxa"/>
            <w:shd w:val="clear" w:color="auto" w:fill="auto"/>
            <w:vAlign w:val="center"/>
          </w:tcPr>
          <w:p w14:paraId="4029024E" w14:textId="3119457D" w:rsidR="00C7098F" w:rsidRPr="00D948C1" w:rsidRDefault="00C7098F" w:rsidP="006C0086">
            <w:pPr>
              <w:spacing w:line="276" w:lineRule="auto"/>
              <w:jc w:val="right"/>
              <w:rPr>
                <w:rFonts w:cs="Arial"/>
                <w:szCs w:val="24"/>
              </w:rPr>
            </w:pPr>
            <w:r w:rsidRPr="00D948C1">
              <w:rPr>
                <w:rFonts w:cs="Arial"/>
                <w:szCs w:val="24"/>
              </w:rPr>
              <w:t>18,584</w:t>
            </w:r>
          </w:p>
        </w:tc>
        <w:tc>
          <w:tcPr>
            <w:tcW w:w="1956" w:type="dxa"/>
            <w:shd w:val="clear" w:color="auto" w:fill="auto"/>
            <w:vAlign w:val="center"/>
          </w:tcPr>
          <w:p w14:paraId="004A2E00" w14:textId="5295D807" w:rsidR="00C7098F" w:rsidRPr="00D948C1" w:rsidRDefault="00C7098F" w:rsidP="006C0086">
            <w:pPr>
              <w:spacing w:line="276" w:lineRule="auto"/>
              <w:jc w:val="right"/>
              <w:rPr>
                <w:rFonts w:cs="Arial"/>
                <w:szCs w:val="24"/>
              </w:rPr>
            </w:pPr>
            <w:r w:rsidRPr="00D948C1">
              <w:rPr>
                <w:rFonts w:cs="Arial"/>
                <w:szCs w:val="24"/>
              </w:rPr>
              <w:t>127,262</w:t>
            </w:r>
          </w:p>
        </w:tc>
      </w:tr>
      <w:tr w:rsidR="00C7098F" w:rsidRPr="00D948C1" w14:paraId="696F6AE6" w14:textId="77777777" w:rsidTr="00233A66">
        <w:tc>
          <w:tcPr>
            <w:tcW w:w="5987" w:type="dxa"/>
            <w:shd w:val="clear" w:color="auto" w:fill="auto"/>
          </w:tcPr>
          <w:p w14:paraId="47405158" w14:textId="223946F2" w:rsidR="00C7098F" w:rsidRPr="00D948C1" w:rsidRDefault="00C7098F" w:rsidP="006C0086">
            <w:pPr>
              <w:pStyle w:val="CommentText"/>
              <w:tabs>
                <w:tab w:val="left" w:pos="720"/>
                <w:tab w:val="right" w:pos="7920"/>
              </w:tabs>
              <w:spacing w:line="276" w:lineRule="auto"/>
              <w:rPr>
                <w:sz w:val="24"/>
                <w:szCs w:val="24"/>
              </w:rPr>
            </w:pPr>
            <w:r w:rsidRPr="00D948C1">
              <w:rPr>
                <w:sz w:val="24"/>
                <w:szCs w:val="24"/>
              </w:rPr>
              <w:t>Director of Corporate Services – Keith Mattinson</w:t>
            </w:r>
          </w:p>
        </w:tc>
        <w:tc>
          <w:tcPr>
            <w:tcW w:w="1134" w:type="dxa"/>
            <w:shd w:val="clear" w:color="auto" w:fill="auto"/>
            <w:vAlign w:val="center"/>
          </w:tcPr>
          <w:p w14:paraId="097D79CF" w14:textId="22F8F635" w:rsidR="00C7098F" w:rsidRPr="00D948C1" w:rsidRDefault="00C7098F" w:rsidP="006C0086">
            <w:pPr>
              <w:tabs>
                <w:tab w:val="left" w:pos="1168"/>
                <w:tab w:val="right" w:pos="7920"/>
              </w:tabs>
              <w:spacing w:line="276" w:lineRule="auto"/>
              <w:jc w:val="right"/>
              <w:rPr>
                <w:szCs w:val="24"/>
              </w:rPr>
            </w:pPr>
            <w:r w:rsidRPr="00D948C1">
              <w:rPr>
                <w:szCs w:val="24"/>
              </w:rPr>
              <w:t>94,344</w:t>
            </w:r>
          </w:p>
        </w:tc>
        <w:tc>
          <w:tcPr>
            <w:tcW w:w="1434" w:type="dxa"/>
            <w:shd w:val="clear" w:color="auto" w:fill="auto"/>
            <w:vAlign w:val="center"/>
          </w:tcPr>
          <w:p w14:paraId="2DB6AFB3" w14:textId="5305A457"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547F3407" w14:textId="02F8083A" w:rsidR="00C7098F" w:rsidRPr="00D948C1" w:rsidRDefault="00C7098F" w:rsidP="006C0086">
            <w:pPr>
              <w:tabs>
                <w:tab w:val="left" w:pos="1168"/>
                <w:tab w:val="right" w:pos="7920"/>
              </w:tabs>
              <w:spacing w:line="276" w:lineRule="auto"/>
              <w:jc w:val="right"/>
              <w:rPr>
                <w:szCs w:val="24"/>
              </w:rPr>
            </w:pPr>
            <w:r w:rsidRPr="00D948C1">
              <w:rPr>
                <w:szCs w:val="24"/>
              </w:rPr>
              <w:t>94,344</w:t>
            </w:r>
          </w:p>
        </w:tc>
        <w:tc>
          <w:tcPr>
            <w:tcW w:w="2687" w:type="dxa"/>
            <w:shd w:val="clear" w:color="auto" w:fill="auto"/>
            <w:vAlign w:val="center"/>
          </w:tcPr>
          <w:p w14:paraId="2EFBCDC1" w14:textId="068B4963" w:rsidR="00C7098F" w:rsidRPr="00D948C1" w:rsidRDefault="00C7098F" w:rsidP="006C0086">
            <w:pPr>
              <w:spacing w:line="276" w:lineRule="auto"/>
              <w:jc w:val="right"/>
              <w:rPr>
                <w:rFonts w:cs="Arial"/>
                <w:szCs w:val="24"/>
              </w:rPr>
            </w:pPr>
            <w:r w:rsidRPr="00D948C1">
              <w:rPr>
                <w:rFonts w:cs="Arial"/>
                <w:szCs w:val="24"/>
              </w:rPr>
              <w:t>16,133</w:t>
            </w:r>
          </w:p>
        </w:tc>
        <w:tc>
          <w:tcPr>
            <w:tcW w:w="1956" w:type="dxa"/>
            <w:shd w:val="clear" w:color="auto" w:fill="auto"/>
            <w:vAlign w:val="center"/>
          </w:tcPr>
          <w:p w14:paraId="0D113D75" w14:textId="78FAC883" w:rsidR="00C7098F" w:rsidRPr="00D948C1" w:rsidRDefault="00C7098F" w:rsidP="006C0086">
            <w:pPr>
              <w:spacing w:line="276" w:lineRule="auto"/>
              <w:jc w:val="right"/>
              <w:rPr>
                <w:rFonts w:cs="Arial"/>
                <w:szCs w:val="24"/>
              </w:rPr>
            </w:pPr>
            <w:r w:rsidRPr="00D948C1">
              <w:rPr>
                <w:rFonts w:cs="Arial"/>
                <w:szCs w:val="24"/>
              </w:rPr>
              <w:t>110,477</w:t>
            </w:r>
          </w:p>
        </w:tc>
      </w:tr>
      <w:tr w:rsidR="00C7098F" w:rsidRPr="00D948C1" w14:paraId="6A827045" w14:textId="77777777" w:rsidTr="00233A66">
        <w:tc>
          <w:tcPr>
            <w:tcW w:w="5987" w:type="dxa"/>
            <w:shd w:val="clear" w:color="auto" w:fill="auto"/>
          </w:tcPr>
          <w:p w14:paraId="176F3147" w14:textId="283455B3" w:rsidR="00C7098F" w:rsidRPr="00D948C1" w:rsidRDefault="00C7098F" w:rsidP="006C0086">
            <w:pPr>
              <w:pStyle w:val="CommentText"/>
              <w:tabs>
                <w:tab w:val="left" w:pos="720"/>
                <w:tab w:val="right" w:pos="7920"/>
              </w:tabs>
              <w:spacing w:line="276" w:lineRule="auto"/>
              <w:rPr>
                <w:sz w:val="24"/>
                <w:szCs w:val="24"/>
              </w:rPr>
            </w:pPr>
            <w:r w:rsidRPr="00D948C1">
              <w:rPr>
                <w:sz w:val="24"/>
                <w:szCs w:val="24"/>
              </w:rPr>
              <w:t>Total</w:t>
            </w:r>
          </w:p>
        </w:tc>
        <w:tc>
          <w:tcPr>
            <w:tcW w:w="1134" w:type="dxa"/>
            <w:shd w:val="clear" w:color="auto" w:fill="auto"/>
            <w:vAlign w:val="center"/>
          </w:tcPr>
          <w:p w14:paraId="1FC22312" w14:textId="7A59366E" w:rsidR="00C7098F" w:rsidRPr="00D948C1" w:rsidRDefault="00C7098F" w:rsidP="006C0086">
            <w:pPr>
              <w:tabs>
                <w:tab w:val="left" w:pos="1168"/>
                <w:tab w:val="right" w:pos="7920"/>
              </w:tabs>
              <w:spacing w:line="276" w:lineRule="auto"/>
              <w:jc w:val="right"/>
              <w:rPr>
                <w:szCs w:val="24"/>
              </w:rPr>
            </w:pPr>
            <w:r w:rsidRPr="00D948C1">
              <w:rPr>
                <w:szCs w:val="24"/>
              </w:rPr>
              <w:t>618,289</w:t>
            </w:r>
          </w:p>
        </w:tc>
        <w:tc>
          <w:tcPr>
            <w:tcW w:w="1434" w:type="dxa"/>
            <w:shd w:val="clear" w:color="auto" w:fill="auto"/>
            <w:vAlign w:val="center"/>
          </w:tcPr>
          <w:p w14:paraId="75C83ECE" w14:textId="0B8515BC" w:rsidR="00C7098F" w:rsidRPr="00D948C1" w:rsidRDefault="00C7098F" w:rsidP="006C0086">
            <w:pPr>
              <w:tabs>
                <w:tab w:val="left" w:pos="720"/>
                <w:tab w:val="right" w:pos="7920"/>
              </w:tabs>
              <w:spacing w:line="276" w:lineRule="auto"/>
              <w:jc w:val="right"/>
              <w:rPr>
                <w:szCs w:val="24"/>
              </w:rPr>
            </w:pPr>
            <w:r w:rsidRPr="00D948C1">
              <w:rPr>
                <w:szCs w:val="24"/>
              </w:rPr>
              <w:t>-</w:t>
            </w:r>
          </w:p>
        </w:tc>
        <w:tc>
          <w:tcPr>
            <w:tcW w:w="2256" w:type="dxa"/>
            <w:shd w:val="clear" w:color="auto" w:fill="auto"/>
            <w:vAlign w:val="center"/>
          </w:tcPr>
          <w:p w14:paraId="1E1E59CD" w14:textId="7FB4ADC4" w:rsidR="00C7098F" w:rsidRPr="00D948C1" w:rsidRDefault="00C7098F" w:rsidP="006C0086">
            <w:pPr>
              <w:tabs>
                <w:tab w:val="left" w:pos="1168"/>
                <w:tab w:val="right" w:pos="7920"/>
              </w:tabs>
              <w:spacing w:line="276" w:lineRule="auto"/>
              <w:jc w:val="right"/>
              <w:rPr>
                <w:szCs w:val="24"/>
              </w:rPr>
            </w:pPr>
            <w:r w:rsidRPr="00D948C1">
              <w:rPr>
                <w:szCs w:val="24"/>
              </w:rPr>
              <w:t>618,289</w:t>
            </w:r>
          </w:p>
        </w:tc>
        <w:tc>
          <w:tcPr>
            <w:tcW w:w="2687" w:type="dxa"/>
            <w:shd w:val="clear" w:color="auto" w:fill="auto"/>
            <w:vAlign w:val="center"/>
          </w:tcPr>
          <w:p w14:paraId="0D67D5C8" w14:textId="7BD4461E" w:rsidR="00C7098F" w:rsidRPr="00D948C1" w:rsidRDefault="00C7098F" w:rsidP="006C0086">
            <w:pPr>
              <w:spacing w:line="276" w:lineRule="auto"/>
              <w:jc w:val="right"/>
              <w:rPr>
                <w:szCs w:val="24"/>
              </w:rPr>
            </w:pPr>
            <w:r w:rsidRPr="00D948C1">
              <w:rPr>
                <w:rFonts w:cs="Arial"/>
                <w:szCs w:val="24"/>
              </w:rPr>
              <w:t>154,314</w:t>
            </w:r>
          </w:p>
        </w:tc>
        <w:tc>
          <w:tcPr>
            <w:tcW w:w="1956" w:type="dxa"/>
            <w:shd w:val="clear" w:color="auto" w:fill="auto"/>
            <w:vAlign w:val="center"/>
          </w:tcPr>
          <w:p w14:paraId="638117FF" w14:textId="353CE928" w:rsidR="00C7098F" w:rsidRPr="00D948C1" w:rsidRDefault="00C7098F" w:rsidP="006C0086">
            <w:pPr>
              <w:spacing w:line="276" w:lineRule="auto"/>
              <w:jc w:val="right"/>
              <w:rPr>
                <w:szCs w:val="24"/>
              </w:rPr>
            </w:pPr>
            <w:r w:rsidRPr="00D948C1">
              <w:rPr>
                <w:rFonts w:cs="Arial"/>
                <w:szCs w:val="24"/>
              </w:rPr>
              <w:t>772,603</w:t>
            </w:r>
          </w:p>
        </w:tc>
      </w:tr>
    </w:tbl>
    <w:p w14:paraId="449DC5C7" w14:textId="77777777" w:rsidR="00BE3C0F" w:rsidRPr="00D948C1" w:rsidRDefault="00BE3C0F" w:rsidP="006C0086">
      <w:pPr>
        <w:pStyle w:val="Heading3"/>
        <w:spacing w:line="276" w:lineRule="auto"/>
        <w:ind w:firstLine="720"/>
        <w:rPr>
          <w:sz w:val="23"/>
          <w:szCs w:val="23"/>
        </w:rPr>
        <w:sectPr w:rsidR="00BE3C0F" w:rsidRPr="00D948C1" w:rsidSect="0050229D">
          <w:pgSz w:w="16840" w:h="11907" w:orient="landscape" w:code="9"/>
          <w:pgMar w:top="567" w:right="454" w:bottom="567" w:left="397" w:header="720" w:footer="720" w:gutter="0"/>
          <w:cols w:space="720"/>
          <w:docGrid w:linePitch="326"/>
        </w:sectPr>
      </w:pPr>
    </w:p>
    <w:p w14:paraId="02E40330" w14:textId="77777777" w:rsidR="002035C7" w:rsidRPr="00D948C1" w:rsidRDefault="002035C7" w:rsidP="006C0086">
      <w:pPr>
        <w:spacing w:line="276" w:lineRule="auto"/>
        <w:ind w:firstLine="720"/>
        <w:rPr>
          <w:b/>
          <w:bCs/>
        </w:rPr>
      </w:pPr>
      <w:r w:rsidRPr="00D948C1">
        <w:rPr>
          <w:b/>
          <w:bCs/>
        </w:rPr>
        <w:lastRenderedPageBreak/>
        <w:t>Exit Packages</w:t>
      </w:r>
    </w:p>
    <w:p w14:paraId="005B0BCD" w14:textId="77777777" w:rsidR="002035C7" w:rsidRPr="00D948C1" w:rsidRDefault="002035C7" w:rsidP="006C0086">
      <w:pPr>
        <w:spacing w:line="276" w:lineRule="auto"/>
        <w:ind w:left="720"/>
        <w:rPr>
          <w:sz w:val="22"/>
        </w:rPr>
      </w:pPr>
    </w:p>
    <w:p w14:paraId="2125E16C" w14:textId="51F97EFF" w:rsidR="001937A3" w:rsidRPr="00D948C1" w:rsidRDefault="00794E08" w:rsidP="006C0086">
      <w:pPr>
        <w:spacing w:line="276" w:lineRule="auto"/>
        <w:ind w:left="720"/>
        <w:rPr>
          <w:szCs w:val="24"/>
        </w:rPr>
      </w:pPr>
      <w:r w:rsidRPr="00D948C1">
        <w:rPr>
          <w:szCs w:val="24"/>
        </w:rPr>
        <w:t xml:space="preserve">There was one compulsory redundancy during 2023/24 which </w:t>
      </w:r>
      <w:r w:rsidR="00A34243" w:rsidRPr="00D948C1">
        <w:rPr>
          <w:szCs w:val="24"/>
        </w:rPr>
        <w:t xml:space="preserve">was in the banding of £40,001-£60,000. </w:t>
      </w:r>
      <w:r w:rsidR="006518CB" w:rsidRPr="00D948C1">
        <w:rPr>
          <w:szCs w:val="24"/>
        </w:rPr>
        <w:t xml:space="preserve">There were no exit packages in </w:t>
      </w:r>
      <w:r w:rsidR="00C72C44" w:rsidRPr="00D948C1">
        <w:rPr>
          <w:szCs w:val="24"/>
        </w:rPr>
        <w:t>202</w:t>
      </w:r>
      <w:r w:rsidR="00D8482A" w:rsidRPr="00D948C1">
        <w:rPr>
          <w:szCs w:val="24"/>
        </w:rPr>
        <w:t>2</w:t>
      </w:r>
      <w:r w:rsidR="00F26A44" w:rsidRPr="00D948C1">
        <w:rPr>
          <w:szCs w:val="24"/>
        </w:rPr>
        <w:t>/2</w:t>
      </w:r>
      <w:r w:rsidR="00D8482A" w:rsidRPr="00D948C1">
        <w:rPr>
          <w:szCs w:val="24"/>
        </w:rPr>
        <w:t>3</w:t>
      </w:r>
      <w:r w:rsidR="00C7098F" w:rsidRPr="00D948C1">
        <w:rPr>
          <w:szCs w:val="24"/>
        </w:rPr>
        <w:t>.</w:t>
      </w:r>
    </w:p>
    <w:p w14:paraId="00C01FD0" w14:textId="77777777" w:rsidR="00C7098F" w:rsidRPr="00D948C1" w:rsidRDefault="00C7098F" w:rsidP="006C0086">
      <w:pPr>
        <w:spacing w:line="276" w:lineRule="auto"/>
        <w:ind w:left="720"/>
        <w:rPr>
          <w:b/>
          <w:sz w:val="22"/>
        </w:rPr>
      </w:pPr>
    </w:p>
    <w:p w14:paraId="4545A3D5" w14:textId="77777777" w:rsidR="00D90216" w:rsidRPr="00D948C1" w:rsidRDefault="00C72C44" w:rsidP="006C0086">
      <w:pPr>
        <w:pStyle w:val="Heading2"/>
        <w:spacing w:line="276" w:lineRule="auto"/>
        <w:jc w:val="left"/>
        <w:rPr>
          <w:sz w:val="24"/>
          <w:szCs w:val="24"/>
        </w:rPr>
      </w:pPr>
      <w:bookmarkStart w:id="30" w:name="_Toc171068788"/>
      <w:r w:rsidRPr="00D948C1">
        <w:rPr>
          <w:sz w:val="24"/>
          <w:szCs w:val="24"/>
        </w:rPr>
        <w:t>4</w:t>
      </w:r>
      <w:r w:rsidR="00D90216" w:rsidRPr="00D948C1">
        <w:rPr>
          <w:sz w:val="24"/>
          <w:szCs w:val="24"/>
        </w:rPr>
        <w:tab/>
        <w:t>External Auditors Fees</w:t>
      </w:r>
      <w:bookmarkEnd w:id="30"/>
    </w:p>
    <w:p w14:paraId="1BAAF3AE" w14:textId="77777777" w:rsidR="00D90216" w:rsidRPr="00D948C1" w:rsidRDefault="00D90216" w:rsidP="006C0086">
      <w:pPr>
        <w:spacing w:line="276" w:lineRule="auto"/>
        <w:rPr>
          <w:b/>
          <w:sz w:val="22"/>
        </w:rPr>
      </w:pPr>
    </w:p>
    <w:p w14:paraId="75B6C54E" w14:textId="0CB42867" w:rsidR="00D90216" w:rsidRPr="00D948C1" w:rsidRDefault="00D90216" w:rsidP="006C0086">
      <w:pPr>
        <w:pStyle w:val="BodyTextIndent"/>
        <w:spacing w:line="276" w:lineRule="auto"/>
        <w:rPr>
          <w:szCs w:val="24"/>
          <w:lang w:val="en-GB"/>
        </w:rPr>
      </w:pPr>
      <w:r w:rsidRPr="00D948C1">
        <w:rPr>
          <w:szCs w:val="24"/>
          <w:lang w:val="en-GB"/>
        </w:rPr>
        <w:t xml:space="preserve">In </w:t>
      </w:r>
      <w:r w:rsidR="004A2156" w:rsidRPr="00D948C1">
        <w:rPr>
          <w:caps/>
          <w:szCs w:val="24"/>
          <w:lang w:val="en-GB"/>
        </w:rPr>
        <w:t>20</w:t>
      </w:r>
      <w:r w:rsidR="00C72C44" w:rsidRPr="00D948C1">
        <w:rPr>
          <w:caps/>
          <w:szCs w:val="24"/>
          <w:lang w:val="en-GB"/>
        </w:rPr>
        <w:t>2</w:t>
      </w:r>
      <w:r w:rsidR="00C7098F" w:rsidRPr="00D948C1">
        <w:rPr>
          <w:caps/>
          <w:szCs w:val="24"/>
          <w:lang w:val="en-GB"/>
        </w:rPr>
        <w:t>3</w:t>
      </w:r>
      <w:r w:rsidR="002A48DC" w:rsidRPr="00D948C1">
        <w:rPr>
          <w:caps/>
          <w:szCs w:val="24"/>
          <w:lang w:val="en-GB"/>
        </w:rPr>
        <w:t>/2</w:t>
      </w:r>
      <w:r w:rsidR="00C7098F" w:rsidRPr="00D948C1">
        <w:rPr>
          <w:caps/>
          <w:szCs w:val="24"/>
          <w:lang w:val="en-GB"/>
        </w:rPr>
        <w:t>4</w:t>
      </w:r>
      <w:r w:rsidRPr="00D948C1">
        <w:rPr>
          <w:szCs w:val="24"/>
          <w:lang w:val="en-GB"/>
        </w:rPr>
        <w:t>, the Fire Authority paid a total of £0.</w:t>
      </w:r>
      <w:r w:rsidR="00A34243" w:rsidRPr="00D948C1">
        <w:rPr>
          <w:szCs w:val="24"/>
          <w:lang w:val="en-GB"/>
        </w:rPr>
        <w:t>106</w:t>
      </w:r>
      <w:r w:rsidR="00C91FE8" w:rsidRPr="00D948C1">
        <w:rPr>
          <w:szCs w:val="24"/>
          <w:lang w:val="en-GB"/>
        </w:rPr>
        <w:t xml:space="preserve">m </w:t>
      </w:r>
      <w:r w:rsidRPr="00D948C1">
        <w:rPr>
          <w:szCs w:val="24"/>
          <w:lang w:val="en-GB"/>
        </w:rPr>
        <w:t xml:space="preserve">to its external auditors, </w:t>
      </w:r>
      <w:r w:rsidR="00B20B8E" w:rsidRPr="00D948C1">
        <w:rPr>
          <w:szCs w:val="24"/>
          <w:lang w:val="en-GB"/>
        </w:rPr>
        <w:t>Grant Thornton (20</w:t>
      </w:r>
      <w:r w:rsidR="002A48DC" w:rsidRPr="00D948C1">
        <w:rPr>
          <w:szCs w:val="24"/>
          <w:lang w:val="en-GB"/>
        </w:rPr>
        <w:t>2</w:t>
      </w:r>
      <w:r w:rsidR="00C7098F" w:rsidRPr="00D948C1">
        <w:rPr>
          <w:szCs w:val="24"/>
          <w:lang w:val="en-GB"/>
        </w:rPr>
        <w:t>2</w:t>
      </w:r>
      <w:r w:rsidR="002A48DC" w:rsidRPr="00D948C1">
        <w:rPr>
          <w:szCs w:val="24"/>
          <w:lang w:val="en-GB"/>
        </w:rPr>
        <w:t>/2</w:t>
      </w:r>
      <w:r w:rsidR="00C7098F" w:rsidRPr="00D948C1">
        <w:rPr>
          <w:szCs w:val="24"/>
          <w:lang w:val="en-GB"/>
        </w:rPr>
        <w:t>3</w:t>
      </w:r>
      <w:r w:rsidR="00A01C10" w:rsidRPr="00D948C1">
        <w:rPr>
          <w:szCs w:val="24"/>
          <w:lang w:val="en-GB"/>
        </w:rPr>
        <w:t>: £0.</w:t>
      </w:r>
      <w:r w:rsidR="00C91FE8" w:rsidRPr="00D948C1">
        <w:rPr>
          <w:szCs w:val="24"/>
          <w:lang w:val="en-GB"/>
        </w:rPr>
        <w:t>0</w:t>
      </w:r>
      <w:r w:rsidR="00D8482A" w:rsidRPr="00D948C1">
        <w:rPr>
          <w:szCs w:val="24"/>
          <w:lang w:val="en-GB"/>
        </w:rPr>
        <w:t>44</w:t>
      </w:r>
      <w:r w:rsidR="00C91FE8" w:rsidRPr="00D948C1">
        <w:rPr>
          <w:szCs w:val="24"/>
          <w:lang w:val="en-GB"/>
        </w:rPr>
        <w:t>m</w:t>
      </w:r>
      <w:r w:rsidR="00B20B8E" w:rsidRPr="00D948C1">
        <w:rPr>
          <w:szCs w:val="24"/>
          <w:lang w:val="en-GB"/>
        </w:rPr>
        <w:t>)</w:t>
      </w:r>
      <w:r w:rsidRPr="00D948C1">
        <w:rPr>
          <w:szCs w:val="24"/>
          <w:lang w:val="en-GB"/>
        </w:rPr>
        <w:t>, as follows:</w:t>
      </w:r>
    </w:p>
    <w:p w14:paraId="29DE5C10" w14:textId="77777777" w:rsidR="00212DBF" w:rsidRPr="00D948C1" w:rsidRDefault="00212DBF" w:rsidP="006C0086">
      <w:pPr>
        <w:pStyle w:val="BodyTextIndent"/>
        <w:spacing w:line="276" w:lineRule="auto"/>
        <w:rPr>
          <w:szCs w:val="24"/>
          <w:lang w:val="en-GB"/>
        </w:rPr>
      </w:pPr>
    </w:p>
    <w:tbl>
      <w:tblPr>
        <w:tblW w:w="85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90"/>
      </w:tblGrid>
      <w:tr w:rsidR="00212DBF" w:rsidRPr="00D948C1" w14:paraId="6F38F5C8" w14:textId="77777777" w:rsidTr="00D63944">
        <w:trPr>
          <w:trHeight w:hRule="exact" w:val="578"/>
          <w:tblHeader/>
        </w:trPr>
        <w:tc>
          <w:tcPr>
            <w:tcW w:w="4770" w:type="dxa"/>
            <w:shd w:val="clear" w:color="auto" w:fill="BD2716"/>
          </w:tcPr>
          <w:p w14:paraId="09C0897E" w14:textId="77777777" w:rsidR="00212DBF" w:rsidRPr="00D948C1" w:rsidRDefault="00212DBF" w:rsidP="006C0086">
            <w:pPr>
              <w:pStyle w:val="Footer"/>
              <w:tabs>
                <w:tab w:val="clear" w:pos="4153"/>
                <w:tab w:val="clear" w:pos="8306"/>
              </w:tabs>
              <w:spacing w:line="276" w:lineRule="auto"/>
              <w:rPr>
                <w:color w:val="FFFFFF" w:themeColor="background1"/>
                <w:szCs w:val="24"/>
              </w:rPr>
            </w:pPr>
          </w:p>
        </w:tc>
        <w:tc>
          <w:tcPr>
            <w:tcW w:w="1890" w:type="dxa"/>
            <w:shd w:val="clear" w:color="auto" w:fill="BD2716"/>
            <w:vAlign w:val="center"/>
          </w:tcPr>
          <w:p w14:paraId="3A675933" w14:textId="77777777" w:rsidR="00212DBF" w:rsidRPr="00D948C1" w:rsidRDefault="00212DBF" w:rsidP="006C0086">
            <w:pPr>
              <w:spacing w:line="276" w:lineRule="auto"/>
              <w:jc w:val="right"/>
              <w:rPr>
                <w:color w:val="FFFFFF" w:themeColor="background1"/>
                <w:szCs w:val="24"/>
              </w:rPr>
            </w:pPr>
            <w:r w:rsidRPr="00D948C1">
              <w:rPr>
                <w:color w:val="FFFFFF" w:themeColor="background1"/>
                <w:szCs w:val="24"/>
              </w:rPr>
              <w:t>2023/24</w:t>
            </w:r>
          </w:p>
          <w:p w14:paraId="29D5DCBC" w14:textId="77777777" w:rsidR="00212DBF" w:rsidRPr="00D948C1" w:rsidRDefault="00212DBF" w:rsidP="006C0086">
            <w:pPr>
              <w:spacing w:line="276" w:lineRule="auto"/>
              <w:jc w:val="right"/>
              <w:rPr>
                <w:rFonts w:cs="Arial"/>
                <w:color w:val="FFFFFF" w:themeColor="background1"/>
                <w:szCs w:val="24"/>
              </w:rPr>
            </w:pPr>
            <w:r w:rsidRPr="00D948C1">
              <w:rPr>
                <w:color w:val="FFFFFF" w:themeColor="background1"/>
                <w:szCs w:val="24"/>
              </w:rPr>
              <w:t>£000</w:t>
            </w:r>
          </w:p>
        </w:tc>
        <w:tc>
          <w:tcPr>
            <w:tcW w:w="1890" w:type="dxa"/>
            <w:shd w:val="clear" w:color="auto" w:fill="BD2716"/>
            <w:vAlign w:val="center"/>
          </w:tcPr>
          <w:p w14:paraId="0C81DEA8" w14:textId="77777777" w:rsidR="00212DBF" w:rsidRPr="00D948C1" w:rsidRDefault="00212DBF" w:rsidP="006C0086">
            <w:pPr>
              <w:spacing w:line="276" w:lineRule="auto"/>
              <w:jc w:val="right"/>
              <w:rPr>
                <w:rFonts w:cs="Arial"/>
                <w:color w:val="FFFFFF" w:themeColor="background1"/>
                <w:szCs w:val="24"/>
              </w:rPr>
            </w:pPr>
            <w:r w:rsidRPr="00D948C1">
              <w:rPr>
                <w:rFonts w:cs="Arial"/>
                <w:color w:val="FFFFFF" w:themeColor="background1"/>
                <w:szCs w:val="24"/>
              </w:rPr>
              <w:t>2022/23</w:t>
            </w:r>
          </w:p>
          <w:p w14:paraId="6D479C02" w14:textId="77777777" w:rsidR="00212DBF" w:rsidRPr="00D948C1" w:rsidRDefault="00212DBF"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212DBF" w:rsidRPr="00D948C1" w14:paraId="19F18F79" w14:textId="77777777" w:rsidTr="00D63944">
        <w:trPr>
          <w:trHeight w:hRule="exact" w:val="300"/>
        </w:trPr>
        <w:tc>
          <w:tcPr>
            <w:tcW w:w="4770" w:type="dxa"/>
          </w:tcPr>
          <w:p w14:paraId="7739D9A3" w14:textId="77777777" w:rsidR="00212DBF" w:rsidRPr="00D948C1" w:rsidRDefault="00212DBF" w:rsidP="006C0086">
            <w:pPr>
              <w:pStyle w:val="Footer"/>
              <w:tabs>
                <w:tab w:val="clear" w:pos="4153"/>
                <w:tab w:val="clear" w:pos="8306"/>
                <w:tab w:val="left" w:pos="702"/>
              </w:tabs>
              <w:spacing w:line="276" w:lineRule="auto"/>
              <w:rPr>
                <w:szCs w:val="24"/>
              </w:rPr>
            </w:pPr>
            <w:r w:rsidRPr="00D948C1">
              <w:rPr>
                <w:szCs w:val="24"/>
              </w:rPr>
              <w:t>Audit fees – Grant Thornton</w:t>
            </w:r>
          </w:p>
        </w:tc>
        <w:tc>
          <w:tcPr>
            <w:tcW w:w="1890" w:type="dxa"/>
            <w:vAlign w:val="center"/>
          </w:tcPr>
          <w:p w14:paraId="015F3648" w14:textId="77777777" w:rsidR="00212DBF" w:rsidRPr="00D948C1" w:rsidRDefault="00212DBF" w:rsidP="006C0086">
            <w:pPr>
              <w:pStyle w:val="Footer"/>
              <w:tabs>
                <w:tab w:val="clear" w:pos="4153"/>
                <w:tab w:val="clear" w:pos="8306"/>
                <w:tab w:val="decimal" w:pos="1080"/>
              </w:tabs>
              <w:spacing w:line="276" w:lineRule="auto"/>
              <w:jc w:val="right"/>
              <w:rPr>
                <w:szCs w:val="24"/>
              </w:rPr>
            </w:pPr>
            <w:r w:rsidRPr="00D948C1">
              <w:rPr>
                <w:szCs w:val="24"/>
              </w:rPr>
              <w:t>106</w:t>
            </w:r>
          </w:p>
        </w:tc>
        <w:tc>
          <w:tcPr>
            <w:tcW w:w="1890" w:type="dxa"/>
            <w:vAlign w:val="center"/>
          </w:tcPr>
          <w:p w14:paraId="3CB22992" w14:textId="77777777" w:rsidR="00212DBF" w:rsidRPr="00D948C1" w:rsidRDefault="00212DBF" w:rsidP="006C0086">
            <w:pPr>
              <w:pStyle w:val="Footer"/>
              <w:tabs>
                <w:tab w:val="clear" w:pos="4153"/>
                <w:tab w:val="clear" w:pos="8306"/>
                <w:tab w:val="decimal" w:pos="1080"/>
              </w:tabs>
              <w:spacing w:line="276" w:lineRule="auto"/>
              <w:jc w:val="right"/>
              <w:rPr>
                <w:szCs w:val="24"/>
              </w:rPr>
            </w:pPr>
            <w:r w:rsidRPr="00D948C1">
              <w:rPr>
                <w:szCs w:val="24"/>
              </w:rPr>
              <w:t>44</w:t>
            </w:r>
          </w:p>
        </w:tc>
      </w:tr>
    </w:tbl>
    <w:p w14:paraId="605DF968" w14:textId="77777777" w:rsidR="00212DBF" w:rsidRPr="00D948C1" w:rsidRDefault="00212DBF" w:rsidP="006C0086">
      <w:pPr>
        <w:pStyle w:val="BodyTextIndent"/>
        <w:spacing w:line="276" w:lineRule="auto"/>
        <w:rPr>
          <w:szCs w:val="24"/>
          <w:lang w:val="en-GB"/>
        </w:rPr>
      </w:pPr>
    </w:p>
    <w:p w14:paraId="02A10A9F" w14:textId="7C0205B3" w:rsidR="00212DBF" w:rsidRPr="00D948C1" w:rsidRDefault="00212DBF" w:rsidP="006C0086">
      <w:pPr>
        <w:pStyle w:val="BodyTextIndent"/>
        <w:spacing w:line="276" w:lineRule="auto"/>
        <w:rPr>
          <w:bCs/>
          <w:szCs w:val="24"/>
        </w:rPr>
      </w:pPr>
      <w:r w:rsidRPr="00D948C1">
        <w:rPr>
          <w:bCs/>
          <w:szCs w:val="24"/>
        </w:rPr>
        <w:t>The 2023/24 audit fee charge includes additional charges of £8,300 relating to 2022/23.</w:t>
      </w:r>
    </w:p>
    <w:p w14:paraId="35C4F60B" w14:textId="77777777" w:rsidR="00A34243" w:rsidRPr="00D948C1" w:rsidRDefault="00A34243" w:rsidP="006C0086">
      <w:pPr>
        <w:spacing w:line="276" w:lineRule="auto"/>
        <w:rPr>
          <w:bCs/>
          <w:szCs w:val="24"/>
        </w:rPr>
      </w:pPr>
    </w:p>
    <w:p w14:paraId="086AD790" w14:textId="77777777" w:rsidR="00D90216" w:rsidRPr="00D948C1" w:rsidRDefault="00C72C44" w:rsidP="006C0086">
      <w:pPr>
        <w:pStyle w:val="Heading2"/>
        <w:spacing w:line="276" w:lineRule="auto"/>
        <w:jc w:val="left"/>
        <w:rPr>
          <w:sz w:val="24"/>
          <w:szCs w:val="24"/>
        </w:rPr>
      </w:pPr>
      <w:bookmarkStart w:id="31" w:name="_Toc171068789"/>
      <w:r w:rsidRPr="00D948C1">
        <w:rPr>
          <w:sz w:val="24"/>
          <w:szCs w:val="24"/>
        </w:rPr>
        <w:t>5</w:t>
      </w:r>
      <w:r w:rsidR="00D90216" w:rsidRPr="00D948C1">
        <w:rPr>
          <w:sz w:val="24"/>
          <w:szCs w:val="24"/>
        </w:rPr>
        <w:tab/>
        <w:t>Related Parties Transactions</w:t>
      </w:r>
      <w:bookmarkEnd w:id="31"/>
    </w:p>
    <w:p w14:paraId="05DC5801" w14:textId="77777777" w:rsidR="00D90216" w:rsidRPr="00D948C1" w:rsidRDefault="00D90216" w:rsidP="006C0086">
      <w:pPr>
        <w:spacing w:line="276" w:lineRule="auto"/>
        <w:rPr>
          <w:b/>
          <w:szCs w:val="24"/>
          <w:u w:val="single"/>
        </w:rPr>
      </w:pPr>
    </w:p>
    <w:p w14:paraId="7128C3AD" w14:textId="0064C938" w:rsidR="00D90216" w:rsidRPr="00D948C1" w:rsidRDefault="00D90216" w:rsidP="006C0086">
      <w:pPr>
        <w:pStyle w:val="BodyTextIndent"/>
        <w:spacing w:line="276" w:lineRule="auto"/>
        <w:rPr>
          <w:szCs w:val="24"/>
          <w:lang w:val="en-GB"/>
        </w:rPr>
      </w:pPr>
      <w:r w:rsidRPr="00D948C1">
        <w:rPr>
          <w:szCs w:val="24"/>
          <w:lang w:val="en-GB"/>
        </w:rPr>
        <w:t>The Authority is required to disclose material transactions with related parties –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w:t>
      </w:r>
      <w:r w:rsidR="00000C47" w:rsidRPr="00D948C1">
        <w:rPr>
          <w:szCs w:val="24"/>
          <w:lang w:val="en-GB"/>
        </w:rPr>
        <w:t xml:space="preserve"> Consideration must be given to materiality from both the viewpoint of the Authority and the related party.</w:t>
      </w:r>
    </w:p>
    <w:p w14:paraId="43E7AF38" w14:textId="77777777" w:rsidR="00D90216" w:rsidRPr="00D948C1" w:rsidRDefault="00D90216" w:rsidP="006C0086">
      <w:pPr>
        <w:pStyle w:val="BodyTextIndent"/>
        <w:spacing w:line="276" w:lineRule="auto"/>
        <w:ind w:left="0"/>
        <w:rPr>
          <w:szCs w:val="24"/>
          <w:lang w:val="en-GB"/>
        </w:rPr>
      </w:pPr>
    </w:p>
    <w:p w14:paraId="2A39DC6C" w14:textId="77777777" w:rsidR="00D90216" w:rsidRPr="00D948C1" w:rsidRDefault="00D90216" w:rsidP="006C0086">
      <w:pPr>
        <w:spacing w:line="276" w:lineRule="auto"/>
        <w:ind w:firstLine="720"/>
        <w:rPr>
          <w:b/>
          <w:bCs/>
        </w:rPr>
      </w:pPr>
      <w:r w:rsidRPr="00D948C1">
        <w:rPr>
          <w:b/>
          <w:bCs/>
        </w:rPr>
        <w:t>Central Government</w:t>
      </w:r>
    </w:p>
    <w:p w14:paraId="08C9F65A" w14:textId="77777777" w:rsidR="00D90216" w:rsidRPr="00D948C1" w:rsidRDefault="00D90216" w:rsidP="006C0086">
      <w:pPr>
        <w:pStyle w:val="BodyTextIndent"/>
        <w:spacing w:line="276" w:lineRule="auto"/>
        <w:rPr>
          <w:szCs w:val="24"/>
          <w:lang w:val="en-GB"/>
        </w:rPr>
      </w:pPr>
    </w:p>
    <w:p w14:paraId="46FC8960" w14:textId="71565033" w:rsidR="00D90216" w:rsidRPr="00D948C1" w:rsidRDefault="00D90216" w:rsidP="006C0086">
      <w:pPr>
        <w:pStyle w:val="BodyTextIndent"/>
        <w:spacing w:line="276" w:lineRule="auto"/>
        <w:rPr>
          <w:szCs w:val="24"/>
          <w:lang w:val="en-GB"/>
        </w:rPr>
      </w:pPr>
      <w:r w:rsidRPr="00D948C1">
        <w:rPr>
          <w:szCs w:val="24"/>
          <w:lang w:val="en-GB"/>
        </w:rPr>
        <w:t xml:space="preserve">Central government has effective control over the general operations of the Authority – it is responsible for providing the statutory framework within which the Authority operates, provides </w:t>
      </w:r>
      <w:r w:rsidR="00D21F6D" w:rsidRPr="00D948C1">
        <w:rPr>
          <w:szCs w:val="24"/>
          <w:lang w:val="en-GB"/>
        </w:rPr>
        <w:t>most of</w:t>
      </w:r>
      <w:r w:rsidRPr="00D948C1">
        <w:rPr>
          <w:szCs w:val="24"/>
          <w:lang w:val="en-GB"/>
        </w:rPr>
        <w:t xml:space="preserve"> its funding in the form of grants and prescribes the terms of many of the transactions that the Authority has with other parties (</w:t>
      </w:r>
      <w:r w:rsidR="00AA3FF8">
        <w:rPr>
          <w:szCs w:val="24"/>
          <w:lang w:val="en-GB"/>
        </w:rPr>
        <w:t>for example</w:t>
      </w:r>
      <w:r w:rsidRPr="00D948C1">
        <w:rPr>
          <w:szCs w:val="24"/>
          <w:lang w:val="en-GB"/>
        </w:rPr>
        <w:t xml:space="preserve"> council tax bills).</w:t>
      </w:r>
    </w:p>
    <w:p w14:paraId="612F07EE" w14:textId="77777777" w:rsidR="00D90216" w:rsidRPr="00D948C1" w:rsidRDefault="00D90216" w:rsidP="006C0086">
      <w:pPr>
        <w:pStyle w:val="BodyTextIndent"/>
        <w:spacing w:line="276" w:lineRule="auto"/>
        <w:ind w:left="0"/>
        <w:rPr>
          <w:szCs w:val="24"/>
          <w:lang w:val="en-GB"/>
        </w:rPr>
      </w:pPr>
    </w:p>
    <w:p w14:paraId="6450306B" w14:textId="77777777" w:rsidR="00D90216" w:rsidRPr="00D948C1" w:rsidRDefault="00D90216" w:rsidP="006C0086">
      <w:pPr>
        <w:spacing w:line="276" w:lineRule="auto"/>
        <w:ind w:firstLine="720"/>
        <w:rPr>
          <w:b/>
          <w:bCs/>
        </w:rPr>
      </w:pPr>
      <w:r w:rsidRPr="00D948C1">
        <w:rPr>
          <w:b/>
          <w:bCs/>
        </w:rPr>
        <w:t>Members</w:t>
      </w:r>
    </w:p>
    <w:p w14:paraId="735E557B" w14:textId="77777777" w:rsidR="00D90216" w:rsidRPr="00D948C1" w:rsidRDefault="00D90216" w:rsidP="006C0086">
      <w:pPr>
        <w:pStyle w:val="BodyTextIndent"/>
        <w:spacing w:line="276" w:lineRule="auto"/>
        <w:rPr>
          <w:szCs w:val="24"/>
          <w:lang w:val="en-GB"/>
        </w:rPr>
      </w:pPr>
    </w:p>
    <w:p w14:paraId="05023D02" w14:textId="7A9B4459" w:rsidR="00D90216" w:rsidRPr="00D948C1" w:rsidRDefault="00D90216" w:rsidP="006C0086">
      <w:pPr>
        <w:pStyle w:val="BodyTextIndent"/>
        <w:spacing w:line="276" w:lineRule="auto"/>
        <w:rPr>
          <w:szCs w:val="24"/>
          <w:lang w:val="en-GB"/>
        </w:rPr>
      </w:pPr>
      <w:r w:rsidRPr="00D948C1">
        <w:rPr>
          <w:szCs w:val="24"/>
          <w:lang w:val="en-GB"/>
        </w:rPr>
        <w:t>Members of the Authority have direct control over the Authority’s financial and operating policies. The total of members’ allowances paid in 20</w:t>
      </w:r>
      <w:r w:rsidR="00C72C44" w:rsidRPr="00D948C1">
        <w:rPr>
          <w:szCs w:val="24"/>
          <w:lang w:val="en-GB"/>
        </w:rPr>
        <w:t>2</w:t>
      </w:r>
      <w:r w:rsidR="00C7098F" w:rsidRPr="00D948C1">
        <w:rPr>
          <w:szCs w:val="24"/>
          <w:lang w:val="en-GB"/>
        </w:rPr>
        <w:t>3</w:t>
      </w:r>
      <w:r w:rsidR="002A48DC" w:rsidRPr="00D948C1">
        <w:rPr>
          <w:szCs w:val="24"/>
          <w:lang w:val="en-GB"/>
        </w:rPr>
        <w:t>/2</w:t>
      </w:r>
      <w:r w:rsidR="00C7098F" w:rsidRPr="00D948C1">
        <w:rPr>
          <w:szCs w:val="24"/>
          <w:lang w:val="en-GB"/>
        </w:rPr>
        <w:t>4</w:t>
      </w:r>
      <w:r w:rsidRPr="00D948C1">
        <w:rPr>
          <w:szCs w:val="24"/>
          <w:lang w:val="en-GB"/>
        </w:rPr>
        <w:t xml:space="preserve"> is shown in </w:t>
      </w:r>
      <w:hyperlink w:anchor="N2" w:history="1">
        <w:r w:rsidR="00C72C44" w:rsidRPr="00D948C1">
          <w:rPr>
            <w:rStyle w:val="Hyperlink"/>
            <w:szCs w:val="24"/>
            <w:lang w:val="en-GB"/>
          </w:rPr>
          <w:t>N</w:t>
        </w:r>
        <w:r w:rsidRPr="00D948C1">
          <w:rPr>
            <w:rStyle w:val="Hyperlink"/>
            <w:szCs w:val="24"/>
            <w:lang w:val="en-GB"/>
          </w:rPr>
          <w:t xml:space="preserve">ote </w:t>
        </w:r>
        <w:r w:rsidR="001B72DF" w:rsidRPr="00D948C1">
          <w:rPr>
            <w:rStyle w:val="Hyperlink"/>
            <w:szCs w:val="24"/>
            <w:lang w:val="en-GB"/>
          </w:rPr>
          <w:t>2</w:t>
        </w:r>
      </w:hyperlink>
      <w:r w:rsidRPr="00D948C1">
        <w:rPr>
          <w:szCs w:val="24"/>
          <w:lang w:val="en-GB"/>
        </w:rPr>
        <w:t xml:space="preserve">. As required under Section 81 of the Local Government Act 2000, </w:t>
      </w:r>
      <w:proofErr w:type="gramStart"/>
      <w:r w:rsidRPr="00D948C1">
        <w:rPr>
          <w:szCs w:val="24"/>
          <w:lang w:val="en-GB"/>
        </w:rPr>
        <w:t>members’</w:t>
      </w:r>
      <w:proofErr w:type="gramEnd"/>
      <w:r w:rsidRPr="00D948C1">
        <w:rPr>
          <w:szCs w:val="24"/>
          <w:lang w:val="en-GB"/>
        </w:rPr>
        <w:t xml:space="preserve"> outside interests are recorded in a formal register and the Code of Conduct operated by the Authority requires members to declare any related interests they have, and to take no part in meetings or decisions on issues concerning those related interests. </w:t>
      </w:r>
    </w:p>
    <w:p w14:paraId="41EB29CD" w14:textId="77777777" w:rsidR="00D90216" w:rsidRPr="00D948C1" w:rsidRDefault="00D90216" w:rsidP="006C0086">
      <w:pPr>
        <w:pStyle w:val="BodyTextIndent"/>
        <w:spacing w:line="276" w:lineRule="auto"/>
        <w:rPr>
          <w:szCs w:val="24"/>
          <w:lang w:val="en-GB"/>
        </w:rPr>
      </w:pPr>
    </w:p>
    <w:p w14:paraId="75AF8086" w14:textId="77777777" w:rsidR="00D90216" w:rsidRPr="00D948C1" w:rsidRDefault="00D90216" w:rsidP="006C0086">
      <w:pPr>
        <w:pStyle w:val="BodyTextIndent"/>
        <w:spacing w:line="276" w:lineRule="auto"/>
        <w:rPr>
          <w:szCs w:val="24"/>
          <w:lang w:val="en-GB"/>
        </w:rPr>
      </w:pPr>
      <w:r w:rsidRPr="00D948C1">
        <w:rPr>
          <w:szCs w:val="24"/>
          <w:lang w:val="en-GB"/>
        </w:rPr>
        <w:t>In addition, a survey of the related party interests of members and their immediate family members was carried out in preparing the Statement of Accounts. This survey showed that members have outside interests in bodies that have transactions with the Authority, such as:</w:t>
      </w:r>
    </w:p>
    <w:p w14:paraId="68E299D3" w14:textId="77777777" w:rsidR="00D90216" w:rsidRPr="00D948C1" w:rsidRDefault="00D90216" w:rsidP="006C0086">
      <w:pPr>
        <w:pStyle w:val="BodyTextIndent"/>
        <w:spacing w:line="276" w:lineRule="auto"/>
        <w:rPr>
          <w:szCs w:val="24"/>
          <w:lang w:val="en-GB"/>
        </w:rPr>
      </w:pPr>
    </w:p>
    <w:p w14:paraId="58342B50" w14:textId="77777777" w:rsidR="00D90216" w:rsidRPr="00D948C1" w:rsidRDefault="00D90216" w:rsidP="006C0086">
      <w:pPr>
        <w:pStyle w:val="BodyTextIndent"/>
        <w:spacing w:line="276" w:lineRule="auto"/>
        <w:rPr>
          <w:szCs w:val="24"/>
          <w:lang w:val="en-GB"/>
        </w:rPr>
      </w:pPr>
      <w:r w:rsidRPr="00D948C1">
        <w:rPr>
          <w:szCs w:val="24"/>
          <w:lang w:val="en-GB"/>
        </w:rPr>
        <w:t xml:space="preserve">- roles as members of Lancashire County Council, the district and unitary </w:t>
      </w:r>
      <w:proofErr w:type="gramStart"/>
      <w:r w:rsidRPr="00D948C1">
        <w:rPr>
          <w:szCs w:val="24"/>
          <w:lang w:val="en-GB"/>
        </w:rPr>
        <w:t>authorities;</w:t>
      </w:r>
      <w:proofErr w:type="gramEnd"/>
    </w:p>
    <w:p w14:paraId="646E78F9" w14:textId="77777777" w:rsidR="00D90216" w:rsidRPr="00D948C1" w:rsidRDefault="00D90216" w:rsidP="006C0086">
      <w:pPr>
        <w:pStyle w:val="BodyTextIndent"/>
        <w:spacing w:line="276" w:lineRule="auto"/>
        <w:rPr>
          <w:szCs w:val="24"/>
          <w:lang w:val="en-GB"/>
        </w:rPr>
      </w:pPr>
      <w:r w:rsidRPr="00D948C1">
        <w:rPr>
          <w:szCs w:val="24"/>
          <w:lang w:val="en-GB"/>
        </w:rPr>
        <w:t xml:space="preserve">- roles with voluntary </w:t>
      </w:r>
      <w:proofErr w:type="gramStart"/>
      <w:r w:rsidRPr="00D948C1">
        <w:rPr>
          <w:szCs w:val="24"/>
          <w:lang w:val="en-GB"/>
        </w:rPr>
        <w:t>organisations;</w:t>
      </w:r>
      <w:proofErr w:type="gramEnd"/>
    </w:p>
    <w:p w14:paraId="7D23CB49" w14:textId="77777777" w:rsidR="00D90216" w:rsidRPr="00D948C1" w:rsidRDefault="00D90216" w:rsidP="006C0086">
      <w:pPr>
        <w:pStyle w:val="BodyTextIndent"/>
        <w:spacing w:line="276" w:lineRule="auto"/>
        <w:rPr>
          <w:szCs w:val="24"/>
          <w:lang w:val="en-GB"/>
        </w:rPr>
      </w:pPr>
    </w:p>
    <w:p w14:paraId="313AFB53" w14:textId="07559483" w:rsidR="00F641AC" w:rsidRPr="00D948C1" w:rsidRDefault="00A40290" w:rsidP="006C0086">
      <w:pPr>
        <w:pStyle w:val="BodyTextIndent"/>
        <w:spacing w:line="276" w:lineRule="auto"/>
        <w:rPr>
          <w:szCs w:val="24"/>
          <w:lang w:val="en-GB"/>
        </w:rPr>
      </w:pPr>
      <w:r w:rsidRPr="00D948C1">
        <w:rPr>
          <w:szCs w:val="24"/>
          <w:lang w:val="en-GB"/>
        </w:rPr>
        <w:t>There is no evidence in these cases of control of one party by the other, however material transactions of £1.0</w:t>
      </w:r>
      <w:r w:rsidR="00797087" w:rsidRPr="00D948C1">
        <w:rPr>
          <w:szCs w:val="24"/>
          <w:lang w:val="en-GB"/>
        </w:rPr>
        <w:t>3</w:t>
      </w:r>
      <w:r w:rsidRPr="00D948C1">
        <w:rPr>
          <w:szCs w:val="24"/>
          <w:lang w:val="en-GB"/>
        </w:rPr>
        <w:t>0m spend with Lancashire County Council requires disclosure in this note. Most of this sum relates to maintenance of the Authority’s vehicle fleet, in addition to services provided under Service Level Agreements.</w:t>
      </w:r>
    </w:p>
    <w:p w14:paraId="2356C24B" w14:textId="2BC5B259" w:rsidR="003278CF" w:rsidRPr="00D948C1" w:rsidRDefault="003278CF" w:rsidP="006C0086">
      <w:pPr>
        <w:spacing w:line="276" w:lineRule="auto"/>
        <w:rPr>
          <w:b/>
          <w:bCs/>
        </w:rPr>
      </w:pPr>
    </w:p>
    <w:p w14:paraId="781ABF28" w14:textId="08FB14B9" w:rsidR="00D90216" w:rsidRPr="00D948C1" w:rsidRDefault="00D90216" w:rsidP="006C0086">
      <w:pPr>
        <w:spacing w:line="276" w:lineRule="auto"/>
        <w:ind w:firstLine="720"/>
        <w:rPr>
          <w:b/>
          <w:bCs/>
        </w:rPr>
      </w:pPr>
      <w:r w:rsidRPr="00D948C1">
        <w:rPr>
          <w:b/>
          <w:bCs/>
        </w:rPr>
        <w:t>Officers</w:t>
      </w:r>
    </w:p>
    <w:p w14:paraId="35244ACE" w14:textId="77777777" w:rsidR="00D90216" w:rsidRPr="00D948C1" w:rsidRDefault="00D90216" w:rsidP="006C0086">
      <w:pPr>
        <w:pStyle w:val="BodyTextIndent"/>
        <w:spacing w:line="276" w:lineRule="auto"/>
        <w:rPr>
          <w:szCs w:val="24"/>
          <w:lang w:val="en-GB"/>
        </w:rPr>
      </w:pPr>
    </w:p>
    <w:p w14:paraId="69F9E87F" w14:textId="2A8D81FF" w:rsidR="00A40290" w:rsidRPr="00D948C1" w:rsidRDefault="00797087" w:rsidP="006C0086">
      <w:pPr>
        <w:pStyle w:val="BodyTextIndent"/>
        <w:spacing w:line="276" w:lineRule="auto"/>
        <w:rPr>
          <w:szCs w:val="24"/>
          <w:lang w:val="en-GB"/>
        </w:rPr>
      </w:pPr>
      <w:r w:rsidRPr="00D948C1">
        <w:t xml:space="preserve">Officers of the Authority are required to declare interests in related parties on an annual basis in respect of the financial statements. There were no reported material related party transactions regarding 2023/24. </w:t>
      </w:r>
      <w:r w:rsidR="00A40290" w:rsidRPr="00D948C1">
        <w:rPr>
          <w:szCs w:val="24"/>
          <w:lang w:val="en-GB"/>
        </w:rPr>
        <w:t>In 2022/23 one Senior Officer declared a family relationship with a Senior Officer who worked across two of our major billing authorities</w:t>
      </w:r>
      <w:r w:rsidRPr="00D948C1">
        <w:rPr>
          <w:szCs w:val="24"/>
          <w:lang w:val="en-GB"/>
        </w:rPr>
        <w:t>.</w:t>
      </w:r>
      <w:r w:rsidR="00A40290" w:rsidRPr="00D948C1">
        <w:rPr>
          <w:szCs w:val="24"/>
          <w:lang w:val="en-GB"/>
        </w:rPr>
        <w:t xml:space="preserve"> Although there are significant transactions between the parties in relation to business rates (£0.461m received from the billing authorities), and council tax (£5.772m received from the billing authorities), the administration of these is strictly defined by a statutory framework.</w:t>
      </w:r>
    </w:p>
    <w:p w14:paraId="32A962D0" w14:textId="77777777" w:rsidR="00FB42CA" w:rsidRPr="00D948C1" w:rsidRDefault="00FB42CA" w:rsidP="006C0086">
      <w:pPr>
        <w:pStyle w:val="BodyTextIndent"/>
        <w:spacing w:line="276" w:lineRule="auto"/>
        <w:rPr>
          <w:szCs w:val="24"/>
          <w:lang w:val="en-GB"/>
        </w:rPr>
      </w:pPr>
    </w:p>
    <w:p w14:paraId="2C0DE753" w14:textId="77777777" w:rsidR="00D90216" w:rsidRPr="00D948C1" w:rsidRDefault="00C72C44" w:rsidP="006C0086">
      <w:pPr>
        <w:pStyle w:val="Heading2"/>
        <w:spacing w:line="276" w:lineRule="auto"/>
        <w:jc w:val="left"/>
        <w:rPr>
          <w:sz w:val="24"/>
          <w:szCs w:val="24"/>
        </w:rPr>
      </w:pPr>
      <w:bookmarkStart w:id="32" w:name="_Toc171068790"/>
      <w:r w:rsidRPr="00D948C1">
        <w:rPr>
          <w:sz w:val="24"/>
          <w:szCs w:val="24"/>
        </w:rPr>
        <w:t>6</w:t>
      </w:r>
      <w:r w:rsidR="00D90216" w:rsidRPr="00D948C1">
        <w:rPr>
          <w:sz w:val="24"/>
          <w:szCs w:val="24"/>
        </w:rPr>
        <w:tab/>
      </w:r>
      <w:bookmarkStart w:id="33" w:name="N6"/>
      <w:bookmarkEnd w:id="33"/>
      <w:r w:rsidR="00D90216" w:rsidRPr="00D948C1">
        <w:rPr>
          <w:sz w:val="24"/>
          <w:szCs w:val="24"/>
        </w:rPr>
        <w:t>Property, Plant &amp; Equipment</w:t>
      </w:r>
      <w:bookmarkEnd w:id="32"/>
    </w:p>
    <w:p w14:paraId="2C702376" w14:textId="77777777" w:rsidR="00D90216" w:rsidRPr="00D948C1" w:rsidRDefault="00D90216" w:rsidP="006C0086">
      <w:pPr>
        <w:spacing w:line="276" w:lineRule="auto"/>
        <w:ind w:left="720"/>
        <w:rPr>
          <w:szCs w:val="24"/>
        </w:rPr>
      </w:pPr>
    </w:p>
    <w:p w14:paraId="650D2435" w14:textId="64EF765F" w:rsidR="00D90216" w:rsidRPr="00D948C1" w:rsidRDefault="00D90216" w:rsidP="006C0086">
      <w:pPr>
        <w:spacing w:line="276" w:lineRule="auto"/>
        <w:ind w:left="720"/>
        <w:rPr>
          <w:szCs w:val="24"/>
        </w:rPr>
      </w:pPr>
      <w:r w:rsidRPr="00D948C1">
        <w:rPr>
          <w:szCs w:val="24"/>
        </w:rPr>
        <w:t xml:space="preserve">Details on policies can be seen in </w:t>
      </w:r>
      <w:hyperlink w:anchor="N29" w:history="1">
        <w:r w:rsidR="00C72C44" w:rsidRPr="00D948C1">
          <w:rPr>
            <w:rStyle w:val="Hyperlink"/>
            <w:szCs w:val="24"/>
          </w:rPr>
          <w:t>N</w:t>
        </w:r>
        <w:r w:rsidRPr="00D948C1">
          <w:rPr>
            <w:rStyle w:val="Hyperlink"/>
            <w:szCs w:val="24"/>
          </w:rPr>
          <w:t xml:space="preserve">ote </w:t>
        </w:r>
        <w:r w:rsidR="00F50304" w:rsidRPr="00D948C1">
          <w:rPr>
            <w:rStyle w:val="Hyperlink"/>
            <w:szCs w:val="24"/>
          </w:rPr>
          <w:t>29</w:t>
        </w:r>
      </w:hyperlink>
      <w:r w:rsidR="00B16EF7" w:rsidRPr="00D948C1">
        <w:rPr>
          <w:szCs w:val="24"/>
        </w:rPr>
        <w:t>,</w:t>
      </w:r>
      <w:r w:rsidRPr="00D948C1">
        <w:rPr>
          <w:szCs w:val="24"/>
        </w:rPr>
        <w:t xml:space="preserve"> Accounting Policies.</w:t>
      </w:r>
    </w:p>
    <w:p w14:paraId="4432E3E3" w14:textId="77777777" w:rsidR="00D90216" w:rsidRPr="00D948C1" w:rsidRDefault="00D90216" w:rsidP="006C0086">
      <w:pPr>
        <w:spacing w:line="276" w:lineRule="auto"/>
        <w:ind w:left="720"/>
        <w:rPr>
          <w:szCs w:val="24"/>
        </w:rPr>
      </w:pPr>
    </w:p>
    <w:p w14:paraId="6F5D651C" w14:textId="77777777" w:rsidR="00D90216" w:rsidRPr="00D948C1" w:rsidRDefault="00D90216" w:rsidP="006C0086">
      <w:pPr>
        <w:spacing w:line="276" w:lineRule="auto"/>
        <w:ind w:firstLine="720"/>
        <w:rPr>
          <w:b/>
          <w:bCs/>
        </w:rPr>
      </w:pPr>
      <w:r w:rsidRPr="00D948C1">
        <w:rPr>
          <w:b/>
          <w:bCs/>
        </w:rPr>
        <w:t>Movements during the Year</w:t>
      </w:r>
    </w:p>
    <w:p w14:paraId="6CFCE7B8" w14:textId="77777777" w:rsidR="00D90216" w:rsidRPr="00D948C1" w:rsidRDefault="00D90216" w:rsidP="006C0086">
      <w:pPr>
        <w:spacing w:line="276" w:lineRule="auto"/>
        <w:ind w:left="720"/>
        <w:rPr>
          <w:szCs w:val="24"/>
        </w:rPr>
      </w:pPr>
    </w:p>
    <w:p w14:paraId="79C712CF" w14:textId="3C8F1ACB" w:rsidR="00F74E7D" w:rsidRPr="00D948C1" w:rsidRDefault="00D90216" w:rsidP="006C0086">
      <w:pPr>
        <w:pStyle w:val="BodyTextIndent"/>
        <w:spacing w:line="276" w:lineRule="auto"/>
        <w:rPr>
          <w:szCs w:val="24"/>
          <w:lang w:val="en-GB"/>
        </w:rPr>
      </w:pPr>
      <w:r w:rsidRPr="00D948C1">
        <w:rPr>
          <w:szCs w:val="24"/>
          <w:lang w:val="en-GB"/>
        </w:rPr>
        <w:t xml:space="preserve">The table below summarises the movements in Property, Plant and Equipment during the year. Land and buildings, vehicles, plant, </w:t>
      </w:r>
      <w:r w:rsidR="000F28B4" w:rsidRPr="00D948C1">
        <w:rPr>
          <w:szCs w:val="24"/>
          <w:lang w:val="en-GB"/>
        </w:rPr>
        <w:t>furniture,</w:t>
      </w:r>
      <w:r w:rsidRPr="00D948C1">
        <w:rPr>
          <w:szCs w:val="24"/>
          <w:lang w:val="en-GB"/>
        </w:rPr>
        <w:t xml:space="preserve"> and equipment are all disclosed at their net current value. All additions (new expenditure) are shown at cost.</w:t>
      </w:r>
    </w:p>
    <w:p w14:paraId="7622E5AC" w14:textId="59A7EC1F" w:rsidR="00F74E7D" w:rsidRPr="00D948C1" w:rsidRDefault="00F74E7D" w:rsidP="006C0086">
      <w:pPr>
        <w:spacing w:line="276" w:lineRule="auto"/>
        <w:jc w:val="both"/>
        <w:rPr>
          <w:szCs w:val="24"/>
        </w:rPr>
      </w:pPr>
    </w:p>
    <w:p w14:paraId="68491591" w14:textId="6D76D40C" w:rsidR="002C5D98" w:rsidRPr="00D948C1" w:rsidRDefault="00D90216" w:rsidP="006C0086">
      <w:pPr>
        <w:spacing w:line="276" w:lineRule="auto"/>
        <w:ind w:left="709"/>
        <w:rPr>
          <w:szCs w:val="24"/>
        </w:rPr>
      </w:pPr>
      <w:r w:rsidRPr="00D948C1">
        <w:rPr>
          <w:szCs w:val="24"/>
        </w:rPr>
        <w:t>Movements in Property, Plant and Equipment analysed into their different categories</w:t>
      </w:r>
      <w:r w:rsidR="00B16EF7" w:rsidRPr="00D948C1">
        <w:rPr>
          <w:szCs w:val="24"/>
        </w:rPr>
        <w:t xml:space="preserve"> for 20</w:t>
      </w:r>
      <w:r w:rsidR="00C72C44" w:rsidRPr="00D948C1">
        <w:rPr>
          <w:szCs w:val="24"/>
        </w:rPr>
        <w:t>2</w:t>
      </w:r>
      <w:r w:rsidR="009010CF" w:rsidRPr="00D948C1">
        <w:rPr>
          <w:szCs w:val="24"/>
        </w:rPr>
        <w:t>3</w:t>
      </w:r>
      <w:r w:rsidR="00F26A44" w:rsidRPr="00D948C1">
        <w:rPr>
          <w:szCs w:val="24"/>
        </w:rPr>
        <w:t>/2</w:t>
      </w:r>
      <w:r w:rsidR="009010CF" w:rsidRPr="00D948C1">
        <w:rPr>
          <w:szCs w:val="24"/>
        </w:rPr>
        <w:t>4</w:t>
      </w:r>
      <w:r w:rsidRPr="00D948C1">
        <w:rPr>
          <w:szCs w:val="24"/>
        </w:rPr>
        <w:t xml:space="preserve"> are:</w:t>
      </w: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49"/>
        <w:gridCol w:w="1565"/>
        <w:gridCol w:w="1559"/>
      </w:tblGrid>
      <w:tr w:rsidR="004E0330" w:rsidRPr="00D948C1" w14:paraId="5B0B89D7" w14:textId="77777777" w:rsidTr="001B7B4F">
        <w:trPr>
          <w:trHeight w:val="425"/>
          <w:tblHeader/>
        </w:trPr>
        <w:tc>
          <w:tcPr>
            <w:tcW w:w="4144" w:type="dxa"/>
            <w:shd w:val="clear" w:color="auto" w:fill="BD2716"/>
            <w:noWrap/>
            <w:vAlign w:val="bottom"/>
          </w:tcPr>
          <w:p w14:paraId="56CD4506" w14:textId="68199C39" w:rsidR="004E0330" w:rsidRPr="00D948C1" w:rsidRDefault="004E0330" w:rsidP="006C0086">
            <w:pPr>
              <w:spacing w:line="276" w:lineRule="auto"/>
              <w:ind w:left="175"/>
              <w:rPr>
                <w:rFonts w:cs="Arial"/>
                <w:color w:val="FFFFFF" w:themeColor="background1"/>
                <w:szCs w:val="24"/>
                <w:lang w:eastAsia="en-GB"/>
              </w:rPr>
            </w:pPr>
          </w:p>
        </w:tc>
        <w:tc>
          <w:tcPr>
            <w:tcW w:w="1339" w:type="dxa"/>
            <w:shd w:val="clear" w:color="auto" w:fill="BD2716"/>
            <w:vAlign w:val="center"/>
          </w:tcPr>
          <w:p w14:paraId="4E9CCAC0" w14:textId="77777777" w:rsidR="004E0330" w:rsidRPr="00D948C1" w:rsidRDefault="004E0330"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1BDDDFDB" w14:textId="4B2D8F4F"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349" w:type="dxa"/>
            <w:shd w:val="clear" w:color="auto" w:fill="BD2716"/>
            <w:vAlign w:val="center"/>
          </w:tcPr>
          <w:p w14:paraId="7929E470" w14:textId="77777777" w:rsidR="004E0330" w:rsidRPr="00D948C1" w:rsidRDefault="004E0330"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29E1A4E2" w14:textId="5A4B3A5E"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565" w:type="dxa"/>
            <w:shd w:val="clear" w:color="auto" w:fill="BD2716"/>
            <w:vAlign w:val="center"/>
          </w:tcPr>
          <w:p w14:paraId="2912F02D" w14:textId="77777777" w:rsidR="004E0330" w:rsidRPr="00D948C1" w:rsidRDefault="004E0330"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507F4126" w14:textId="0CEF9526"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559" w:type="dxa"/>
            <w:shd w:val="clear" w:color="auto" w:fill="BD2716"/>
            <w:noWrap/>
            <w:vAlign w:val="center"/>
          </w:tcPr>
          <w:p w14:paraId="61EF5229" w14:textId="77777777" w:rsidR="004E0330" w:rsidRPr="00D948C1" w:rsidRDefault="004E0330"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3CF340D9" w14:textId="2543F98B" w:rsidR="00A01DCD" w:rsidRPr="00D948C1" w:rsidRDefault="00A01DCD" w:rsidP="006C0086">
            <w:pPr>
              <w:spacing w:line="276" w:lineRule="auto"/>
              <w:jc w:val="right"/>
              <w:rPr>
                <w:color w:val="FFFFFF" w:themeColor="background1"/>
                <w:lang w:eastAsia="en-GB"/>
              </w:rPr>
            </w:pPr>
            <w:r w:rsidRPr="00D948C1">
              <w:rPr>
                <w:rFonts w:cs="Arial"/>
                <w:color w:val="FFFFFF" w:themeColor="background1"/>
                <w:szCs w:val="24"/>
                <w:lang w:eastAsia="en-GB"/>
              </w:rPr>
              <w:t>£000</w:t>
            </w:r>
          </w:p>
        </w:tc>
      </w:tr>
      <w:tr w:rsidR="00FA71D8" w:rsidRPr="00D948C1" w14:paraId="6146FB86" w14:textId="77777777" w:rsidTr="007641BA">
        <w:trPr>
          <w:trHeight w:val="212"/>
        </w:trPr>
        <w:tc>
          <w:tcPr>
            <w:tcW w:w="9956" w:type="dxa"/>
            <w:gridSpan w:val="5"/>
            <w:shd w:val="clear" w:color="auto" w:fill="D9D9D9" w:themeFill="background1" w:themeFillShade="D9"/>
            <w:noWrap/>
            <w:vAlign w:val="bottom"/>
          </w:tcPr>
          <w:p w14:paraId="4915B82A" w14:textId="55997751" w:rsidR="00FA71D8" w:rsidRPr="00D948C1" w:rsidRDefault="00FA71D8" w:rsidP="006C0086">
            <w:pPr>
              <w:spacing w:line="276" w:lineRule="auto"/>
              <w:rPr>
                <w:rFonts w:cs="Arial"/>
                <w:szCs w:val="24"/>
                <w:lang w:eastAsia="en-GB"/>
              </w:rPr>
            </w:pPr>
            <w:r w:rsidRPr="00D948C1">
              <w:rPr>
                <w:rFonts w:cs="Arial"/>
                <w:b/>
                <w:bCs/>
                <w:szCs w:val="24"/>
                <w:lang w:eastAsia="en-GB"/>
              </w:rPr>
              <w:t>Cost or valuation</w:t>
            </w:r>
          </w:p>
        </w:tc>
      </w:tr>
      <w:tr w:rsidR="00C93FB3" w:rsidRPr="00D948C1" w14:paraId="2AAF4C72" w14:textId="77777777" w:rsidTr="001B7B4F">
        <w:trPr>
          <w:trHeight w:val="212"/>
        </w:trPr>
        <w:tc>
          <w:tcPr>
            <w:tcW w:w="4144" w:type="dxa"/>
            <w:shd w:val="clear" w:color="auto" w:fill="auto"/>
            <w:noWrap/>
            <w:vAlign w:val="bottom"/>
          </w:tcPr>
          <w:p w14:paraId="7B2C1C77" w14:textId="3F275F6D" w:rsidR="00C93FB3" w:rsidRPr="00D948C1" w:rsidRDefault="00C93FB3" w:rsidP="006C0086">
            <w:pPr>
              <w:spacing w:line="276" w:lineRule="auto"/>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2023</w:t>
            </w:r>
          </w:p>
        </w:tc>
        <w:tc>
          <w:tcPr>
            <w:tcW w:w="1339" w:type="dxa"/>
            <w:shd w:val="clear" w:color="auto" w:fill="auto"/>
            <w:noWrap/>
            <w:vAlign w:val="center"/>
          </w:tcPr>
          <w:p w14:paraId="664D0ACC" w14:textId="4DD377D6" w:rsidR="00C93FB3" w:rsidRPr="00D948C1" w:rsidRDefault="00C93FB3" w:rsidP="006C0086">
            <w:pPr>
              <w:spacing w:line="276" w:lineRule="auto"/>
              <w:jc w:val="right"/>
              <w:rPr>
                <w:rFonts w:cs="Arial"/>
                <w:szCs w:val="24"/>
                <w:lang w:eastAsia="en-GB"/>
              </w:rPr>
            </w:pPr>
            <w:r w:rsidRPr="00D948C1">
              <w:rPr>
                <w:szCs w:val="24"/>
              </w:rPr>
              <w:t>81,875</w:t>
            </w:r>
          </w:p>
        </w:tc>
        <w:tc>
          <w:tcPr>
            <w:tcW w:w="1349" w:type="dxa"/>
            <w:vAlign w:val="center"/>
          </w:tcPr>
          <w:p w14:paraId="34A420D5" w14:textId="26234BDB" w:rsidR="00C93FB3" w:rsidRPr="00D948C1" w:rsidRDefault="00C93FB3" w:rsidP="006C0086">
            <w:pPr>
              <w:spacing w:line="276" w:lineRule="auto"/>
              <w:jc w:val="right"/>
              <w:rPr>
                <w:rFonts w:cs="Arial"/>
                <w:szCs w:val="24"/>
                <w:lang w:eastAsia="en-GB"/>
              </w:rPr>
            </w:pPr>
            <w:r w:rsidRPr="00D948C1">
              <w:rPr>
                <w:szCs w:val="24"/>
              </w:rPr>
              <w:t>36,432</w:t>
            </w:r>
          </w:p>
        </w:tc>
        <w:tc>
          <w:tcPr>
            <w:tcW w:w="1565" w:type="dxa"/>
            <w:vAlign w:val="center"/>
          </w:tcPr>
          <w:p w14:paraId="178C545D" w14:textId="36FC1ECC" w:rsidR="00C93FB3" w:rsidRPr="00D948C1" w:rsidRDefault="00C93FB3" w:rsidP="006C0086">
            <w:pPr>
              <w:spacing w:line="276" w:lineRule="auto"/>
              <w:jc w:val="right"/>
              <w:rPr>
                <w:rFonts w:cs="Arial"/>
                <w:szCs w:val="24"/>
                <w:lang w:eastAsia="en-GB"/>
              </w:rPr>
            </w:pPr>
            <w:r w:rsidRPr="00D948C1">
              <w:rPr>
                <w:szCs w:val="24"/>
              </w:rPr>
              <w:t>24,708</w:t>
            </w:r>
          </w:p>
        </w:tc>
        <w:tc>
          <w:tcPr>
            <w:tcW w:w="1559" w:type="dxa"/>
            <w:shd w:val="clear" w:color="auto" w:fill="auto"/>
            <w:noWrap/>
            <w:vAlign w:val="center"/>
          </w:tcPr>
          <w:p w14:paraId="7D8D241C" w14:textId="1A437C5A" w:rsidR="00C93FB3" w:rsidRPr="00D948C1" w:rsidRDefault="00C93FB3" w:rsidP="006C0086">
            <w:pPr>
              <w:spacing w:line="276" w:lineRule="auto"/>
              <w:jc w:val="right"/>
              <w:rPr>
                <w:rFonts w:cs="Arial"/>
                <w:szCs w:val="24"/>
                <w:lang w:eastAsia="en-GB"/>
              </w:rPr>
            </w:pPr>
            <w:r w:rsidRPr="00D948C1">
              <w:rPr>
                <w:szCs w:val="24"/>
              </w:rPr>
              <w:t xml:space="preserve">143,015 </w:t>
            </w:r>
          </w:p>
        </w:tc>
      </w:tr>
      <w:tr w:rsidR="009A6091" w:rsidRPr="00D948C1" w14:paraId="2E2D0131" w14:textId="77777777" w:rsidTr="001B7B4F">
        <w:trPr>
          <w:trHeight w:val="212"/>
        </w:trPr>
        <w:tc>
          <w:tcPr>
            <w:tcW w:w="4144" w:type="dxa"/>
            <w:shd w:val="clear" w:color="auto" w:fill="auto"/>
            <w:noWrap/>
            <w:vAlign w:val="bottom"/>
          </w:tcPr>
          <w:p w14:paraId="38892235" w14:textId="1ADA61D3" w:rsidR="009A6091" w:rsidRPr="00D948C1" w:rsidRDefault="009A6091" w:rsidP="006C0086">
            <w:pPr>
              <w:spacing w:line="276" w:lineRule="auto"/>
              <w:ind w:left="175"/>
              <w:rPr>
                <w:rFonts w:cs="Arial"/>
                <w:szCs w:val="24"/>
                <w:lang w:eastAsia="en-GB"/>
              </w:rPr>
            </w:pPr>
            <w:r>
              <w:rPr>
                <w:rFonts w:cs="Arial"/>
                <w:szCs w:val="24"/>
                <w:lang w:eastAsia="en-GB"/>
              </w:rPr>
              <w:t>Adjustment to opening balance</w:t>
            </w:r>
          </w:p>
        </w:tc>
        <w:tc>
          <w:tcPr>
            <w:tcW w:w="1339" w:type="dxa"/>
            <w:shd w:val="clear" w:color="auto" w:fill="auto"/>
            <w:noWrap/>
            <w:vAlign w:val="center"/>
          </w:tcPr>
          <w:p w14:paraId="7FF20A7D" w14:textId="46E791FA" w:rsidR="009A6091" w:rsidRPr="00D948C1" w:rsidRDefault="009A6091" w:rsidP="006C0086">
            <w:pPr>
              <w:spacing w:line="276" w:lineRule="auto"/>
              <w:jc w:val="right"/>
              <w:rPr>
                <w:szCs w:val="24"/>
              </w:rPr>
            </w:pPr>
            <w:r>
              <w:rPr>
                <w:szCs w:val="24"/>
              </w:rPr>
              <w:t>-</w:t>
            </w:r>
          </w:p>
        </w:tc>
        <w:tc>
          <w:tcPr>
            <w:tcW w:w="1349" w:type="dxa"/>
            <w:vAlign w:val="center"/>
          </w:tcPr>
          <w:p w14:paraId="0389694E" w14:textId="3CD7F1BF" w:rsidR="009A6091" w:rsidRPr="00D948C1" w:rsidRDefault="009A6091" w:rsidP="006C0086">
            <w:pPr>
              <w:spacing w:line="276" w:lineRule="auto"/>
              <w:jc w:val="right"/>
              <w:rPr>
                <w:szCs w:val="24"/>
              </w:rPr>
            </w:pPr>
            <w:r>
              <w:rPr>
                <w:szCs w:val="24"/>
              </w:rPr>
              <w:t>-</w:t>
            </w:r>
          </w:p>
        </w:tc>
        <w:tc>
          <w:tcPr>
            <w:tcW w:w="1565" w:type="dxa"/>
            <w:vAlign w:val="center"/>
          </w:tcPr>
          <w:p w14:paraId="49998D9B" w14:textId="436202A1" w:rsidR="009A6091" w:rsidRPr="00D948C1" w:rsidRDefault="009A6091" w:rsidP="006C0086">
            <w:pPr>
              <w:spacing w:line="276" w:lineRule="auto"/>
              <w:jc w:val="right"/>
              <w:rPr>
                <w:szCs w:val="24"/>
              </w:rPr>
            </w:pPr>
            <w:r>
              <w:rPr>
                <w:szCs w:val="24"/>
              </w:rPr>
              <w:t>714</w:t>
            </w:r>
          </w:p>
        </w:tc>
        <w:tc>
          <w:tcPr>
            <w:tcW w:w="1559" w:type="dxa"/>
            <w:shd w:val="clear" w:color="auto" w:fill="auto"/>
            <w:noWrap/>
            <w:vAlign w:val="center"/>
          </w:tcPr>
          <w:p w14:paraId="22DA5CF6" w14:textId="220BB6F4" w:rsidR="009A6091" w:rsidRPr="00D948C1" w:rsidRDefault="009A6091" w:rsidP="006C0086">
            <w:pPr>
              <w:spacing w:line="276" w:lineRule="auto"/>
              <w:jc w:val="right"/>
              <w:rPr>
                <w:szCs w:val="24"/>
              </w:rPr>
            </w:pPr>
            <w:r>
              <w:rPr>
                <w:szCs w:val="24"/>
              </w:rPr>
              <w:t>714</w:t>
            </w:r>
          </w:p>
        </w:tc>
      </w:tr>
      <w:tr w:rsidR="009A6091" w:rsidRPr="00D948C1" w14:paraId="418FB422" w14:textId="77777777" w:rsidTr="001B7B4F">
        <w:trPr>
          <w:trHeight w:val="212"/>
        </w:trPr>
        <w:tc>
          <w:tcPr>
            <w:tcW w:w="4144" w:type="dxa"/>
            <w:shd w:val="clear" w:color="auto" w:fill="auto"/>
            <w:noWrap/>
            <w:vAlign w:val="bottom"/>
          </w:tcPr>
          <w:p w14:paraId="22147813" w14:textId="16BE21B2" w:rsidR="009A6091" w:rsidRPr="00D948C1" w:rsidRDefault="009A6091" w:rsidP="006C0086">
            <w:pPr>
              <w:spacing w:line="276" w:lineRule="auto"/>
              <w:ind w:left="175"/>
              <w:rPr>
                <w:rFonts w:cs="Arial"/>
                <w:szCs w:val="24"/>
                <w:lang w:eastAsia="en-GB"/>
              </w:rPr>
            </w:pPr>
            <w:r w:rsidRPr="00D948C1">
              <w:rPr>
                <w:rFonts w:cs="Arial"/>
                <w:szCs w:val="24"/>
                <w:lang w:eastAsia="en-GB"/>
              </w:rPr>
              <w:t>Additions</w:t>
            </w:r>
          </w:p>
        </w:tc>
        <w:tc>
          <w:tcPr>
            <w:tcW w:w="1339" w:type="dxa"/>
            <w:shd w:val="clear" w:color="auto" w:fill="auto"/>
            <w:noWrap/>
            <w:vAlign w:val="center"/>
          </w:tcPr>
          <w:p w14:paraId="064F2F65" w14:textId="323A6B2B" w:rsidR="009A6091" w:rsidRPr="00D948C1" w:rsidRDefault="009A6091" w:rsidP="006C0086">
            <w:pPr>
              <w:spacing w:line="276" w:lineRule="auto"/>
              <w:jc w:val="right"/>
              <w:rPr>
                <w:rFonts w:cs="Arial"/>
                <w:szCs w:val="24"/>
                <w:lang w:eastAsia="en-GB"/>
              </w:rPr>
            </w:pPr>
            <w:r w:rsidRPr="00D948C1">
              <w:rPr>
                <w:szCs w:val="24"/>
              </w:rPr>
              <w:t>228</w:t>
            </w:r>
          </w:p>
        </w:tc>
        <w:tc>
          <w:tcPr>
            <w:tcW w:w="1349" w:type="dxa"/>
            <w:vAlign w:val="center"/>
          </w:tcPr>
          <w:p w14:paraId="26D9FBE7" w14:textId="37D57019" w:rsidR="009A6091" w:rsidRPr="00D948C1" w:rsidRDefault="009A6091" w:rsidP="006C0086">
            <w:pPr>
              <w:spacing w:line="276" w:lineRule="auto"/>
              <w:jc w:val="right"/>
              <w:rPr>
                <w:rFonts w:cs="Arial"/>
                <w:szCs w:val="24"/>
                <w:lang w:eastAsia="en-GB"/>
              </w:rPr>
            </w:pPr>
            <w:r w:rsidRPr="00D948C1">
              <w:rPr>
                <w:szCs w:val="24"/>
              </w:rPr>
              <w:t>27</w:t>
            </w:r>
          </w:p>
        </w:tc>
        <w:tc>
          <w:tcPr>
            <w:tcW w:w="1565" w:type="dxa"/>
            <w:vAlign w:val="center"/>
          </w:tcPr>
          <w:p w14:paraId="13A187F7" w14:textId="1963469A" w:rsidR="009A6091" w:rsidRPr="00D948C1" w:rsidRDefault="009A6091" w:rsidP="006C0086">
            <w:pPr>
              <w:spacing w:line="276" w:lineRule="auto"/>
              <w:jc w:val="right"/>
              <w:rPr>
                <w:rFonts w:cs="Arial"/>
                <w:szCs w:val="24"/>
                <w:lang w:eastAsia="en-GB"/>
              </w:rPr>
            </w:pPr>
            <w:r w:rsidRPr="00D948C1">
              <w:rPr>
                <w:szCs w:val="24"/>
              </w:rPr>
              <w:t>5,</w:t>
            </w:r>
            <w:r w:rsidR="00F70902">
              <w:rPr>
                <w:szCs w:val="24"/>
              </w:rPr>
              <w:t>626</w:t>
            </w:r>
          </w:p>
        </w:tc>
        <w:tc>
          <w:tcPr>
            <w:tcW w:w="1559" w:type="dxa"/>
            <w:shd w:val="clear" w:color="auto" w:fill="auto"/>
            <w:noWrap/>
            <w:vAlign w:val="center"/>
          </w:tcPr>
          <w:p w14:paraId="36E9C74D" w14:textId="64C410DC" w:rsidR="009A6091" w:rsidRPr="00D948C1" w:rsidRDefault="009A6091" w:rsidP="006C0086">
            <w:pPr>
              <w:spacing w:line="276" w:lineRule="auto"/>
              <w:jc w:val="right"/>
              <w:rPr>
                <w:rFonts w:cs="Arial"/>
                <w:szCs w:val="24"/>
                <w:lang w:eastAsia="en-GB"/>
              </w:rPr>
            </w:pPr>
            <w:r w:rsidRPr="00D948C1">
              <w:rPr>
                <w:szCs w:val="24"/>
              </w:rPr>
              <w:t>5,</w:t>
            </w:r>
            <w:r w:rsidR="00542CCA">
              <w:rPr>
                <w:szCs w:val="24"/>
              </w:rPr>
              <w:t>881</w:t>
            </w:r>
          </w:p>
        </w:tc>
      </w:tr>
      <w:tr w:rsidR="009A6091" w:rsidRPr="00D948C1" w14:paraId="73FBCF6A" w14:textId="77777777" w:rsidTr="001B7B4F">
        <w:trPr>
          <w:trHeight w:val="212"/>
        </w:trPr>
        <w:tc>
          <w:tcPr>
            <w:tcW w:w="4144" w:type="dxa"/>
            <w:shd w:val="clear" w:color="auto" w:fill="auto"/>
            <w:noWrap/>
            <w:vAlign w:val="bottom"/>
          </w:tcPr>
          <w:p w14:paraId="40FE4A0D" w14:textId="42E3D5D8" w:rsidR="009A6091" w:rsidRPr="00D948C1" w:rsidRDefault="009A6091" w:rsidP="006C0086">
            <w:pPr>
              <w:spacing w:line="276" w:lineRule="auto"/>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39" w:type="dxa"/>
            <w:shd w:val="clear" w:color="auto" w:fill="auto"/>
            <w:noWrap/>
            <w:vAlign w:val="center"/>
          </w:tcPr>
          <w:p w14:paraId="766BBC6C" w14:textId="0B012129" w:rsidR="009A6091" w:rsidRPr="00D948C1" w:rsidRDefault="009A6091" w:rsidP="006C0086">
            <w:pPr>
              <w:spacing w:line="276" w:lineRule="auto"/>
              <w:jc w:val="right"/>
              <w:rPr>
                <w:rFonts w:cs="Arial"/>
                <w:szCs w:val="24"/>
                <w:lang w:eastAsia="en-GB"/>
              </w:rPr>
            </w:pPr>
            <w:r w:rsidRPr="00D948C1">
              <w:rPr>
                <w:szCs w:val="24"/>
              </w:rPr>
              <w:t>-</w:t>
            </w:r>
          </w:p>
        </w:tc>
        <w:tc>
          <w:tcPr>
            <w:tcW w:w="1349" w:type="dxa"/>
            <w:vAlign w:val="center"/>
          </w:tcPr>
          <w:p w14:paraId="1E286410" w14:textId="3798A288" w:rsidR="009A6091" w:rsidRPr="00D948C1" w:rsidRDefault="009A6091" w:rsidP="006C0086">
            <w:pPr>
              <w:spacing w:line="276" w:lineRule="auto"/>
              <w:jc w:val="right"/>
              <w:rPr>
                <w:rFonts w:cs="Arial"/>
                <w:szCs w:val="24"/>
                <w:lang w:eastAsia="en-GB"/>
              </w:rPr>
            </w:pPr>
            <w:r w:rsidRPr="00D948C1">
              <w:rPr>
                <w:szCs w:val="24"/>
              </w:rPr>
              <w:t>-</w:t>
            </w:r>
          </w:p>
        </w:tc>
        <w:tc>
          <w:tcPr>
            <w:tcW w:w="1565" w:type="dxa"/>
            <w:vAlign w:val="center"/>
          </w:tcPr>
          <w:p w14:paraId="0E9371CA" w14:textId="72A7FA5A" w:rsidR="009A6091" w:rsidRPr="00D948C1" w:rsidRDefault="009A6091" w:rsidP="006C0086">
            <w:pPr>
              <w:spacing w:line="276" w:lineRule="auto"/>
              <w:jc w:val="right"/>
              <w:rPr>
                <w:rFonts w:cs="Arial"/>
                <w:szCs w:val="24"/>
                <w:lang w:eastAsia="en-GB"/>
              </w:rPr>
            </w:pPr>
            <w:r w:rsidRPr="00D948C1">
              <w:rPr>
                <w:szCs w:val="24"/>
              </w:rPr>
              <w:t>(1,833)</w:t>
            </w:r>
          </w:p>
        </w:tc>
        <w:tc>
          <w:tcPr>
            <w:tcW w:w="1559" w:type="dxa"/>
            <w:shd w:val="clear" w:color="auto" w:fill="auto"/>
            <w:noWrap/>
            <w:vAlign w:val="center"/>
          </w:tcPr>
          <w:p w14:paraId="4980F9CB" w14:textId="15ADE71C" w:rsidR="009A6091" w:rsidRPr="00D948C1" w:rsidRDefault="009A6091" w:rsidP="006C0086">
            <w:pPr>
              <w:spacing w:line="276" w:lineRule="auto"/>
              <w:jc w:val="right"/>
              <w:rPr>
                <w:rFonts w:cs="Arial"/>
                <w:szCs w:val="24"/>
                <w:lang w:eastAsia="en-GB"/>
              </w:rPr>
            </w:pPr>
            <w:r w:rsidRPr="00D948C1">
              <w:rPr>
                <w:szCs w:val="24"/>
              </w:rPr>
              <w:t>(1,833)</w:t>
            </w:r>
          </w:p>
        </w:tc>
      </w:tr>
      <w:tr w:rsidR="009A6091" w:rsidRPr="00D948C1" w14:paraId="2778CBD6" w14:textId="77777777" w:rsidTr="001B7B4F">
        <w:trPr>
          <w:trHeight w:val="212"/>
        </w:trPr>
        <w:tc>
          <w:tcPr>
            <w:tcW w:w="4144" w:type="dxa"/>
            <w:shd w:val="clear" w:color="auto" w:fill="auto"/>
            <w:noWrap/>
            <w:vAlign w:val="bottom"/>
          </w:tcPr>
          <w:p w14:paraId="1E50FA37" w14:textId="3606820E" w:rsidR="009A6091" w:rsidRPr="00D948C1" w:rsidRDefault="009A6091" w:rsidP="006C0086">
            <w:pPr>
              <w:spacing w:line="276" w:lineRule="auto"/>
              <w:ind w:left="175"/>
              <w:rPr>
                <w:rFonts w:cs="Arial"/>
                <w:szCs w:val="24"/>
                <w:lang w:eastAsia="en-GB"/>
              </w:rPr>
            </w:pPr>
            <w:r>
              <w:rPr>
                <w:rFonts w:cs="Arial"/>
                <w:szCs w:val="24"/>
                <w:lang w:eastAsia="en-GB"/>
              </w:rPr>
              <w:t>Downward revaluation</w:t>
            </w:r>
            <w:r w:rsidRPr="00D948C1">
              <w:rPr>
                <w:rFonts w:cs="Arial"/>
                <w:szCs w:val="24"/>
                <w:lang w:eastAsia="en-GB"/>
              </w:rPr>
              <w:t xml:space="preserve"> recognised in the Revaluation Reserve</w:t>
            </w:r>
          </w:p>
        </w:tc>
        <w:tc>
          <w:tcPr>
            <w:tcW w:w="1339" w:type="dxa"/>
            <w:shd w:val="clear" w:color="auto" w:fill="auto"/>
            <w:noWrap/>
            <w:vAlign w:val="center"/>
          </w:tcPr>
          <w:p w14:paraId="239BC841" w14:textId="0DD553C3" w:rsidR="009A6091" w:rsidRPr="00D948C1" w:rsidRDefault="009A6091" w:rsidP="006C0086">
            <w:pPr>
              <w:spacing w:line="276" w:lineRule="auto"/>
              <w:jc w:val="right"/>
              <w:rPr>
                <w:szCs w:val="24"/>
              </w:rPr>
            </w:pPr>
            <w:r w:rsidRPr="00D948C1">
              <w:rPr>
                <w:szCs w:val="24"/>
              </w:rPr>
              <w:t>(3,870)</w:t>
            </w:r>
          </w:p>
        </w:tc>
        <w:tc>
          <w:tcPr>
            <w:tcW w:w="1349" w:type="dxa"/>
            <w:vAlign w:val="center"/>
          </w:tcPr>
          <w:p w14:paraId="2A5E28E7" w14:textId="17F2D046" w:rsidR="009A6091" w:rsidRPr="00D948C1" w:rsidRDefault="009A6091" w:rsidP="006C0086">
            <w:pPr>
              <w:spacing w:line="276" w:lineRule="auto"/>
              <w:jc w:val="right"/>
              <w:rPr>
                <w:rFonts w:cs="Arial"/>
                <w:szCs w:val="24"/>
                <w:lang w:eastAsia="en-GB"/>
              </w:rPr>
            </w:pPr>
            <w:r w:rsidRPr="00D948C1">
              <w:rPr>
                <w:szCs w:val="24"/>
              </w:rPr>
              <w:t>(365)</w:t>
            </w:r>
          </w:p>
        </w:tc>
        <w:tc>
          <w:tcPr>
            <w:tcW w:w="1565" w:type="dxa"/>
            <w:vAlign w:val="center"/>
          </w:tcPr>
          <w:p w14:paraId="7953DDBD" w14:textId="5C0560D3" w:rsidR="009A6091" w:rsidRPr="00D948C1" w:rsidRDefault="009A6091" w:rsidP="006C0086">
            <w:pPr>
              <w:spacing w:line="276" w:lineRule="auto"/>
              <w:jc w:val="right"/>
              <w:rPr>
                <w:rFonts w:cs="Arial"/>
                <w:szCs w:val="24"/>
                <w:lang w:eastAsia="en-GB"/>
              </w:rPr>
            </w:pPr>
            <w:r w:rsidRPr="00D948C1">
              <w:rPr>
                <w:szCs w:val="24"/>
              </w:rPr>
              <w:t>-</w:t>
            </w:r>
          </w:p>
        </w:tc>
        <w:tc>
          <w:tcPr>
            <w:tcW w:w="1559" w:type="dxa"/>
            <w:shd w:val="clear" w:color="auto" w:fill="auto"/>
            <w:noWrap/>
            <w:vAlign w:val="center"/>
          </w:tcPr>
          <w:p w14:paraId="216E81DD" w14:textId="3FFC8915" w:rsidR="009A6091" w:rsidRPr="00D948C1" w:rsidRDefault="009A6091" w:rsidP="006C0086">
            <w:pPr>
              <w:spacing w:line="276" w:lineRule="auto"/>
              <w:jc w:val="right"/>
              <w:rPr>
                <w:rFonts w:cs="Arial"/>
                <w:szCs w:val="24"/>
                <w:lang w:eastAsia="en-GB"/>
              </w:rPr>
            </w:pPr>
            <w:r w:rsidRPr="00D948C1">
              <w:rPr>
                <w:szCs w:val="24"/>
              </w:rPr>
              <w:t>(4,235)</w:t>
            </w:r>
          </w:p>
        </w:tc>
      </w:tr>
      <w:tr w:rsidR="009A6091" w:rsidRPr="00D948C1" w14:paraId="4F5CC55E" w14:textId="77777777" w:rsidTr="001B7B4F">
        <w:trPr>
          <w:trHeight w:val="499"/>
        </w:trPr>
        <w:tc>
          <w:tcPr>
            <w:tcW w:w="4144" w:type="dxa"/>
            <w:shd w:val="clear" w:color="auto" w:fill="auto"/>
            <w:noWrap/>
            <w:vAlign w:val="bottom"/>
          </w:tcPr>
          <w:p w14:paraId="60308E55" w14:textId="25B98699" w:rsidR="009A6091" w:rsidRPr="00D948C1" w:rsidRDefault="009A6091" w:rsidP="006C0086">
            <w:pPr>
              <w:spacing w:line="276" w:lineRule="auto"/>
              <w:ind w:left="175"/>
              <w:rPr>
                <w:rFonts w:cs="Arial"/>
                <w:szCs w:val="24"/>
                <w:lang w:eastAsia="en-GB"/>
              </w:rPr>
            </w:pPr>
            <w:r w:rsidRPr="00D948C1">
              <w:rPr>
                <w:rFonts w:cs="Arial"/>
                <w:szCs w:val="24"/>
                <w:lang w:eastAsia="en-GB"/>
              </w:rPr>
              <w:lastRenderedPageBreak/>
              <w:t>Impairment losses recognised in the CIES Provision of Services</w:t>
            </w:r>
          </w:p>
        </w:tc>
        <w:tc>
          <w:tcPr>
            <w:tcW w:w="1339" w:type="dxa"/>
            <w:shd w:val="clear" w:color="auto" w:fill="auto"/>
            <w:noWrap/>
            <w:vAlign w:val="center"/>
          </w:tcPr>
          <w:p w14:paraId="41D1388F" w14:textId="2F033D24" w:rsidR="009A6091" w:rsidRPr="00D948C1" w:rsidRDefault="009A6091" w:rsidP="006C0086">
            <w:pPr>
              <w:spacing w:line="276" w:lineRule="auto"/>
              <w:jc w:val="right"/>
              <w:rPr>
                <w:rFonts w:cs="Arial"/>
                <w:szCs w:val="24"/>
                <w:lang w:eastAsia="en-GB"/>
              </w:rPr>
            </w:pPr>
            <w:r w:rsidRPr="00D948C1">
              <w:rPr>
                <w:rFonts w:cs="Arial"/>
                <w:szCs w:val="24"/>
                <w:lang w:eastAsia="en-GB"/>
              </w:rPr>
              <w:t>(133)</w:t>
            </w:r>
          </w:p>
        </w:tc>
        <w:tc>
          <w:tcPr>
            <w:tcW w:w="1349" w:type="dxa"/>
            <w:vAlign w:val="center"/>
          </w:tcPr>
          <w:p w14:paraId="12738C16" w14:textId="5D9058A6" w:rsidR="009A6091" w:rsidRPr="00D948C1" w:rsidRDefault="009A6091" w:rsidP="006C0086">
            <w:pPr>
              <w:spacing w:line="276" w:lineRule="auto"/>
              <w:jc w:val="right"/>
              <w:rPr>
                <w:rFonts w:cs="Arial"/>
                <w:szCs w:val="24"/>
                <w:lang w:eastAsia="en-GB"/>
              </w:rPr>
            </w:pPr>
            <w:r w:rsidRPr="00D948C1">
              <w:rPr>
                <w:rFonts w:cs="Arial"/>
                <w:szCs w:val="24"/>
                <w:lang w:eastAsia="en-GB"/>
              </w:rPr>
              <w:t>-</w:t>
            </w:r>
          </w:p>
        </w:tc>
        <w:tc>
          <w:tcPr>
            <w:tcW w:w="1565" w:type="dxa"/>
            <w:vAlign w:val="center"/>
          </w:tcPr>
          <w:p w14:paraId="75D1DC10" w14:textId="05A5D224" w:rsidR="009A6091" w:rsidRPr="00D948C1" w:rsidRDefault="009A6091" w:rsidP="006C0086">
            <w:pPr>
              <w:spacing w:line="276" w:lineRule="auto"/>
              <w:jc w:val="right"/>
              <w:rPr>
                <w:rFonts w:cs="Arial"/>
                <w:szCs w:val="24"/>
                <w:lang w:eastAsia="en-GB"/>
              </w:rPr>
            </w:pPr>
            <w:r w:rsidRPr="00D948C1">
              <w:rPr>
                <w:rFonts w:cs="Arial"/>
                <w:szCs w:val="24"/>
                <w:lang w:eastAsia="en-GB"/>
              </w:rPr>
              <w:t>-</w:t>
            </w:r>
          </w:p>
        </w:tc>
        <w:tc>
          <w:tcPr>
            <w:tcW w:w="1559" w:type="dxa"/>
            <w:shd w:val="clear" w:color="auto" w:fill="auto"/>
            <w:noWrap/>
            <w:vAlign w:val="center"/>
          </w:tcPr>
          <w:p w14:paraId="0EF45B3C" w14:textId="552024FB" w:rsidR="009A6091" w:rsidRPr="00D948C1" w:rsidRDefault="009A6091" w:rsidP="006C0086">
            <w:pPr>
              <w:spacing w:line="276" w:lineRule="auto"/>
              <w:jc w:val="right"/>
              <w:rPr>
                <w:rFonts w:cs="Arial"/>
                <w:szCs w:val="24"/>
                <w:lang w:eastAsia="en-GB"/>
              </w:rPr>
            </w:pPr>
            <w:r w:rsidRPr="00D948C1">
              <w:rPr>
                <w:rFonts w:cs="Arial"/>
                <w:szCs w:val="24"/>
                <w:lang w:eastAsia="en-GB"/>
              </w:rPr>
              <w:t>(133)</w:t>
            </w:r>
          </w:p>
        </w:tc>
      </w:tr>
      <w:tr w:rsidR="009A6091" w:rsidRPr="00D948C1" w14:paraId="5A39695D" w14:textId="77777777" w:rsidTr="001B7B4F">
        <w:trPr>
          <w:trHeight w:val="212"/>
        </w:trPr>
        <w:tc>
          <w:tcPr>
            <w:tcW w:w="4144" w:type="dxa"/>
            <w:shd w:val="clear" w:color="auto" w:fill="auto"/>
            <w:noWrap/>
            <w:vAlign w:val="bottom"/>
          </w:tcPr>
          <w:p w14:paraId="3351E5D0" w14:textId="77777777" w:rsidR="009A6091" w:rsidRPr="00D948C1" w:rsidRDefault="009A6091" w:rsidP="006C0086">
            <w:pPr>
              <w:spacing w:line="276" w:lineRule="auto"/>
              <w:ind w:left="175"/>
              <w:rPr>
                <w:rFonts w:cs="Arial"/>
                <w:szCs w:val="24"/>
                <w:lang w:eastAsia="en-GB"/>
              </w:rPr>
            </w:pPr>
            <w:r w:rsidRPr="00D948C1">
              <w:rPr>
                <w:rFonts w:cs="Arial"/>
                <w:szCs w:val="24"/>
                <w:lang w:eastAsia="en-GB"/>
              </w:rPr>
              <w:t>Revaluations</w:t>
            </w:r>
          </w:p>
        </w:tc>
        <w:tc>
          <w:tcPr>
            <w:tcW w:w="1339" w:type="dxa"/>
            <w:shd w:val="clear" w:color="auto" w:fill="auto"/>
            <w:noWrap/>
            <w:vAlign w:val="center"/>
          </w:tcPr>
          <w:p w14:paraId="67EA1AE7" w14:textId="430FE40F" w:rsidR="009A6091" w:rsidRPr="00D948C1" w:rsidRDefault="009A6091" w:rsidP="006C0086">
            <w:pPr>
              <w:spacing w:line="276" w:lineRule="auto"/>
              <w:jc w:val="right"/>
              <w:rPr>
                <w:rFonts w:cs="Arial"/>
                <w:szCs w:val="24"/>
                <w:lang w:eastAsia="en-GB"/>
              </w:rPr>
            </w:pPr>
            <w:r w:rsidRPr="00D948C1">
              <w:rPr>
                <w:szCs w:val="24"/>
              </w:rPr>
              <w:t>1,142</w:t>
            </w:r>
          </w:p>
        </w:tc>
        <w:tc>
          <w:tcPr>
            <w:tcW w:w="1349" w:type="dxa"/>
            <w:vAlign w:val="center"/>
          </w:tcPr>
          <w:p w14:paraId="1B16EE8E" w14:textId="1B621DFD" w:rsidR="009A6091" w:rsidRPr="00D948C1" w:rsidRDefault="009A6091" w:rsidP="006C0086">
            <w:pPr>
              <w:spacing w:line="276" w:lineRule="auto"/>
              <w:jc w:val="right"/>
              <w:rPr>
                <w:rFonts w:cs="Arial"/>
                <w:szCs w:val="24"/>
                <w:lang w:eastAsia="en-GB"/>
              </w:rPr>
            </w:pPr>
            <w:r w:rsidRPr="00D948C1">
              <w:rPr>
                <w:szCs w:val="24"/>
              </w:rPr>
              <w:t>175</w:t>
            </w:r>
          </w:p>
        </w:tc>
        <w:tc>
          <w:tcPr>
            <w:tcW w:w="1565" w:type="dxa"/>
            <w:vAlign w:val="center"/>
          </w:tcPr>
          <w:p w14:paraId="59CA80DF" w14:textId="01B37765" w:rsidR="009A6091" w:rsidRPr="00D948C1" w:rsidRDefault="009A6091" w:rsidP="006C0086">
            <w:pPr>
              <w:spacing w:line="276" w:lineRule="auto"/>
              <w:jc w:val="right"/>
              <w:rPr>
                <w:rFonts w:cs="Arial"/>
                <w:szCs w:val="24"/>
                <w:lang w:eastAsia="en-GB"/>
              </w:rPr>
            </w:pPr>
            <w:r w:rsidRPr="00D948C1">
              <w:rPr>
                <w:szCs w:val="24"/>
              </w:rPr>
              <w:t>-</w:t>
            </w:r>
          </w:p>
        </w:tc>
        <w:tc>
          <w:tcPr>
            <w:tcW w:w="1559" w:type="dxa"/>
            <w:shd w:val="clear" w:color="auto" w:fill="auto"/>
            <w:noWrap/>
            <w:vAlign w:val="center"/>
          </w:tcPr>
          <w:p w14:paraId="48BEC932" w14:textId="4F68B139" w:rsidR="009A6091" w:rsidRPr="00D948C1" w:rsidRDefault="009A6091" w:rsidP="006C0086">
            <w:pPr>
              <w:spacing w:line="276" w:lineRule="auto"/>
              <w:jc w:val="right"/>
              <w:rPr>
                <w:rFonts w:cs="Arial"/>
                <w:szCs w:val="24"/>
                <w:lang w:eastAsia="en-GB"/>
              </w:rPr>
            </w:pPr>
            <w:r w:rsidRPr="00D948C1">
              <w:rPr>
                <w:rFonts w:cs="Arial"/>
                <w:szCs w:val="24"/>
                <w:lang w:eastAsia="en-GB"/>
              </w:rPr>
              <w:t>1,31</w:t>
            </w:r>
            <w:r w:rsidR="00542CCA">
              <w:rPr>
                <w:rFonts w:cs="Arial"/>
                <w:szCs w:val="24"/>
                <w:lang w:eastAsia="en-GB"/>
              </w:rPr>
              <w:t>8</w:t>
            </w:r>
          </w:p>
        </w:tc>
      </w:tr>
      <w:tr w:rsidR="009A6091" w:rsidRPr="00D948C1" w14:paraId="0C553F21" w14:textId="77777777" w:rsidTr="001B7B4F">
        <w:trPr>
          <w:trHeight w:val="212"/>
        </w:trPr>
        <w:tc>
          <w:tcPr>
            <w:tcW w:w="4144" w:type="dxa"/>
            <w:shd w:val="clear" w:color="auto" w:fill="auto"/>
            <w:noWrap/>
            <w:vAlign w:val="bottom"/>
          </w:tcPr>
          <w:p w14:paraId="678C0BB2" w14:textId="1AC9233B" w:rsidR="009A6091" w:rsidRPr="00D948C1" w:rsidRDefault="009A6091" w:rsidP="006C0086">
            <w:pPr>
              <w:spacing w:line="276" w:lineRule="auto"/>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2024</w:t>
            </w:r>
          </w:p>
        </w:tc>
        <w:tc>
          <w:tcPr>
            <w:tcW w:w="1339" w:type="dxa"/>
            <w:shd w:val="clear" w:color="auto" w:fill="auto"/>
            <w:noWrap/>
            <w:vAlign w:val="center"/>
          </w:tcPr>
          <w:p w14:paraId="02A98F9F" w14:textId="3F855B45" w:rsidR="009A6091" w:rsidRPr="00D948C1" w:rsidRDefault="009A6091" w:rsidP="006C0086">
            <w:pPr>
              <w:spacing w:line="276" w:lineRule="auto"/>
              <w:jc w:val="right"/>
              <w:rPr>
                <w:rFonts w:cs="Arial"/>
                <w:szCs w:val="24"/>
                <w:lang w:eastAsia="en-GB"/>
              </w:rPr>
            </w:pPr>
            <w:r w:rsidRPr="00D948C1">
              <w:rPr>
                <w:szCs w:val="24"/>
              </w:rPr>
              <w:t>79,242</w:t>
            </w:r>
          </w:p>
        </w:tc>
        <w:tc>
          <w:tcPr>
            <w:tcW w:w="1349" w:type="dxa"/>
            <w:vAlign w:val="center"/>
          </w:tcPr>
          <w:p w14:paraId="3DF78614" w14:textId="01605380" w:rsidR="009A6091" w:rsidRPr="00D948C1" w:rsidRDefault="009A6091" w:rsidP="006C0086">
            <w:pPr>
              <w:spacing w:line="276" w:lineRule="auto"/>
              <w:jc w:val="right"/>
              <w:rPr>
                <w:rFonts w:cs="Arial"/>
                <w:szCs w:val="24"/>
                <w:lang w:eastAsia="en-GB"/>
              </w:rPr>
            </w:pPr>
            <w:r w:rsidRPr="00D948C1">
              <w:rPr>
                <w:szCs w:val="24"/>
              </w:rPr>
              <w:t>36,270</w:t>
            </w:r>
          </w:p>
        </w:tc>
        <w:tc>
          <w:tcPr>
            <w:tcW w:w="1565" w:type="dxa"/>
            <w:vAlign w:val="center"/>
          </w:tcPr>
          <w:p w14:paraId="5BDF7366" w14:textId="29C275B8" w:rsidR="009A6091" w:rsidRPr="00D948C1" w:rsidRDefault="009A6091" w:rsidP="006C0086">
            <w:pPr>
              <w:spacing w:line="276" w:lineRule="auto"/>
              <w:jc w:val="right"/>
              <w:rPr>
                <w:rFonts w:cs="Arial"/>
                <w:szCs w:val="24"/>
                <w:lang w:eastAsia="en-GB"/>
              </w:rPr>
            </w:pPr>
            <w:r w:rsidRPr="00D948C1">
              <w:rPr>
                <w:szCs w:val="24"/>
              </w:rPr>
              <w:t>2</w:t>
            </w:r>
            <w:r w:rsidR="00F70902">
              <w:rPr>
                <w:szCs w:val="24"/>
              </w:rPr>
              <w:t>9,215</w:t>
            </w:r>
          </w:p>
        </w:tc>
        <w:tc>
          <w:tcPr>
            <w:tcW w:w="1559" w:type="dxa"/>
            <w:shd w:val="clear" w:color="auto" w:fill="auto"/>
            <w:noWrap/>
            <w:vAlign w:val="center"/>
          </w:tcPr>
          <w:p w14:paraId="265B017F" w14:textId="7F2AC1CE" w:rsidR="009A6091" w:rsidRPr="00D948C1" w:rsidRDefault="009A6091" w:rsidP="006C0086">
            <w:pPr>
              <w:spacing w:line="276" w:lineRule="auto"/>
              <w:jc w:val="right"/>
              <w:rPr>
                <w:rFonts w:cs="Arial"/>
                <w:szCs w:val="24"/>
                <w:lang w:eastAsia="en-GB"/>
              </w:rPr>
            </w:pPr>
            <w:r w:rsidRPr="00D948C1">
              <w:rPr>
                <w:szCs w:val="24"/>
              </w:rPr>
              <w:t>14</w:t>
            </w:r>
            <w:r w:rsidR="00542CCA">
              <w:rPr>
                <w:szCs w:val="24"/>
              </w:rPr>
              <w:t>4,727</w:t>
            </w:r>
          </w:p>
        </w:tc>
      </w:tr>
    </w:tbl>
    <w:p w14:paraId="43720E67" w14:textId="77777777" w:rsidR="00372872" w:rsidRPr="00D948C1" w:rsidRDefault="00372872" w:rsidP="006C0086">
      <w:pPr>
        <w:spacing w:line="276" w:lineRule="auto"/>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D948C1" w14:paraId="44D9A6FB" w14:textId="77777777" w:rsidTr="007641BA">
        <w:trPr>
          <w:trHeight w:val="212"/>
        </w:trPr>
        <w:tc>
          <w:tcPr>
            <w:tcW w:w="9956" w:type="dxa"/>
            <w:gridSpan w:val="5"/>
            <w:shd w:val="clear" w:color="auto" w:fill="D9D9D9" w:themeFill="background1" w:themeFillShade="D9"/>
            <w:noWrap/>
            <w:vAlign w:val="bottom"/>
          </w:tcPr>
          <w:p w14:paraId="6718FE1E" w14:textId="340D223C" w:rsidR="00FA71D8" w:rsidRPr="00D948C1" w:rsidRDefault="00FA71D8" w:rsidP="006C0086">
            <w:pPr>
              <w:spacing w:line="276" w:lineRule="auto"/>
              <w:rPr>
                <w:rFonts w:cs="Arial"/>
                <w:szCs w:val="24"/>
                <w:lang w:eastAsia="en-GB"/>
              </w:rPr>
            </w:pPr>
            <w:r w:rsidRPr="00D948C1">
              <w:rPr>
                <w:rFonts w:cs="Arial"/>
                <w:b/>
                <w:bCs/>
                <w:szCs w:val="24"/>
                <w:lang w:eastAsia="en-GB"/>
              </w:rPr>
              <w:t>Depreciation and impairments</w:t>
            </w:r>
          </w:p>
        </w:tc>
      </w:tr>
      <w:tr w:rsidR="009010CF" w:rsidRPr="00D948C1" w14:paraId="3074F9E6" w14:textId="77777777" w:rsidTr="008B00BF">
        <w:trPr>
          <w:trHeight w:val="212"/>
        </w:trPr>
        <w:tc>
          <w:tcPr>
            <w:tcW w:w="4144" w:type="dxa"/>
            <w:shd w:val="clear" w:color="auto" w:fill="auto"/>
            <w:noWrap/>
            <w:vAlign w:val="bottom"/>
          </w:tcPr>
          <w:p w14:paraId="6CE7BC1B" w14:textId="1B02EC7F" w:rsidR="009010CF" w:rsidRPr="00D948C1" w:rsidRDefault="009010CF" w:rsidP="006C0086">
            <w:pPr>
              <w:spacing w:line="276" w:lineRule="auto"/>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2023</w:t>
            </w:r>
          </w:p>
        </w:tc>
        <w:tc>
          <w:tcPr>
            <w:tcW w:w="1339" w:type="dxa"/>
            <w:shd w:val="clear" w:color="auto" w:fill="auto"/>
            <w:noWrap/>
            <w:vAlign w:val="center"/>
          </w:tcPr>
          <w:p w14:paraId="1128383F" w14:textId="2A760B11" w:rsidR="009010CF" w:rsidRPr="00D948C1" w:rsidRDefault="009010CF" w:rsidP="006C0086">
            <w:pPr>
              <w:spacing w:line="276" w:lineRule="auto"/>
              <w:jc w:val="right"/>
              <w:rPr>
                <w:rFonts w:cs="Arial"/>
                <w:szCs w:val="24"/>
                <w:lang w:eastAsia="en-GB"/>
              </w:rPr>
            </w:pPr>
            <w:r w:rsidRPr="00D948C1">
              <w:rPr>
                <w:rFonts w:cs="Arial"/>
                <w:szCs w:val="24"/>
              </w:rPr>
              <w:t>20</w:t>
            </w:r>
          </w:p>
        </w:tc>
        <w:tc>
          <w:tcPr>
            <w:tcW w:w="1354" w:type="dxa"/>
            <w:vAlign w:val="center"/>
          </w:tcPr>
          <w:p w14:paraId="4F0273AC" w14:textId="69D3A4EB" w:rsidR="009010CF" w:rsidRPr="00D948C1" w:rsidRDefault="009010CF" w:rsidP="006C0086">
            <w:pPr>
              <w:spacing w:line="276" w:lineRule="auto"/>
              <w:jc w:val="right"/>
              <w:rPr>
                <w:rFonts w:cs="Arial"/>
                <w:szCs w:val="24"/>
                <w:lang w:eastAsia="en-GB"/>
              </w:rPr>
            </w:pPr>
            <w:r w:rsidRPr="00D948C1">
              <w:rPr>
                <w:rFonts w:cs="Arial"/>
                <w:szCs w:val="24"/>
              </w:rPr>
              <w:t>-</w:t>
            </w:r>
          </w:p>
        </w:tc>
        <w:tc>
          <w:tcPr>
            <w:tcW w:w="1560" w:type="dxa"/>
            <w:vAlign w:val="center"/>
          </w:tcPr>
          <w:p w14:paraId="2C1C5C76" w14:textId="530006E4" w:rsidR="009010CF" w:rsidRPr="00D948C1" w:rsidRDefault="009010CF" w:rsidP="006C0086">
            <w:pPr>
              <w:spacing w:line="276" w:lineRule="auto"/>
              <w:jc w:val="right"/>
              <w:rPr>
                <w:rFonts w:cs="Arial"/>
                <w:szCs w:val="24"/>
                <w:lang w:eastAsia="en-GB"/>
              </w:rPr>
            </w:pPr>
            <w:r w:rsidRPr="00D948C1">
              <w:rPr>
                <w:rFonts w:cs="Arial"/>
                <w:szCs w:val="24"/>
              </w:rPr>
              <w:t>(17,318)</w:t>
            </w:r>
          </w:p>
        </w:tc>
        <w:tc>
          <w:tcPr>
            <w:tcW w:w="1559" w:type="dxa"/>
            <w:shd w:val="clear" w:color="auto" w:fill="auto"/>
            <w:noWrap/>
            <w:vAlign w:val="center"/>
          </w:tcPr>
          <w:p w14:paraId="5713DF93" w14:textId="1E8DA412" w:rsidR="009010CF" w:rsidRPr="00D948C1" w:rsidRDefault="009010CF" w:rsidP="006C0086">
            <w:pPr>
              <w:spacing w:line="276" w:lineRule="auto"/>
              <w:jc w:val="right"/>
              <w:rPr>
                <w:rFonts w:cs="Arial"/>
                <w:szCs w:val="24"/>
                <w:lang w:eastAsia="en-GB"/>
              </w:rPr>
            </w:pPr>
            <w:r w:rsidRPr="00D948C1">
              <w:rPr>
                <w:rFonts w:cs="Arial"/>
                <w:szCs w:val="24"/>
              </w:rPr>
              <w:t>(17,298)</w:t>
            </w:r>
          </w:p>
        </w:tc>
      </w:tr>
      <w:tr w:rsidR="009A6091" w:rsidRPr="00D948C1" w14:paraId="0C069E45" w14:textId="77777777" w:rsidTr="008B00BF">
        <w:trPr>
          <w:trHeight w:val="212"/>
        </w:trPr>
        <w:tc>
          <w:tcPr>
            <w:tcW w:w="4144" w:type="dxa"/>
            <w:shd w:val="clear" w:color="auto" w:fill="auto"/>
            <w:noWrap/>
            <w:vAlign w:val="bottom"/>
          </w:tcPr>
          <w:p w14:paraId="7949ADA7" w14:textId="29B0DDB2" w:rsidR="009A6091" w:rsidRPr="00D948C1" w:rsidRDefault="009A6091" w:rsidP="006C0086">
            <w:pPr>
              <w:spacing w:line="276" w:lineRule="auto"/>
              <w:ind w:left="175"/>
              <w:rPr>
                <w:rFonts w:cs="Arial"/>
                <w:szCs w:val="24"/>
                <w:lang w:eastAsia="en-GB"/>
              </w:rPr>
            </w:pPr>
            <w:r>
              <w:rPr>
                <w:rFonts w:cs="Arial"/>
                <w:szCs w:val="24"/>
                <w:lang w:eastAsia="en-GB"/>
              </w:rPr>
              <w:t>Adjustment to opening balance</w:t>
            </w:r>
          </w:p>
        </w:tc>
        <w:tc>
          <w:tcPr>
            <w:tcW w:w="1339" w:type="dxa"/>
            <w:shd w:val="clear" w:color="auto" w:fill="auto"/>
            <w:noWrap/>
            <w:vAlign w:val="center"/>
          </w:tcPr>
          <w:p w14:paraId="1A97E664" w14:textId="0135C7F1" w:rsidR="009A6091" w:rsidRPr="00D948C1" w:rsidRDefault="009A6091" w:rsidP="006C0086">
            <w:pPr>
              <w:spacing w:line="276" w:lineRule="auto"/>
              <w:jc w:val="right"/>
              <w:rPr>
                <w:rFonts w:cs="Arial"/>
                <w:szCs w:val="24"/>
              </w:rPr>
            </w:pPr>
            <w:r>
              <w:rPr>
                <w:szCs w:val="24"/>
              </w:rPr>
              <w:t>-</w:t>
            </w:r>
          </w:p>
        </w:tc>
        <w:tc>
          <w:tcPr>
            <w:tcW w:w="1354" w:type="dxa"/>
            <w:vAlign w:val="center"/>
          </w:tcPr>
          <w:p w14:paraId="506E5495" w14:textId="0744069A" w:rsidR="009A6091" w:rsidRPr="00D948C1" w:rsidRDefault="009A6091" w:rsidP="006C0086">
            <w:pPr>
              <w:spacing w:line="276" w:lineRule="auto"/>
              <w:jc w:val="right"/>
              <w:rPr>
                <w:rFonts w:cs="Arial"/>
                <w:szCs w:val="24"/>
              </w:rPr>
            </w:pPr>
            <w:r>
              <w:rPr>
                <w:szCs w:val="24"/>
              </w:rPr>
              <w:t>-</w:t>
            </w:r>
          </w:p>
        </w:tc>
        <w:tc>
          <w:tcPr>
            <w:tcW w:w="1560" w:type="dxa"/>
            <w:vAlign w:val="center"/>
          </w:tcPr>
          <w:p w14:paraId="33AFB232" w14:textId="633C93BE" w:rsidR="009A6091" w:rsidRPr="00D948C1" w:rsidRDefault="009A6091" w:rsidP="006C0086">
            <w:pPr>
              <w:spacing w:line="276" w:lineRule="auto"/>
              <w:jc w:val="right"/>
              <w:rPr>
                <w:rFonts w:cs="Arial"/>
                <w:szCs w:val="24"/>
              </w:rPr>
            </w:pPr>
            <w:r>
              <w:rPr>
                <w:rFonts w:cs="Arial"/>
                <w:szCs w:val="24"/>
              </w:rPr>
              <w:t>(257)</w:t>
            </w:r>
          </w:p>
        </w:tc>
        <w:tc>
          <w:tcPr>
            <w:tcW w:w="1559" w:type="dxa"/>
            <w:shd w:val="clear" w:color="auto" w:fill="auto"/>
            <w:noWrap/>
            <w:vAlign w:val="center"/>
          </w:tcPr>
          <w:p w14:paraId="7653E860" w14:textId="66112A42" w:rsidR="009A6091" w:rsidRPr="00D948C1" w:rsidRDefault="009A6091" w:rsidP="006C0086">
            <w:pPr>
              <w:spacing w:line="276" w:lineRule="auto"/>
              <w:jc w:val="right"/>
              <w:rPr>
                <w:rFonts w:cs="Arial"/>
                <w:szCs w:val="24"/>
              </w:rPr>
            </w:pPr>
            <w:r>
              <w:rPr>
                <w:rFonts w:cs="Arial"/>
                <w:szCs w:val="24"/>
              </w:rPr>
              <w:t>(257)</w:t>
            </w:r>
          </w:p>
        </w:tc>
      </w:tr>
      <w:tr w:rsidR="009A6091" w:rsidRPr="00D948C1" w14:paraId="4F529EF0" w14:textId="77777777" w:rsidTr="008B00BF">
        <w:trPr>
          <w:trHeight w:val="212"/>
        </w:trPr>
        <w:tc>
          <w:tcPr>
            <w:tcW w:w="4144" w:type="dxa"/>
            <w:shd w:val="clear" w:color="auto" w:fill="auto"/>
            <w:noWrap/>
            <w:vAlign w:val="bottom"/>
          </w:tcPr>
          <w:p w14:paraId="12A3AAD3" w14:textId="28F80BA0" w:rsidR="009A6091" w:rsidRPr="00D948C1" w:rsidRDefault="009A6091" w:rsidP="006C0086">
            <w:pPr>
              <w:spacing w:line="276" w:lineRule="auto"/>
              <w:ind w:left="175"/>
              <w:rPr>
                <w:rFonts w:cs="Arial"/>
                <w:szCs w:val="24"/>
                <w:lang w:eastAsia="en-GB"/>
              </w:rPr>
            </w:pPr>
            <w:r w:rsidRPr="00D948C1">
              <w:rPr>
                <w:rFonts w:cs="Arial"/>
                <w:szCs w:val="24"/>
                <w:lang w:eastAsia="en-GB"/>
              </w:rPr>
              <w:t>Depreciation charge for 2023/24</w:t>
            </w:r>
          </w:p>
        </w:tc>
        <w:tc>
          <w:tcPr>
            <w:tcW w:w="1339" w:type="dxa"/>
            <w:shd w:val="clear" w:color="auto" w:fill="auto"/>
            <w:noWrap/>
            <w:vAlign w:val="center"/>
          </w:tcPr>
          <w:p w14:paraId="2BDD11F5" w14:textId="0B8E4049" w:rsidR="009A6091" w:rsidRPr="00D948C1" w:rsidRDefault="009A6091" w:rsidP="006C0086">
            <w:pPr>
              <w:spacing w:line="276" w:lineRule="auto"/>
              <w:jc w:val="right"/>
              <w:rPr>
                <w:rFonts w:cs="Arial"/>
                <w:szCs w:val="24"/>
                <w:lang w:eastAsia="en-GB"/>
              </w:rPr>
            </w:pPr>
            <w:r w:rsidRPr="00D948C1">
              <w:rPr>
                <w:rFonts w:cs="Arial"/>
                <w:szCs w:val="24"/>
              </w:rPr>
              <w:t>(3,104)</w:t>
            </w:r>
          </w:p>
        </w:tc>
        <w:tc>
          <w:tcPr>
            <w:tcW w:w="1354" w:type="dxa"/>
            <w:vAlign w:val="center"/>
          </w:tcPr>
          <w:p w14:paraId="5B06AB69" w14:textId="79591C0A" w:rsidR="009A6091" w:rsidRPr="00D948C1" w:rsidRDefault="009A6091" w:rsidP="006C0086">
            <w:pPr>
              <w:spacing w:line="276" w:lineRule="auto"/>
              <w:jc w:val="right"/>
              <w:rPr>
                <w:rFonts w:cs="Arial"/>
                <w:szCs w:val="24"/>
                <w:lang w:eastAsia="en-GB"/>
              </w:rPr>
            </w:pPr>
            <w:r w:rsidRPr="00D948C1">
              <w:rPr>
                <w:rFonts w:cs="Arial"/>
                <w:szCs w:val="24"/>
              </w:rPr>
              <w:t>(1,040)</w:t>
            </w:r>
          </w:p>
        </w:tc>
        <w:tc>
          <w:tcPr>
            <w:tcW w:w="1560" w:type="dxa"/>
            <w:vAlign w:val="center"/>
          </w:tcPr>
          <w:p w14:paraId="29EAB8F5" w14:textId="08F9279D" w:rsidR="009A6091" w:rsidRPr="00D948C1" w:rsidRDefault="009A6091" w:rsidP="006C0086">
            <w:pPr>
              <w:spacing w:line="276" w:lineRule="auto"/>
              <w:jc w:val="right"/>
              <w:rPr>
                <w:rFonts w:cs="Arial"/>
                <w:szCs w:val="24"/>
                <w:lang w:eastAsia="en-GB"/>
              </w:rPr>
            </w:pPr>
            <w:r w:rsidRPr="00D948C1">
              <w:rPr>
                <w:rFonts w:cs="Arial"/>
                <w:szCs w:val="24"/>
              </w:rPr>
              <w:t>(1,</w:t>
            </w:r>
            <w:r w:rsidR="00F70902">
              <w:rPr>
                <w:rFonts w:cs="Arial"/>
                <w:szCs w:val="24"/>
              </w:rPr>
              <w:t>589</w:t>
            </w:r>
            <w:r w:rsidRPr="00D948C1">
              <w:rPr>
                <w:rFonts w:cs="Arial"/>
                <w:szCs w:val="24"/>
              </w:rPr>
              <w:t>)</w:t>
            </w:r>
          </w:p>
        </w:tc>
        <w:tc>
          <w:tcPr>
            <w:tcW w:w="1559" w:type="dxa"/>
            <w:shd w:val="clear" w:color="auto" w:fill="auto"/>
            <w:noWrap/>
            <w:vAlign w:val="center"/>
          </w:tcPr>
          <w:p w14:paraId="2CC6525E" w14:textId="58984D3E" w:rsidR="009A6091" w:rsidRPr="00D948C1" w:rsidRDefault="009A6091" w:rsidP="006C0086">
            <w:pPr>
              <w:spacing w:line="276" w:lineRule="auto"/>
              <w:jc w:val="right"/>
              <w:rPr>
                <w:rFonts w:cs="Arial"/>
                <w:szCs w:val="24"/>
                <w:lang w:eastAsia="en-GB"/>
              </w:rPr>
            </w:pPr>
            <w:r w:rsidRPr="00D948C1">
              <w:rPr>
                <w:rFonts w:cs="Arial"/>
                <w:szCs w:val="24"/>
              </w:rPr>
              <w:t>(5,</w:t>
            </w:r>
            <w:r w:rsidR="00542CCA">
              <w:rPr>
                <w:rFonts w:cs="Arial"/>
                <w:szCs w:val="24"/>
              </w:rPr>
              <w:t>732</w:t>
            </w:r>
            <w:r w:rsidRPr="00D948C1">
              <w:rPr>
                <w:rFonts w:cs="Arial"/>
                <w:szCs w:val="24"/>
              </w:rPr>
              <w:t>)</w:t>
            </w:r>
          </w:p>
        </w:tc>
      </w:tr>
      <w:tr w:rsidR="009A6091" w:rsidRPr="00D948C1" w14:paraId="4E32CA31" w14:textId="77777777" w:rsidTr="008B00BF">
        <w:trPr>
          <w:trHeight w:val="249"/>
        </w:trPr>
        <w:tc>
          <w:tcPr>
            <w:tcW w:w="4144" w:type="dxa"/>
            <w:shd w:val="clear" w:color="auto" w:fill="auto"/>
            <w:noWrap/>
            <w:vAlign w:val="bottom"/>
          </w:tcPr>
          <w:p w14:paraId="2FA83F45" w14:textId="56636D13" w:rsidR="009A6091" w:rsidRPr="00D948C1" w:rsidRDefault="009A6091" w:rsidP="006C0086">
            <w:pPr>
              <w:spacing w:line="276" w:lineRule="auto"/>
              <w:ind w:left="175"/>
              <w:rPr>
                <w:rFonts w:cs="Arial"/>
                <w:szCs w:val="24"/>
                <w:lang w:eastAsia="en-GB"/>
              </w:rPr>
            </w:pPr>
            <w:r w:rsidRPr="00D948C1">
              <w:rPr>
                <w:rFonts w:cs="Arial"/>
                <w:szCs w:val="24"/>
                <w:lang w:eastAsia="en-GB"/>
              </w:rPr>
              <w:t>Disposals</w:t>
            </w:r>
            <w:r>
              <w:rPr>
                <w:rFonts w:cs="Arial"/>
                <w:szCs w:val="24"/>
                <w:lang w:eastAsia="en-GB"/>
              </w:rPr>
              <w:t>/De-recognitions</w:t>
            </w:r>
          </w:p>
        </w:tc>
        <w:tc>
          <w:tcPr>
            <w:tcW w:w="1339" w:type="dxa"/>
            <w:shd w:val="clear" w:color="auto" w:fill="auto"/>
            <w:noWrap/>
            <w:vAlign w:val="center"/>
          </w:tcPr>
          <w:p w14:paraId="64900AFD" w14:textId="5F604A1C" w:rsidR="009A6091" w:rsidRPr="00D948C1" w:rsidRDefault="009A6091" w:rsidP="006C0086">
            <w:pPr>
              <w:spacing w:line="276" w:lineRule="auto"/>
              <w:jc w:val="right"/>
              <w:rPr>
                <w:rFonts w:cs="Arial"/>
                <w:szCs w:val="24"/>
                <w:lang w:eastAsia="en-GB"/>
              </w:rPr>
            </w:pPr>
            <w:r w:rsidRPr="00D948C1">
              <w:rPr>
                <w:rFonts w:cs="Arial"/>
                <w:szCs w:val="24"/>
              </w:rPr>
              <w:t>-</w:t>
            </w:r>
          </w:p>
        </w:tc>
        <w:tc>
          <w:tcPr>
            <w:tcW w:w="1354" w:type="dxa"/>
            <w:vAlign w:val="center"/>
          </w:tcPr>
          <w:p w14:paraId="05026C59" w14:textId="6BC0CEBE" w:rsidR="009A6091" w:rsidRPr="00D948C1" w:rsidRDefault="009A6091" w:rsidP="006C0086">
            <w:pPr>
              <w:spacing w:line="276" w:lineRule="auto"/>
              <w:jc w:val="right"/>
              <w:rPr>
                <w:rFonts w:cs="Arial"/>
                <w:szCs w:val="24"/>
                <w:lang w:eastAsia="en-GB"/>
              </w:rPr>
            </w:pPr>
            <w:r w:rsidRPr="00D948C1">
              <w:rPr>
                <w:rFonts w:cs="Arial"/>
                <w:szCs w:val="24"/>
              </w:rPr>
              <w:t>-</w:t>
            </w:r>
          </w:p>
        </w:tc>
        <w:tc>
          <w:tcPr>
            <w:tcW w:w="1560" w:type="dxa"/>
            <w:vAlign w:val="center"/>
          </w:tcPr>
          <w:p w14:paraId="49033D0A" w14:textId="52BA4400" w:rsidR="009A6091" w:rsidRPr="00D948C1" w:rsidRDefault="009A6091" w:rsidP="006C0086">
            <w:pPr>
              <w:spacing w:line="276" w:lineRule="auto"/>
              <w:jc w:val="right"/>
              <w:rPr>
                <w:rFonts w:cs="Arial"/>
                <w:szCs w:val="24"/>
                <w:lang w:eastAsia="en-GB"/>
              </w:rPr>
            </w:pPr>
            <w:r w:rsidRPr="00D948C1">
              <w:rPr>
                <w:rFonts w:cs="Arial"/>
                <w:szCs w:val="24"/>
              </w:rPr>
              <w:t>1,785</w:t>
            </w:r>
          </w:p>
        </w:tc>
        <w:tc>
          <w:tcPr>
            <w:tcW w:w="1559" w:type="dxa"/>
            <w:shd w:val="clear" w:color="auto" w:fill="auto"/>
            <w:noWrap/>
            <w:vAlign w:val="center"/>
          </w:tcPr>
          <w:p w14:paraId="1C499701" w14:textId="6BBF840D" w:rsidR="009A6091" w:rsidRPr="00D948C1" w:rsidRDefault="009A6091" w:rsidP="006C0086">
            <w:pPr>
              <w:spacing w:line="276" w:lineRule="auto"/>
              <w:jc w:val="right"/>
              <w:rPr>
                <w:rFonts w:cs="Arial"/>
                <w:szCs w:val="24"/>
                <w:lang w:eastAsia="en-GB"/>
              </w:rPr>
            </w:pPr>
            <w:r w:rsidRPr="00D948C1">
              <w:rPr>
                <w:rFonts w:cs="Arial"/>
                <w:szCs w:val="24"/>
                <w:lang w:eastAsia="en-GB"/>
              </w:rPr>
              <w:t>1,785</w:t>
            </w:r>
          </w:p>
        </w:tc>
      </w:tr>
      <w:tr w:rsidR="009A6091" w:rsidRPr="00D948C1" w14:paraId="377D3D36" w14:textId="77777777" w:rsidTr="008B00BF">
        <w:trPr>
          <w:trHeight w:val="249"/>
        </w:trPr>
        <w:tc>
          <w:tcPr>
            <w:tcW w:w="4144" w:type="dxa"/>
            <w:shd w:val="clear" w:color="auto" w:fill="auto"/>
            <w:noWrap/>
            <w:vAlign w:val="bottom"/>
          </w:tcPr>
          <w:p w14:paraId="50718B95" w14:textId="11ECF5F6" w:rsidR="009A6091" w:rsidRPr="00D948C1" w:rsidRDefault="009A6091" w:rsidP="006C0086">
            <w:pPr>
              <w:spacing w:line="276" w:lineRule="auto"/>
              <w:ind w:left="175"/>
              <w:rPr>
                <w:rFonts w:cs="Arial"/>
                <w:szCs w:val="24"/>
                <w:lang w:eastAsia="en-GB"/>
              </w:rPr>
            </w:pPr>
            <w:r w:rsidRPr="00D948C1">
              <w:rPr>
                <w:rFonts w:cs="Arial"/>
                <w:szCs w:val="24"/>
                <w:lang w:eastAsia="en-GB"/>
              </w:rPr>
              <w:t>Revaluations</w:t>
            </w:r>
          </w:p>
        </w:tc>
        <w:tc>
          <w:tcPr>
            <w:tcW w:w="1339" w:type="dxa"/>
            <w:shd w:val="clear" w:color="auto" w:fill="auto"/>
            <w:noWrap/>
            <w:vAlign w:val="center"/>
          </w:tcPr>
          <w:p w14:paraId="2F04B2AA" w14:textId="26F58F2F" w:rsidR="009A6091" w:rsidRPr="00D948C1" w:rsidRDefault="009A6091" w:rsidP="006C0086">
            <w:pPr>
              <w:spacing w:line="276" w:lineRule="auto"/>
              <w:jc w:val="right"/>
              <w:rPr>
                <w:rFonts w:cs="Arial"/>
                <w:szCs w:val="24"/>
              </w:rPr>
            </w:pPr>
            <w:r w:rsidRPr="00D948C1">
              <w:rPr>
                <w:rFonts w:cs="Arial"/>
                <w:szCs w:val="24"/>
              </w:rPr>
              <w:t>3,084</w:t>
            </w:r>
          </w:p>
        </w:tc>
        <w:tc>
          <w:tcPr>
            <w:tcW w:w="1354" w:type="dxa"/>
            <w:vAlign w:val="center"/>
          </w:tcPr>
          <w:p w14:paraId="6246EDEF" w14:textId="4A0EC2B0" w:rsidR="009A6091" w:rsidRPr="00D948C1" w:rsidRDefault="009A6091" w:rsidP="006C0086">
            <w:pPr>
              <w:spacing w:line="276" w:lineRule="auto"/>
              <w:jc w:val="right"/>
              <w:rPr>
                <w:rFonts w:cs="Arial"/>
                <w:szCs w:val="24"/>
              </w:rPr>
            </w:pPr>
            <w:r w:rsidRPr="00D948C1">
              <w:rPr>
                <w:rFonts w:cs="Arial"/>
                <w:szCs w:val="24"/>
              </w:rPr>
              <w:t>1,040</w:t>
            </w:r>
          </w:p>
        </w:tc>
        <w:tc>
          <w:tcPr>
            <w:tcW w:w="1560" w:type="dxa"/>
            <w:vAlign w:val="center"/>
          </w:tcPr>
          <w:p w14:paraId="5622E348" w14:textId="1E081E42" w:rsidR="009A6091" w:rsidRPr="00D948C1" w:rsidRDefault="009A6091" w:rsidP="006C0086">
            <w:pPr>
              <w:spacing w:line="276" w:lineRule="auto"/>
              <w:jc w:val="right"/>
              <w:rPr>
                <w:rFonts w:cs="Arial"/>
                <w:szCs w:val="24"/>
              </w:rPr>
            </w:pPr>
            <w:r w:rsidRPr="00D948C1">
              <w:rPr>
                <w:rFonts w:cs="Arial"/>
                <w:szCs w:val="24"/>
              </w:rPr>
              <w:t>-</w:t>
            </w:r>
          </w:p>
        </w:tc>
        <w:tc>
          <w:tcPr>
            <w:tcW w:w="1559" w:type="dxa"/>
            <w:shd w:val="clear" w:color="auto" w:fill="auto"/>
            <w:noWrap/>
            <w:vAlign w:val="center"/>
          </w:tcPr>
          <w:p w14:paraId="13762BDB" w14:textId="1CE4D752" w:rsidR="009A6091" w:rsidRPr="00D948C1" w:rsidRDefault="009A6091" w:rsidP="006C0086">
            <w:pPr>
              <w:spacing w:line="276" w:lineRule="auto"/>
              <w:jc w:val="right"/>
              <w:rPr>
                <w:rFonts w:cs="Arial"/>
                <w:szCs w:val="24"/>
              </w:rPr>
            </w:pPr>
            <w:r w:rsidRPr="00D948C1">
              <w:rPr>
                <w:rFonts w:cs="Arial"/>
                <w:szCs w:val="24"/>
              </w:rPr>
              <w:t>4,123</w:t>
            </w:r>
          </w:p>
        </w:tc>
      </w:tr>
      <w:tr w:rsidR="009A6091" w:rsidRPr="00D948C1" w14:paraId="4F4AEA5C" w14:textId="77777777" w:rsidTr="008B00BF">
        <w:trPr>
          <w:trHeight w:val="254"/>
        </w:trPr>
        <w:tc>
          <w:tcPr>
            <w:tcW w:w="4144" w:type="dxa"/>
            <w:shd w:val="clear" w:color="auto" w:fill="auto"/>
            <w:noWrap/>
            <w:vAlign w:val="bottom"/>
          </w:tcPr>
          <w:p w14:paraId="24F932C1" w14:textId="214FE188" w:rsidR="009A6091" w:rsidRPr="00D948C1" w:rsidRDefault="009A6091" w:rsidP="006C0086">
            <w:pPr>
              <w:spacing w:line="276" w:lineRule="auto"/>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2024</w:t>
            </w:r>
          </w:p>
        </w:tc>
        <w:tc>
          <w:tcPr>
            <w:tcW w:w="1339" w:type="dxa"/>
            <w:shd w:val="clear" w:color="auto" w:fill="auto"/>
            <w:noWrap/>
            <w:vAlign w:val="center"/>
          </w:tcPr>
          <w:p w14:paraId="071CD9ED" w14:textId="75D6125E" w:rsidR="009A6091" w:rsidRPr="00D948C1" w:rsidRDefault="009A6091" w:rsidP="006C0086">
            <w:pPr>
              <w:spacing w:line="276" w:lineRule="auto"/>
              <w:jc w:val="right"/>
              <w:rPr>
                <w:rFonts w:cs="Arial"/>
                <w:szCs w:val="24"/>
                <w:lang w:eastAsia="en-GB"/>
              </w:rPr>
            </w:pPr>
            <w:r w:rsidRPr="00D948C1">
              <w:rPr>
                <w:rFonts w:cs="Arial"/>
                <w:szCs w:val="24"/>
              </w:rPr>
              <w:t>-</w:t>
            </w:r>
          </w:p>
        </w:tc>
        <w:tc>
          <w:tcPr>
            <w:tcW w:w="1354" w:type="dxa"/>
            <w:vAlign w:val="center"/>
          </w:tcPr>
          <w:p w14:paraId="78E11B55" w14:textId="789622CD" w:rsidR="009A6091" w:rsidRPr="00D948C1" w:rsidRDefault="009A6091" w:rsidP="006C0086">
            <w:pPr>
              <w:spacing w:line="276" w:lineRule="auto"/>
              <w:jc w:val="right"/>
              <w:rPr>
                <w:rFonts w:cs="Arial"/>
                <w:szCs w:val="24"/>
                <w:lang w:eastAsia="en-GB"/>
              </w:rPr>
            </w:pPr>
            <w:r w:rsidRPr="00D948C1">
              <w:rPr>
                <w:rFonts w:cs="Arial"/>
                <w:szCs w:val="24"/>
              </w:rPr>
              <w:t>-</w:t>
            </w:r>
          </w:p>
        </w:tc>
        <w:tc>
          <w:tcPr>
            <w:tcW w:w="1560" w:type="dxa"/>
            <w:vAlign w:val="center"/>
          </w:tcPr>
          <w:p w14:paraId="6EE27B98" w14:textId="56601FD3" w:rsidR="009A6091" w:rsidRPr="00D948C1" w:rsidRDefault="009A6091" w:rsidP="006C0086">
            <w:pPr>
              <w:spacing w:line="276" w:lineRule="auto"/>
              <w:jc w:val="right"/>
              <w:rPr>
                <w:rFonts w:cs="Arial"/>
                <w:szCs w:val="24"/>
                <w:lang w:eastAsia="en-GB"/>
              </w:rPr>
            </w:pPr>
            <w:r w:rsidRPr="00D948C1">
              <w:rPr>
                <w:rFonts w:cs="Arial"/>
                <w:szCs w:val="24"/>
              </w:rPr>
              <w:t>(1</w:t>
            </w:r>
            <w:r w:rsidR="00F70902">
              <w:rPr>
                <w:rFonts w:cs="Arial"/>
                <w:szCs w:val="24"/>
              </w:rPr>
              <w:t>7,378</w:t>
            </w:r>
            <w:r w:rsidRPr="00D948C1">
              <w:rPr>
                <w:rFonts w:cs="Arial"/>
                <w:szCs w:val="24"/>
              </w:rPr>
              <w:t>)</w:t>
            </w:r>
          </w:p>
        </w:tc>
        <w:tc>
          <w:tcPr>
            <w:tcW w:w="1559" w:type="dxa"/>
            <w:shd w:val="clear" w:color="auto" w:fill="auto"/>
            <w:noWrap/>
            <w:vAlign w:val="center"/>
          </w:tcPr>
          <w:p w14:paraId="01AC6FD5" w14:textId="2B808076" w:rsidR="009A6091" w:rsidRPr="00D948C1" w:rsidRDefault="009A6091" w:rsidP="006C0086">
            <w:pPr>
              <w:spacing w:line="276" w:lineRule="auto"/>
              <w:jc w:val="right"/>
              <w:rPr>
                <w:rFonts w:cs="Arial"/>
                <w:szCs w:val="24"/>
                <w:lang w:eastAsia="en-GB"/>
              </w:rPr>
            </w:pPr>
            <w:r w:rsidRPr="00D948C1">
              <w:rPr>
                <w:rFonts w:cs="Arial"/>
                <w:szCs w:val="24"/>
              </w:rPr>
              <w:t>(1</w:t>
            </w:r>
            <w:r w:rsidR="00542CCA">
              <w:rPr>
                <w:rFonts w:cs="Arial"/>
                <w:szCs w:val="24"/>
              </w:rPr>
              <w:t>7</w:t>
            </w:r>
            <w:r w:rsidRPr="00D948C1">
              <w:rPr>
                <w:rFonts w:cs="Arial"/>
                <w:szCs w:val="24"/>
              </w:rPr>
              <w:t>,</w:t>
            </w:r>
            <w:r w:rsidR="00542CCA">
              <w:rPr>
                <w:rFonts w:cs="Arial"/>
                <w:szCs w:val="24"/>
              </w:rPr>
              <w:t>378</w:t>
            </w:r>
            <w:r w:rsidRPr="00D948C1">
              <w:rPr>
                <w:rFonts w:cs="Arial"/>
                <w:szCs w:val="24"/>
              </w:rPr>
              <w:t>)</w:t>
            </w:r>
          </w:p>
        </w:tc>
      </w:tr>
      <w:tr w:rsidR="009A6091" w:rsidRPr="00D948C1" w14:paraId="2E43B047" w14:textId="77777777" w:rsidTr="008B00BF">
        <w:trPr>
          <w:trHeight w:val="212"/>
        </w:trPr>
        <w:tc>
          <w:tcPr>
            <w:tcW w:w="4144" w:type="dxa"/>
            <w:shd w:val="clear" w:color="auto" w:fill="auto"/>
            <w:noWrap/>
            <w:vAlign w:val="bottom"/>
          </w:tcPr>
          <w:p w14:paraId="7CBB4956" w14:textId="60C5C857" w:rsidR="009A6091" w:rsidRPr="00D948C1" w:rsidRDefault="009A6091" w:rsidP="006C0086">
            <w:pPr>
              <w:spacing w:line="276" w:lineRule="auto"/>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2024</w:t>
            </w:r>
          </w:p>
        </w:tc>
        <w:tc>
          <w:tcPr>
            <w:tcW w:w="1339" w:type="dxa"/>
            <w:shd w:val="clear" w:color="auto" w:fill="auto"/>
            <w:noWrap/>
            <w:vAlign w:val="center"/>
          </w:tcPr>
          <w:p w14:paraId="37F952CB" w14:textId="346F6DA5" w:rsidR="009A6091" w:rsidRPr="00D948C1" w:rsidRDefault="009A6091" w:rsidP="006C0086">
            <w:pPr>
              <w:spacing w:line="276" w:lineRule="auto"/>
              <w:jc w:val="right"/>
              <w:rPr>
                <w:rFonts w:cs="Arial"/>
                <w:szCs w:val="24"/>
                <w:lang w:eastAsia="en-GB"/>
              </w:rPr>
            </w:pPr>
            <w:r w:rsidRPr="00D948C1">
              <w:rPr>
                <w:rFonts w:cs="Arial"/>
                <w:szCs w:val="24"/>
              </w:rPr>
              <w:t>79,242</w:t>
            </w:r>
          </w:p>
        </w:tc>
        <w:tc>
          <w:tcPr>
            <w:tcW w:w="1354" w:type="dxa"/>
            <w:vAlign w:val="center"/>
          </w:tcPr>
          <w:p w14:paraId="72E9F49C" w14:textId="39108D97" w:rsidR="009A6091" w:rsidRPr="00D948C1" w:rsidRDefault="009A6091" w:rsidP="006C0086">
            <w:pPr>
              <w:spacing w:line="276" w:lineRule="auto"/>
              <w:jc w:val="right"/>
              <w:rPr>
                <w:rFonts w:cs="Arial"/>
                <w:szCs w:val="24"/>
                <w:lang w:eastAsia="en-GB"/>
              </w:rPr>
            </w:pPr>
            <w:r w:rsidRPr="00D948C1">
              <w:rPr>
                <w:rFonts w:cs="Arial"/>
                <w:szCs w:val="24"/>
              </w:rPr>
              <w:t>36,270</w:t>
            </w:r>
          </w:p>
        </w:tc>
        <w:tc>
          <w:tcPr>
            <w:tcW w:w="1560" w:type="dxa"/>
            <w:vAlign w:val="center"/>
          </w:tcPr>
          <w:p w14:paraId="1459EDB9" w14:textId="1A604D03" w:rsidR="009A6091" w:rsidRPr="00D948C1" w:rsidRDefault="009A6091" w:rsidP="006C0086">
            <w:pPr>
              <w:spacing w:line="276" w:lineRule="auto"/>
              <w:jc w:val="right"/>
              <w:rPr>
                <w:rFonts w:cs="Arial"/>
                <w:szCs w:val="24"/>
                <w:lang w:eastAsia="en-GB"/>
              </w:rPr>
            </w:pPr>
            <w:r w:rsidRPr="00D948C1">
              <w:rPr>
                <w:rFonts w:cs="Arial"/>
                <w:szCs w:val="24"/>
              </w:rPr>
              <w:t>11,</w:t>
            </w:r>
            <w:r w:rsidR="00F70902">
              <w:rPr>
                <w:rFonts w:cs="Arial"/>
                <w:szCs w:val="24"/>
              </w:rPr>
              <w:t>837</w:t>
            </w:r>
          </w:p>
        </w:tc>
        <w:tc>
          <w:tcPr>
            <w:tcW w:w="1559" w:type="dxa"/>
            <w:shd w:val="clear" w:color="auto" w:fill="auto"/>
            <w:noWrap/>
            <w:vAlign w:val="center"/>
          </w:tcPr>
          <w:p w14:paraId="59019F28" w14:textId="3DA7B373" w:rsidR="009A6091" w:rsidRPr="00D948C1" w:rsidRDefault="009A6091" w:rsidP="006C0086">
            <w:pPr>
              <w:spacing w:line="276" w:lineRule="auto"/>
              <w:jc w:val="right"/>
              <w:rPr>
                <w:rFonts w:cs="Arial"/>
                <w:szCs w:val="24"/>
                <w:lang w:eastAsia="en-GB"/>
              </w:rPr>
            </w:pPr>
            <w:r w:rsidRPr="00D948C1">
              <w:rPr>
                <w:rFonts w:cs="Arial"/>
                <w:szCs w:val="24"/>
                <w:lang w:eastAsia="en-GB"/>
              </w:rPr>
              <w:t>12</w:t>
            </w:r>
            <w:r w:rsidR="00542CCA">
              <w:rPr>
                <w:rFonts w:cs="Arial"/>
                <w:szCs w:val="24"/>
                <w:lang w:eastAsia="en-GB"/>
              </w:rPr>
              <w:t>7,349</w:t>
            </w:r>
          </w:p>
        </w:tc>
      </w:tr>
      <w:tr w:rsidR="009A6091" w:rsidRPr="00D948C1" w14:paraId="531808D5" w14:textId="77777777" w:rsidTr="008B00BF">
        <w:trPr>
          <w:trHeight w:val="212"/>
        </w:trPr>
        <w:tc>
          <w:tcPr>
            <w:tcW w:w="4144" w:type="dxa"/>
            <w:shd w:val="clear" w:color="auto" w:fill="auto"/>
            <w:noWrap/>
            <w:vAlign w:val="bottom"/>
          </w:tcPr>
          <w:p w14:paraId="3703B2BF" w14:textId="0340650E" w:rsidR="009A6091" w:rsidRPr="00D948C1" w:rsidRDefault="009A6091" w:rsidP="006C0086">
            <w:pPr>
              <w:spacing w:line="276" w:lineRule="auto"/>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2023</w:t>
            </w:r>
          </w:p>
        </w:tc>
        <w:tc>
          <w:tcPr>
            <w:tcW w:w="1339" w:type="dxa"/>
            <w:shd w:val="clear" w:color="auto" w:fill="auto"/>
            <w:noWrap/>
            <w:vAlign w:val="center"/>
          </w:tcPr>
          <w:p w14:paraId="23ED14C4" w14:textId="6AA29E02" w:rsidR="009A6091" w:rsidRPr="00D948C1" w:rsidRDefault="009A6091" w:rsidP="006C0086">
            <w:pPr>
              <w:spacing w:line="276" w:lineRule="auto"/>
              <w:jc w:val="right"/>
              <w:rPr>
                <w:rFonts w:cs="Arial"/>
                <w:szCs w:val="24"/>
                <w:lang w:eastAsia="en-GB"/>
              </w:rPr>
            </w:pPr>
            <w:r w:rsidRPr="00D948C1">
              <w:rPr>
                <w:rFonts w:cs="Arial"/>
                <w:szCs w:val="24"/>
              </w:rPr>
              <w:t>81,895</w:t>
            </w:r>
          </w:p>
        </w:tc>
        <w:tc>
          <w:tcPr>
            <w:tcW w:w="1354" w:type="dxa"/>
            <w:vAlign w:val="center"/>
          </w:tcPr>
          <w:p w14:paraId="594272B3" w14:textId="0F99090E" w:rsidR="009A6091" w:rsidRPr="00D948C1" w:rsidRDefault="009A6091" w:rsidP="006C0086">
            <w:pPr>
              <w:spacing w:line="276" w:lineRule="auto"/>
              <w:jc w:val="right"/>
              <w:rPr>
                <w:rFonts w:cs="Arial"/>
                <w:szCs w:val="24"/>
                <w:lang w:eastAsia="en-GB"/>
              </w:rPr>
            </w:pPr>
            <w:r w:rsidRPr="00D948C1">
              <w:rPr>
                <w:rFonts w:cs="Arial"/>
                <w:szCs w:val="24"/>
              </w:rPr>
              <w:t>36,432</w:t>
            </w:r>
          </w:p>
        </w:tc>
        <w:tc>
          <w:tcPr>
            <w:tcW w:w="1560" w:type="dxa"/>
            <w:vAlign w:val="center"/>
          </w:tcPr>
          <w:p w14:paraId="65373283" w14:textId="138C1381" w:rsidR="009A6091" w:rsidRPr="00D948C1" w:rsidRDefault="009A6091" w:rsidP="006C0086">
            <w:pPr>
              <w:spacing w:line="276" w:lineRule="auto"/>
              <w:jc w:val="right"/>
              <w:rPr>
                <w:rFonts w:cs="Arial"/>
                <w:szCs w:val="24"/>
                <w:lang w:eastAsia="en-GB"/>
              </w:rPr>
            </w:pPr>
            <w:r w:rsidRPr="00D948C1">
              <w:rPr>
                <w:rFonts w:cs="Arial"/>
                <w:szCs w:val="24"/>
              </w:rPr>
              <w:t>7,390</w:t>
            </w:r>
          </w:p>
        </w:tc>
        <w:tc>
          <w:tcPr>
            <w:tcW w:w="1559" w:type="dxa"/>
            <w:shd w:val="clear" w:color="auto" w:fill="auto"/>
            <w:noWrap/>
            <w:vAlign w:val="center"/>
          </w:tcPr>
          <w:p w14:paraId="1199C49A" w14:textId="295B9258" w:rsidR="009A6091" w:rsidRPr="00D948C1" w:rsidRDefault="009A6091" w:rsidP="006C0086">
            <w:pPr>
              <w:spacing w:line="276" w:lineRule="auto"/>
              <w:jc w:val="right"/>
              <w:rPr>
                <w:rFonts w:cs="Arial"/>
                <w:szCs w:val="24"/>
                <w:lang w:eastAsia="en-GB"/>
              </w:rPr>
            </w:pPr>
            <w:r w:rsidRPr="00D948C1">
              <w:rPr>
                <w:rFonts w:cs="Arial"/>
                <w:szCs w:val="24"/>
              </w:rPr>
              <w:t>125,717</w:t>
            </w:r>
          </w:p>
        </w:tc>
      </w:tr>
    </w:tbl>
    <w:p w14:paraId="099F6555" w14:textId="23D7E848" w:rsidR="000F5E3B" w:rsidRPr="00D948C1" w:rsidRDefault="000F5E3B" w:rsidP="006C0086">
      <w:pPr>
        <w:spacing w:line="276" w:lineRule="auto"/>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0F5E3B" w:rsidRPr="00D948C1" w14:paraId="3A5229A4" w14:textId="77777777" w:rsidTr="009D5D41">
        <w:trPr>
          <w:trHeight w:val="225"/>
        </w:trPr>
        <w:tc>
          <w:tcPr>
            <w:tcW w:w="4144" w:type="dxa"/>
            <w:shd w:val="clear" w:color="auto" w:fill="BD2716"/>
            <w:noWrap/>
            <w:vAlign w:val="bottom"/>
          </w:tcPr>
          <w:p w14:paraId="671E2706" w14:textId="191166B0" w:rsidR="000F5E3B" w:rsidRPr="00D948C1" w:rsidRDefault="000F5E3B" w:rsidP="006C0086">
            <w:pPr>
              <w:spacing w:line="276" w:lineRule="auto"/>
              <w:ind w:left="175"/>
              <w:rPr>
                <w:rFonts w:cs="Arial"/>
                <w:color w:val="FFFFFF" w:themeColor="background1"/>
                <w:szCs w:val="24"/>
                <w:lang w:eastAsia="en-GB"/>
              </w:rPr>
            </w:pPr>
            <w:r w:rsidRPr="00D948C1">
              <w:br w:type="page"/>
            </w:r>
          </w:p>
        </w:tc>
        <w:tc>
          <w:tcPr>
            <w:tcW w:w="1339" w:type="dxa"/>
            <w:shd w:val="clear" w:color="auto" w:fill="BD2716"/>
            <w:noWrap/>
            <w:vAlign w:val="center"/>
          </w:tcPr>
          <w:p w14:paraId="0ACBED7F"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4C62CC38" w14:textId="77777777" w:rsidR="000F5E3B" w:rsidRPr="00D948C1" w:rsidRDefault="000F5E3B" w:rsidP="006C0086">
            <w:pPr>
              <w:pStyle w:val="CommentText"/>
              <w:spacing w:line="276" w:lineRule="auto"/>
              <w:jc w:val="right"/>
              <w:rPr>
                <w:rFonts w:cs="Arial"/>
                <w:color w:val="FFFFFF" w:themeColor="background1"/>
                <w:sz w:val="24"/>
                <w:szCs w:val="24"/>
              </w:rPr>
            </w:pPr>
            <w:r w:rsidRPr="00D948C1">
              <w:rPr>
                <w:rFonts w:cs="Arial"/>
                <w:color w:val="FFFFFF" w:themeColor="background1"/>
                <w:sz w:val="24"/>
                <w:szCs w:val="24"/>
                <w:lang w:eastAsia="en-GB"/>
              </w:rPr>
              <w:t>£000</w:t>
            </w:r>
          </w:p>
        </w:tc>
        <w:tc>
          <w:tcPr>
            <w:tcW w:w="1354" w:type="dxa"/>
            <w:shd w:val="clear" w:color="auto" w:fill="BD2716"/>
            <w:vAlign w:val="center"/>
          </w:tcPr>
          <w:p w14:paraId="05416B32"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39BA1164"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c>
          <w:tcPr>
            <w:tcW w:w="1560" w:type="dxa"/>
            <w:shd w:val="clear" w:color="auto" w:fill="BD2716"/>
            <w:vAlign w:val="center"/>
          </w:tcPr>
          <w:p w14:paraId="3239F3F5"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7450D48B"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c>
          <w:tcPr>
            <w:tcW w:w="1559" w:type="dxa"/>
            <w:shd w:val="clear" w:color="auto" w:fill="BD2716"/>
            <w:noWrap/>
            <w:vAlign w:val="center"/>
          </w:tcPr>
          <w:p w14:paraId="5BF6D0D4"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26B64A6E"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r>
      <w:tr w:rsidR="00FA71D8" w:rsidRPr="00D948C1" w14:paraId="06CA2B96" w14:textId="77777777" w:rsidTr="007641BA">
        <w:trPr>
          <w:trHeight w:val="212"/>
        </w:trPr>
        <w:tc>
          <w:tcPr>
            <w:tcW w:w="9956" w:type="dxa"/>
            <w:gridSpan w:val="5"/>
            <w:shd w:val="clear" w:color="auto" w:fill="D9D9D9" w:themeFill="background1" w:themeFillShade="D9"/>
            <w:noWrap/>
            <w:vAlign w:val="bottom"/>
          </w:tcPr>
          <w:p w14:paraId="04CB5009" w14:textId="53428931" w:rsidR="00FA71D8" w:rsidRPr="00D948C1" w:rsidRDefault="00FA71D8" w:rsidP="006C0086">
            <w:pPr>
              <w:spacing w:line="276" w:lineRule="auto"/>
              <w:rPr>
                <w:rFonts w:cs="Arial"/>
                <w:szCs w:val="24"/>
                <w:lang w:eastAsia="en-GB"/>
              </w:rPr>
            </w:pPr>
            <w:r w:rsidRPr="00D948C1">
              <w:rPr>
                <w:rFonts w:cs="Arial"/>
                <w:b/>
                <w:bCs/>
                <w:szCs w:val="24"/>
                <w:lang w:eastAsia="en-GB"/>
              </w:rPr>
              <w:t>Nature of asset holding</w:t>
            </w:r>
          </w:p>
        </w:tc>
      </w:tr>
      <w:tr w:rsidR="001009CE" w:rsidRPr="00D948C1" w14:paraId="6232A57B" w14:textId="77777777" w:rsidTr="008B00BF">
        <w:trPr>
          <w:trHeight w:val="212"/>
        </w:trPr>
        <w:tc>
          <w:tcPr>
            <w:tcW w:w="4144" w:type="dxa"/>
            <w:shd w:val="clear" w:color="auto" w:fill="auto"/>
            <w:noWrap/>
            <w:vAlign w:val="bottom"/>
          </w:tcPr>
          <w:p w14:paraId="14F6C374" w14:textId="77777777" w:rsidR="001009CE" w:rsidRPr="00D948C1" w:rsidRDefault="001009CE" w:rsidP="006C0086">
            <w:pPr>
              <w:spacing w:line="276" w:lineRule="auto"/>
              <w:ind w:left="175"/>
              <w:rPr>
                <w:rFonts w:cs="Arial"/>
                <w:szCs w:val="24"/>
                <w:lang w:eastAsia="en-GB"/>
              </w:rPr>
            </w:pPr>
            <w:r w:rsidRPr="00D948C1">
              <w:rPr>
                <w:rFonts w:cs="Arial"/>
                <w:szCs w:val="24"/>
                <w:lang w:eastAsia="en-GB"/>
              </w:rPr>
              <w:t>Owned</w:t>
            </w:r>
          </w:p>
        </w:tc>
        <w:tc>
          <w:tcPr>
            <w:tcW w:w="1339" w:type="dxa"/>
            <w:shd w:val="clear" w:color="auto" w:fill="auto"/>
            <w:noWrap/>
            <w:vAlign w:val="center"/>
          </w:tcPr>
          <w:p w14:paraId="59B50830" w14:textId="7203194A" w:rsidR="001009CE" w:rsidRPr="00D948C1" w:rsidRDefault="008213FE" w:rsidP="006C0086">
            <w:pPr>
              <w:spacing w:line="276" w:lineRule="auto"/>
              <w:jc w:val="right"/>
              <w:rPr>
                <w:rFonts w:cs="Arial"/>
                <w:szCs w:val="24"/>
                <w:lang w:eastAsia="en-GB"/>
              </w:rPr>
            </w:pPr>
            <w:r w:rsidRPr="00D948C1">
              <w:rPr>
                <w:rFonts w:cs="Arial"/>
                <w:szCs w:val="24"/>
              </w:rPr>
              <w:t>79,242</w:t>
            </w:r>
          </w:p>
        </w:tc>
        <w:tc>
          <w:tcPr>
            <w:tcW w:w="1354" w:type="dxa"/>
            <w:vAlign w:val="center"/>
          </w:tcPr>
          <w:p w14:paraId="11080B7B" w14:textId="43E9942C"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60" w:type="dxa"/>
            <w:shd w:val="clear" w:color="auto" w:fill="auto"/>
            <w:vAlign w:val="center"/>
          </w:tcPr>
          <w:p w14:paraId="7CAD32B0" w14:textId="5CB4A802" w:rsidR="001009CE" w:rsidRPr="00D948C1" w:rsidRDefault="00C57A5D" w:rsidP="006C0086">
            <w:pPr>
              <w:spacing w:line="276" w:lineRule="auto"/>
              <w:jc w:val="right"/>
              <w:rPr>
                <w:rFonts w:cs="Arial"/>
                <w:szCs w:val="24"/>
                <w:lang w:eastAsia="en-GB"/>
              </w:rPr>
            </w:pPr>
            <w:r w:rsidRPr="00D948C1">
              <w:rPr>
                <w:rFonts w:cs="Arial"/>
                <w:szCs w:val="24"/>
                <w:lang w:eastAsia="en-GB"/>
              </w:rPr>
              <w:t>1</w:t>
            </w:r>
            <w:r w:rsidR="00F70902">
              <w:rPr>
                <w:rFonts w:cs="Arial"/>
                <w:szCs w:val="24"/>
                <w:lang w:eastAsia="en-GB"/>
              </w:rPr>
              <w:t>1</w:t>
            </w:r>
            <w:r w:rsidRPr="00D948C1">
              <w:rPr>
                <w:rFonts w:cs="Arial"/>
                <w:szCs w:val="24"/>
                <w:lang w:eastAsia="en-GB"/>
              </w:rPr>
              <w:t>,</w:t>
            </w:r>
            <w:r w:rsidR="00F70902">
              <w:rPr>
                <w:rFonts w:cs="Arial"/>
                <w:szCs w:val="24"/>
                <w:lang w:eastAsia="en-GB"/>
              </w:rPr>
              <w:t>837</w:t>
            </w:r>
          </w:p>
        </w:tc>
        <w:tc>
          <w:tcPr>
            <w:tcW w:w="1559" w:type="dxa"/>
            <w:shd w:val="clear" w:color="auto" w:fill="auto"/>
            <w:noWrap/>
            <w:vAlign w:val="center"/>
          </w:tcPr>
          <w:p w14:paraId="1B7E954F" w14:textId="7192C10B" w:rsidR="001009CE" w:rsidRPr="00D948C1" w:rsidRDefault="00E90991" w:rsidP="006C0086">
            <w:pPr>
              <w:spacing w:line="276" w:lineRule="auto"/>
              <w:jc w:val="right"/>
              <w:rPr>
                <w:rFonts w:cs="Arial"/>
                <w:szCs w:val="24"/>
                <w:lang w:eastAsia="en-GB"/>
              </w:rPr>
            </w:pPr>
            <w:r w:rsidRPr="00D948C1">
              <w:rPr>
                <w:rFonts w:cs="Arial"/>
                <w:szCs w:val="24"/>
                <w:lang w:eastAsia="en-GB"/>
              </w:rPr>
              <w:t>9</w:t>
            </w:r>
            <w:r w:rsidR="00F70902">
              <w:rPr>
                <w:rFonts w:cs="Arial"/>
                <w:szCs w:val="24"/>
                <w:lang w:eastAsia="en-GB"/>
              </w:rPr>
              <w:t>1,079</w:t>
            </w:r>
          </w:p>
        </w:tc>
      </w:tr>
      <w:tr w:rsidR="001009CE" w:rsidRPr="00D948C1" w14:paraId="2E12440D" w14:textId="77777777" w:rsidTr="008B00BF">
        <w:trPr>
          <w:trHeight w:val="212"/>
        </w:trPr>
        <w:tc>
          <w:tcPr>
            <w:tcW w:w="4144" w:type="dxa"/>
            <w:shd w:val="clear" w:color="auto" w:fill="auto"/>
            <w:noWrap/>
            <w:vAlign w:val="bottom"/>
          </w:tcPr>
          <w:p w14:paraId="4C0338D9" w14:textId="77777777" w:rsidR="001009CE" w:rsidRPr="00D948C1" w:rsidRDefault="001009CE" w:rsidP="006C0086">
            <w:pPr>
              <w:spacing w:line="276" w:lineRule="auto"/>
              <w:ind w:left="175"/>
              <w:rPr>
                <w:rFonts w:cs="Arial"/>
                <w:szCs w:val="24"/>
                <w:lang w:eastAsia="en-GB"/>
              </w:rPr>
            </w:pPr>
            <w:r w:rsidRPr="00D948C1">
              <w:rPr>
                <w:rFonts w:cs="Arial"/>
                <w:szCs w:val="24"/>
                <w:lang w:eastAsia="en-GB"/>
              </w:rPr>
              <w:t>Finance lease</w:t>
            </w:r>
          </w:p>
        </w:tc>
        <w:tc>
          <w:tcPr>
            <w:tcW w:w="1339" w:type="dxa"/>
            <w:shd w:val="clear" w:color="auto" w:fill="auto"/>
            <w:noWrap/>
            <w:vAlign w:val="center"/>
          </w:tcPr>
          <w:p w14:paraId="32A8BC84" w14:textId="4A87A7C3" w:rsidR="001009CE" w:rsidRPr="00D948C1" w:rsidRDefault="00F641AC" w:rsidP="006C0086">
            <w:pPr>
              <w:spacing w:line="276" w:lineRule="auto"/>
              <w:jc w:val="right"/>
              <w:rPr>
                <w:rFonts w:cs="Arial"/>
                <w:szCs w:val="24"/>
                <w:lang w:eastAsia="en-GB"/>
              </w:rPr>
            </w:pPr>
            <w:r w:rsidRPr="00D948C1">
              <w:rPr>
                <w:rFonts w:cs="Arial"/>
                <w:szCs w:val="24"/>
              </w:rPr>
              <w:t>-</w:t>
            </w:r>
          </w:p>
        </w:tc>
        <w:tc>
          <w:tcPr>
            <w:tcW w:w="1354" w:type="dxa"/>
            <w:vAlign w:val="center"/>
          </w:tcPr>
          <w:p w14:paraId="0E54EC12" w14:textId="1AB32F86"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60" w:type="dxa"/>
            <w:shd w:val="clear" w:color="auto" w:fill="auto"/>
            <w:vAlign w:val="center"/>
          </w:tcPr>
          <w:p w14:paraId="6AF13964" w14:textId="3CDCB23B" w:rsidR="001009CE" w:rsidRPr="00D948C1" w:rsidRDefault="00682231" w:rsidP="006C0086">
            <w:pPr>
              <w:spacing w:line="276" w:lineRule="auto"/>
              <w:jc w:val="right"/>
              <w:rPr>
                <w:rFonts w:cs="Arial"/>
                <w:szCs w:val="24"/>
                <w:lang w:eastAsia="en-GB"/>
              </w:rPr>
            </w:pPr>
            <w:r w:rsidRPr="00D948C1">
              <w:rPr>
                <w:rFonts w:cs="Arial"/>
                <w:szCs w:val="24"/>
                <w:lang w:eastAsia="en-GB"/>
              </w:rPr>
              <w:t>-</w:t>
            </w:r>
          </w:p>
        </w:tc>
        <w:tc>
          <w:tcPr>
            <w:tcW w:w="1559" w:type="dxa"/>
            <w:shd w:val="clear" w:color="auto" w:fill="auto"/>
            <w:noWrap/>
            <w:vAlign w:val="center"/>
          </w:tcPr>
          <w:p w14:paraId="43339CC7" w14:textId="30BC167D" w:rsidR="001009CE" w:rsidRPr="00D948C1" w:rsidRDefault="00682231" w:rsidP="006C0086">
            <w:pPr>
              <w:spacing w:line="276" w:lineRule="auto"/>
              <w:jc w:val="right"/>
              <w:rPr>
                <w:rFonts w:cs="Arial"/>
                <w:szCs w:val="24"/>
                <w:lang w:eastAsia="en-GB"/>
              </w:rPr>
            </w:pPr>
            <w:r w:rsidRPr="00D948C1">
              <w:rPr>
                <w:rFonts w:cs="Arial"/>
                <w:szCs w:val="24"/>
              </w:rPr>
              <w:t>-</w:t>
            </w:r>
          </w:p>
        </w:tc>
      </w:tr>
      <w:tr w:rsidR="001009CE" w:rsidRPr="00D948C1" w14:paraId="1B2A1A53" w14:textId="77777777" w:rsidTr="008B00BF">
        <w:trPr>
          <w:trHeight w:val="212"/>
        </w:trPr>
        <w:tc>
          <w:tcPr>
            <w:tcW w:w="4144" w:type="dxa"/>
            <w:shd w:val="clear" w:color="auto" w:fill="auto"/>
            <w:noWrap/>
            <w:vAlign w:val="bottom"/>
          </w:tcPr>
          <w:p w14:paraId="0DC984B0" w14:textId="2CEA7F2D" w:rsidR="001009CE" w:rsidRPr="00D948C1" w:rsidRDefault="0076078A" w:rsidP="006C0086">
            <w:pPr>
              <w:spacing w:line="276" w:lineRule="auto"/>
              <w:ind w:left="175"/>
              <w:rPr>
                <w:rFonts w:cs="Arial"/>
                <w:szCs w:val="24"/>
                <w:lang w:eastAsia="en-GB"/>
              </w:rPr>
            </w:pPr>
            <w:r>
              <w:rPr>
                <w:rFonts w:cs="Arial"/>
                <w:szCs w:val="24"/>
                <w:lang w:eastAsia="en-GB"/>
              </w:rPr>
              <w:t>P</w:t>
            </w:r>
            <w:r>
              <w:rPr>
                <w:szCs w:val="24"/>
              </w:rPr>
              <w:t>rivate Finance Initiative</w:t>
            </w:r>
          </w:p>
        </w:tc>
        <w:tc>
          <w:tcPr>
            <w:tcW w:w="1339" w:type="dxa"/>
            <w:shd w:val="clear" w:color="auto" w:fill="auto"/>
            <w:noWrap/>
            <w:vAlign w:val="center"/>
          </w:tcPr>
          <w:p w14:paraId="06F3FEE0" w14:textId="041705D3" w:rsidR="001009CE" w:rsidRPr="00D948C1" w:rsidRDefault="001009CE" w:rsidP="006C0086">
            <w:pPr>
              <w:spacing w:line="276" w:lineRule="auto"/>
              <w:jc w:val="right"/>
              <w:rPr>
                <w:rFonts w:cs="Arial"/>
                <w:szCs w:val="24"/>
                <w:lang w:eastAsia="en-GB"/>
              </w:rPr>
            </w:pPr>
            <w:r w:rsidRPr="00D948C1">
              <w:rPr>
                <w:rFonts w:cs="Arial"/>
                <w:szCs w:val="24"/>
              </w:rPr>
              <w:t>-</w:t>
            </w:r>
          </w:p>
        </w:tc>
        <w:tc>
          <w:tcPr>
            <w:tcW w:w="1354" w:type="dxa"/>
            <w:vAlign w:val="center"/>
          </w:tcPr>
          <w:p w14:paraId="59858DEC" w14:textId="785E2F54" w:rsidR="001009CE" w:rsidRPr="00D948C1" w:rsidRDefault="008213FE" w:rsidP="006C0086">
            <w:pPr>
              <w:spacing w:line="276" w:lineRule="auto"/>
              <w:jc w:val="right"/>
              <w:rPr>
                <w:rFonts w:cs="Arial"/>
                <w:szCs w:val="24"/>
                <w:lang w:eastAsia="en-GB"/>
              </w:rPr>
            </w:pPr>
            <w:r w:rsidRPr="00D948C1">
              <w:rPr>
                <w:rFonts w:cs="Arial"/>
                <w:szCs w:val="24"/>
              </w:rPr>
              <w:t>36,2</w:t>
            </w:r>
            <w:r w:rsidR="00D75FF9" w:rsidRPr="00D948C1">
              <w:rPr>
                <w:rFonts w:cs="Arial"/>
                <w:szCs w:val="24"/>
              </w:rPr>
              <w:t>70</w:t>
            </w:r>
          </w:p>
        </w:tc>
        <w:tc>
          <w:tcPr>
            <w:tcW w:w="1560" w:type="dxa"/>
            <w:shd w:val="clear" w:color="auto" w:fill="auto"/>
            <w:vAlign w:val="center"/>
          </w:tcPr>
          <w:p w14:paraId="73A27990" w14:textId="0FEDD139"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59" w:type="dxa"/>
            <w:shd w:val="clear" w:color="auto" w:fill="auto"/>
            <w:noWrap/>
            <w:vAlign w:val="center"/>
          </w:tcPr>
          <w:p w14:paraId="3B1E798E" w14:textId="1E60F939" w:rsidR="001009CE" w:rsidRPr="00D948C1" w:rsidRDefault="008213FE" w:rsidP="006C0086">
            <w:pPr>
              <w:spacing w:line="276" w:lineRule="auto"/>
              <w:jc w:val="right"/>
              <w:rPr>
                <w:rFonts w:cs="Arial"/>
                <w:szCs w:val="24"/>
                <w:lang w:eastAsia="en-GB"/>
              </w:rPr>
            </w:pPr>
            <w:r w:rsidRPr="00D948C1">
              <w:rPr>
                <w:rFonts w:cs="Arial"/>
                <w:szCs w:val="24"/>
              </w:rPr>
              <w:t>36,</w:t>
            </w:r>
            <w:r w:rsidR="00E90991" w:rsidRPr="00D948C1">
              <w:rPr>
                <w:rFonts w:cs="Arial"/>
                <w:szCs w:val="24"/>
              </w:rPr>
              <w:t>270</w:t>
            </w:r>
          </w:p>
        </w:tc>
      </w:tr>
      <w:tr w:rsidR="008B00BF" w:rsidRPr="00D948C1" w14:paraId="07FFE7EE" w14:textId="77777777" w:rsidTr="008B00BF">
        <w:trPr>
          <w:trHeight w:val="225"/>
        </w:trPr>
        <w:tc>
          <w:tcPr>
            <w:tcW w:w="4144" w:type="dxa"/>
            <w:shd w:val="clear" w:color="auto" w:fill="auto"/>
            <w:noWrap/>
            <w:vAlign w:val="bottom"/>
          </w:tcPr>
          <w:p w14:paraId="39409E8C" w14:textId="5B3F3BB2" w:rsidR="008B00BF" w:rsidRPr="00D948C1" w:rsidRDefault="008B00BF" w:rsidP="006C0086">
            <w:pPr>
              <w:spacing w:line="276" w:lineRule="auto"/>
              <w:ind w:left="175"/>
              <w:rPr>
                <w:rFonts w:cs="Arial"/>
                <w:szCs w:val="24"/>
                <w:lang w:eastAsia="en-GB"/>
              </w:rPr>
            </w:pPr>
            <w:r w:rsidRPr="00D948C1">
              <w:rPr>
                <w:rFonts w:cs="Arial"/>
                <w:szCs w:val="24"/>
                <w:lang w:eastAsia="en-GB"/>
              </w:rPr>
              <w:t>Total</w:t>
            </w:r>
          </w:p>
        </w:tc>
        <w:tc>
          <w:tcPr>
            <w:tcW w:w="1339" w:type="dxa"/>
            <w:shd w:val="clear" w:color="auto" w:fill="auto"/>
            <w:noWrap/>
            <w:vAlign w:val="center"/>
          </w:tcPr>
          <w:p w14:paraId="7F0F23C4" w14:textId="3D451E89" w:rsidR="008B00BF" w:rsidRPr="00D948C1" w:rsidRDefault="008213FE" w:rsidP="006C0086">
            <w:pPr>
              <w:pStyle w:val="CommentText"/>
              <w:spacing w:line="276" w:lineRule="auto"/>
              <w:jc w:val="right"/>
              <w:rPr>
                <w:rFonts w:cs="Arial"/>
                <w:sz w:val="24"/>
                <w:szCs w:val="24"/>
                <w:lang w:eastAsia="en-GB"/>
              </w:rPr>
            </w:pPr>
            <w:r w:rsidRPr="00D948C1">
              <w:rPr>
                <w:rFonts w:cs="Arial"/>
                <w:sz w:val="24"/>
                <w:szCs w:val="24"/>
              </w:rPr>
              <w:t>79,242</w:t>
            </w:r>
          </w:p>
        </w:tc>
        <w:tc>
          <w:tcPr>
            <w:tcW w:w="1354" w:type="dxa"/>
            <w:vAlign w:val="center"/>
          </w:tcPr>
          <w:p w14:paraId="02DC1E47" w14:textId="0A449DB2" w:rsidR="008B00BF" w:rsidRPr="00D948C1" w:rsidRDefault="008213FE" w:rsidP="006C0086">
            <w:pPr>
              <w:spacing w:line="276" w:lineRule="auto"/>
              <w:jc w:val="right"/>
              <w:rPr>
                <w:rFonts w:cs="Arial"/>
                <w:szCs w:val="24"/>
                <w:lang w:eastAsia="en-GB"/>
              </w:rPr>
            </w:pPr>
            <w:r w:rsidRPr="00D948C1">
              <w:rPr>
                <w:rFonts w:cs="Arial"/>
                <w:szCs w:val="24"/>
              </w:rPr>
              <w:t>36,2</w:t>
            </w:r>
            <w:r w:rsidR="00E90991" w:rsidRPr="00D948C1">
              <w:rPr>
                <w:rFonts w:cs="Arial"/>
                <w:szCs w:val="24"/>
              </w:rPr>
              <w:t>70</w:t>
            </w:r>
          </w:p>
        </w:tc>
        <w:tc>
          <w:tcPr>
            <w:tcW w:w="1560" w:type="dxa"/>
            <w:shd w:val="clear" w:color="auto" w:fill="auto"/>
            <w:vAlign w:val="center"/>
          </w:tcPr>
          <w:p w14:paraId="518237E0" w14:textId="14C823AE" w:rsidR="008B00BF" w:rsidRPr="00D948C1" w:rsidRDefault="00C57A5D" w:rsidP="006C0086">
            <w:pPr>
              <w:spacing w:line="276" w:lineRule="auto"/>
              <w:jc w:val="right"/>
              <w:rPr>
                <w:rFonts w:cs="Arial"/>
                <w:szCs w:val="24"/>
                <w:lang w:eastAsia="en-GB"/>
              </w:rPr>
            </w:pPr>
            <w:r w:rsidRPr="00D948C1">
              <w:rPr>
                <w:rFonts w:cs="Arial"/>
                <w:szCs w:val="24"/>
              </w:rPr>
              <w:t>11,</w:t>
            </w:r>
            <w:r w:rsidR="00F70902">
              <w:rPr>
                <w:rFonts w:cs="Arial"/>
                <w:szCs w:val="24"/>
              </w:rPr>
              <w:t>837</w:t>
            </w:r>
          </w:p>
        </w:tc>
        <w:tc>
          <w:tcPr>
            <w:tcW w:w="1559" w:type="dxa"/>
            <w:shd w:val="clear" w:color="auto" w:fill="auto"/>
            <w:noWrap/>
            <w:vAlign w:val="center"/>
          </w:tcPr>
          <w:p w14:paraId="0BA65B0E" w14:textId="09363993" w:rsidR="008B00BF" w:rsidRPr="00D948C1" w:rsidRDefault="00C57A5D" w:rsidP="006C0086">
            <w:pPr>
              <w:spacing w:line="276" w:lineRule="auto"/>
              <w:jc w:val="right"/>
              <w:rPr>
                <w:rFonts w:cs="Arial"/>
                <w:szCs w:val="24"/>
                <w:lang w:eastAsia="en-GB"/>
              </w:rPr>
            </w:pPr>
            <w:r w:rsidRPr="00D948C1">
              <w:rPr>
                <w:rFonts w:cs="Arial"/>
                <w:szCs w:val="24"/>
              </w:rPr>
              <w:t>12</w:t>
            </w:r>
            <w:r w:rsidR="00F70902">
              <w:rPr>
                <w:rFonts w:cs="Arial"/>
                <w:szCs w:val="24"/>
              </w:rPr>
              <w:t>7,349</w:t>
            </w:r>
          </w:p>
        </w:tc>
      </w:tr>
    </w:tbl>
    <w:p w14:paraId="42FF252D" w14:textId="77777777" w:rsidR="00372872" w:rsidRPr="00D948C1" w:rsidRDefault="00372872" w:rsidP="006C0086">
      <w:pPr>
        <w:spacing w:line="276" w:lineRule="auto"/>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D948C1" w14:paraId="02FCF334" w14:textId="77777777" w:rsidTr="007641BA">
        <w:trPr>
          <w:trHeight w:val="104"/>
        </w:trPr>
        <w:tc>
          <w:tcPr>
            <w:tcW w:w="9956" w:type="dxa"/>
            <w:gridSpan w:val="5"/>
            <w:shd w:val="clear" w:color="auto" w:fill="D9D9D9" w:themeFill="background1" w:themeFillShade="D9"/>
            <w:noWrap/>
            <w:vAlign w:val="bottom"/>
          </w:tcPr>
          <w:p w14:paraId="7CCDECA8" w14:textId="0EB048FC" w:rsidR="00FA71D8" w:rsidRPr="00D948C1" w:rsidRDefault="00FA71D8" w:rsidP="006C0086">
            <w:pPr>
              <w:spacing w:line="276" w:lineRule="auto"/>
              <w:rPr>
                <w:rFonts w:cs="Arial"/>
                <w:b/>
                <w:bCs/>
                <w:szCs w:val="24"/>
                <w:lang w:eastAsia="en-GB"/>
              </w:rPr>
            </w:pPr>
            <w:r w:rsidRPr="00D948C1">
              <w:rPr>
                <w:rFonts w:cs="Arial"/>
                <w:b/>
                <w:bCs/>
                <w:szCs w:val="24"/>
                <w:lang w:eastAsia="en-GB"/>
              </w:rPr>
              <w:t>Historical cost</w:t>
            </w:r>
          </w:p>
        </w:tc>
      </w:tr>
      <w:tr w:rsidR="001009CE" w:rsidRPr="00D948C1" w14:paraId="567E91E5" w14:textId="77777777" w:rsidTr="008B00BF">
        <w:trPr>
          <w:trHeight w:val="225"/>
        </w:trPr>
        <w:tc>
          <w:tcPr>
            <w:tcW w:w="4144" w:type="dxa"/>
            <w:shd w:val="clear" w:color="auto" w:fill="auto"/>
            <w:noWrap/>
            <w:vAlign w:val="bottom"/>
          </w:tcPr>
          <w:p w14:paraId="3D0AC345" w14:textId="77777777" w:rsidR="001009CE" w:rsidRPr="00D948C1" w:rsidRDefault="001009CE" w:rsidP="006C0086">
            <w:pPr>
              <w:spacing w:line="276" w:lineRule="auto"/>
              <w:ind w:left="175"/>
              <w:rPr>
                <w:rFonts w:cs="Arial"/>
                <w:szCs w:val="24"/>
                <w:lang w:eastAsia="en-GB"/>
              </w:rPr>
            </w:pPr>
            <w:r w:rsidRPr="00D948C1">
              <w:rPr>
                <w:rFonts w:cs="Arial"/>
                <w:szCs w:val="24"/>
                <w:lang w:eastAsia="en-GB"/>
              </w:rPr>
              <w:t>Carried at historical cost</w:t>
            </w:r>
          </w:p>
        </w:tc>
        <w:tc>
          <w:tcPr>
            <w:tcW w:w="1339" w:type="dxa"/>
            <w:shd w:val="clear" w:color="auto" w:fill="auto"/>
            <w:noWrap/>
            <w:vAlign w:val="center"/>
          </w:tcPr>
          <w:p w14:paraId="60F1FC71" w14:textId="04027243" w:rsidR="001009CE" w:rsidRPr="00D948C1" w:rsidRDefault="001009CE" w:rsidP="006C0086">
            <w:pPr>
              <w:pStyle w:val="CommentText"/>
              <w:spacing w:line="276" w:lineRule="auto"/>
              <w:jc w:val="right"/>
              <w:rPr>
                <w:rFonts w:cs="Arial"/>
                <w:sz w:val="24"/>
                <w:szCs w:val="24"/>
                <w:lang w:eastAsia="en-GB"/>
              </w:rPr>
            </w:pPr>
            <w:r w:rsidRPr="00D948C1">
              <w:rPr>
                <w:rFonts w:cs="Arial"/>
                <w:sz w:val="24"/>
                <w:szCs w:val="24"/>
              </w:rPr>
              <w:t>-</w:t>
            </w:r>
          </w:p>
        </w:tc>
        <w:tc>
          <w:tcPr>
            <w:tcW w:w="1354" w:type="dxa"/>
            <w:vAlign w:val="center"/>
          </w:tcPr>
          <w:p w14:paraId="3E6E6BBE" w14:textId="131A351E"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60" w:type="dxa"/>
            <w:shd w:val="clear" w:color="auto" w:fill="auto"/>
            <w:vAlign w:val="center"/>
          </w:tcPr>
          <w:p w14:paraId="2D28390F" w14:textId="56C1CFD0" w:rsidR="001009CE" w:rsidRPr="00D948C1" w:rsidRDefault="00C57A5D" w:rsidP="006C0086">
            <w:pPr>
              <w:spacing w:line="276" w:lineRule="auto"/>
              <w:jc w:val="right"/>
              <w:rPr>
                <w:rFonts w:cs="Arial"/>
                <w:szCs w:val="24"/>
                <w:lang w:eastAsia="en-GB"/>
              </w:rPr>
            </w:pPr>
            <w:r w:rsidRPr="00D948C1">
              <w:rPr>
                <w:rFonts w:cs="Arial"/>
                <w:szCs w:val="24"/>
                <w:lang w:eastAsia="en-GB"/>
              </w:rPr>
              <w:t>11,</w:t>
            </w:r>
            <w:r w:rsidR="00542CCA">
              <w:rPr>
                <w:rFonts w:cs="Arial"/>
                <w:szCs w:val="24"/>
                <w:lang w:eastAsia="en-GB"/>
              </w:rPr>
              <w:t>837</w:t>
            </w:r>
          </w:p>
        </w:tc>
        <w:tc>
          <w:tcPr>
            <w:tcW w:w="1559" w:type="dxa"/>
            <w:shd w:val="clear" w:color="auto" w:fill="auto"/>
            <w:noWrap/>
            <w:vAlign w:val="center"/>
          </w:tcPr>
          <w:p w14:paraId="7B21B08A" w14:textId="79D267BA" w:rsidR="001009CE" w:rsidRPr="00D948C1" w:rsidRDefault="00B311E5" w:rsidP="006C0086">
            <w:pPr>
              <w:spacing w:line="276" w:lineRule="auto"/>
              <w:jc w:val="right"/>
              <w:rPr>
                <w:rFonts w:cs="Arial"/>
                <w:szCs w:val="24"/>
                <w:lang w:eastAsia="en-GB"/>
              </w:rPr>
            </w:pPr>
            <w:r w:rsidRPr="00D948C1">
              <w:rPr>
                <w:rFonts w:cs="Arial"/>
                <w:szCs w:val="24"/>
              </w:rPr>
              <w:t>11,</w:t>
            </w:r>
            <w:r w:rsidR="00542CCA">
              <w:rPr>
                <w:rFonts w:cs="Arial"/>
                <w:szCs w:val="24"/>
              </w:rPr>
              <w:t>837</w:t>
            </w:r>
          </w:p>
        </w:tc>
      </w:tr>
    </w:tbl>
    <w:p w14:paraId="4028F99B" w14:textId="77777777" w:rsidR="00372872" w:rsidRPr="00D948C1" w:rsidRDefault="00372872" w:rsidP="006C0086">
      <w:pPr>
        <w:spacing w:line="276" w:lineRule="auto"/>
      </w:pP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BF3BC5" w:rsidRPr="00D948C1" w14:paraId="427607FC" w14:textId="77777777" w:rsidTr="007641BA">
        <w:trPr>
          <w:trHeight w:val="225"/>
        </w:trPr>
        <w:tc>
          <w:tcPr>
            <w:tcW w:w="9956" w:type="dxa"/>
            <w:gridSpan w:val="5"/>
            <w:shd w:val="clear" w:color="auto" w:fill="D9D9D9" w:themeFill="background1" w:themeFillShade="D9"/>
            <w:noWrap/>
            <w:vAlign w:val="bottom"/>
          </w:tcPr>
          <w:p w14:paraId="75A12785" w14:textId="3ED222E6" w:rsidR="00BF3BC5" w:rsidRPr="00D948C1" w:rsidRDefault="00BF3BC5" w:rsidP="006C0086">
            <w:pPr>
              <w:spacing w:line="276" w:lineRule="auto"/>
              <w:rPr>
                <w:rFonts w:cs="Arial"/>
                <w:b/>
                <w:bCs/>
                <w:szCs w:val="24"/>
                <w:lang w:eastAsia="en-GB"/>
              </w:rPr>
            </w:pPr>
            <w:r w:rsidRPr="00D948C1">
              <w:rPr>
                <w:rFonts w:cs="Arial"/>
                <w:b/>
                <w:bCs/>
                <w:szCs w:val="24"/>
                <w:lang w:eastAsia="en-GB"/>
              </w:rPr>
              <w:t>Valued at current value as at:</w:t>
            </w:r>
          </w:p>
        </w:tc>
      </w:tr>
      <w:tr w:rsidR="001009CE" w:rsidRPr="00D948C1" w14:paraId="239F3500" w14:textId="77777777" w:rsidTr="008B00BF">
        <w:trPr>
          <w:trHeight w:val="225"/>
        </w:trPr>
        <w:tc>
          <w:tcPr>
            <w:tcW w:w="4144" w:type="dxa"/>
            <w:shd w:val="clear" w:color="auto" w:fill="auto"/>
            <w:noWrap/>
            <w:vAlign w:val="bottom"/>
          </w:tcPr>
          <w:p w14:paraId="451D3353" w14:textId="6C237DAA" w:rsidR="001009CE" w:rsidRPr="00D948C1" w:rsidRDefault="001009CE" w:rsidP="006C0086">
            <w:pPr>
              <w:spacing w:line="276" w:lineRule="auto"/>
              <w:ind w:left="175"/>
              <w:rPr>
                <w:rFonts w:cs="Arial"/>
                <w:szCs w:val="24"/>
                <w:lang w:eastAsia="en-GB"/>
              </w:rPr>
            </w:pPr>
            <w:r w:rsidRPr="00D948C1">
              <w:rPr>
                <w:rFonts w:cs="Arial"/>
                <w:szCs w:val="24"/>
                <w:lang w:eastAsia="en-GB"/>
              </w:rPr>
              <w:t>31 March 202</w:t>
            </w:r>
            <w:r w:rsidR="009010CF" w:rsidRPr="00D948C1">
              <w:rPr>
                <w:rFonts w:cs="Arial"/>
                <w:szCs w:val="24"/>
                <w:lang w:eastAsia="en-GB"/>
              </w:rPr>
              <w:t>4</w:t>
            </w:r>
          </w:p>
        </w:tc>
        <w:tc>
          <w:tcPr>
            <w:tcW w:w="1339" w:type="dxa"/>
            <w:shd w:val="clear" w:color="auto" w:fill="auto"/>
            <w:noWrap/>
            <w:vAlign w:val="center"/>
          </w:tcPr>
          <w:p w14:paraId="0C46DCC2" w14:textId="335EDADE" w:rsidR="001009CE" w:rsidRPr="00D948C1" w:rsidRDefault="008213FE" w:rsidP="006C0086">
            <w:pPr>
              <w:pStyle w:val="CommentText"/>
              <w:spacing w:line="276" w:lineRule="auto"/>
              <w:jc w:val="right"/>
              <w:rPr>
                <w:rFonts w:cs="Arial"/>
                <w:sz w:val="24"/>
                <w:szCs w:val="24"/>
                <w:lang w:eastAsia="en-GB"/>
              </w:rPr>
            </w:pPr>
            <w:r w:rsidRPr="00D948C1">
              <w:rPr>
                <w:rFonts w:cs="Arial"/>
                <w:sz w:val="24"/>
                <w:szCs w:val="24"/>
              </w:rPr>
              <w:t>79,242</w:t>
            </w:r>
          </w:p>
        </w:tc>
        <w:tc>
          <w:tcPr>
            <w:tcW w:w="1354" w:type="dxa"/>
            <w:vAlign w:val="center"/>
          </w:tcPr>
          <w:p w14:paraId="158FBDA5" w14:textId="2700091B" w:rsidR="001009CE" w:rsidRPr="00D948C1" w:rsidRDefault="008213FE" w:rsidP="006C0086">
            <w:pPr>
              <w:spacing w:line="276" w:lineRule="auto"/>
              <w:jc w:val="right"/>
              <w:rPr>
                <w:rFonts w:cs="Arial"/>
                <w:szCs w:val="24"/>
                <w:lang w:eastAsia="en-GB"/>
              </w:rPr>
            </w:pPr>
            <w:r w:rsidRPr="00D948C1">
              <w:rPr>
                <w:rFonts w:cs="Arial"/>
                <w:szCs w:val="24"/>
              </w:rPr>
              <w:t>36,2</w:t>
            </w:r>
            <w:r w:rsidR="00E90991" w:rsidRPr="00D948C1">
              <w:rPr>
                <w:rFonts w:cs="Arial"/>
                <w:szCs w:val="24"/>
              </w:rPr>
              <w:t>70</w:t>
            </w:r>
          </w:p>
        </w:tc>
        <w:tc>
          <w:tcPr>
            <w:tcW w:w="1560" w:type="dxa"/>
            <w:shd w:val="clear" w:color="auto" w:fill="auto"/>
            <w:vAlign w:val="center"/>
          </w:tcPr>
          <w:p w14:paraId="466B1B23" w14:textId="7BF50F5E" w:rsidR="001009CE" w:rsidRPr="00D948C1" w:rsidRDefault="00682231" w:rsidP="006C0086">
            <w:pPr>
              <w:spacing w:line="276" w:lineRule="auto"/>
              <w:jc w:val="right"/>
              <w:rPr>
                <w:rFonts w:cs="Arial"/>
                <w:szCs w:val="24"/>
                <w:lang w:eastAsia="en-GB"/>
              </w:rPr>
            </w:pPr>
            <w:r w:rsidRPr="00D948C1">
              <w:rPr>
                <w:rFonts w:cs="Arial"/>
                <w:szCs w:val="24"/>
              </w:rPr>
              <w:t>-</w:t>
            </w:r>
          </w:p>
        </w:tc>
        <w:tc>
          <w:tcPr>
            <w:tcW w:w="1559" w:type="dxa"/>
            <w:shd w:val="clear" w:color="auto" w:fill="auto"/>
            <w:noWrap/>
            <w:vAlign w:val="center"/>
          </w:tcPr>
          <w:p w14:paraId="15FCF066" w14:textId="50A11E9E" w:rsidR="001009CE" w:rsidRPr="00D948C1" w:rsidRDefault="008213FE" w:rsidP="006C0086">
            <w:pPr>
              <w:spacing w:line="276" w:lineRule="auto"/>
              <w:jc w:val="right"/>
              <w:rPr>
                <w:rFonts w:cs="Arial"/>
                <w:szCs w:val="24"/>
                <w:lang w:eastAsia="en-GB"/>
              </w:rPr>
            </w:pPr>
            <w:r w:rsidRPr="00D948C1">
              <w:rPr>
                <w:rFonts w:cs="Arial"/>
                <w:szCs w:val="24"/>
              </w:rPr>
              <w:t>115,51</w:t>
            </w:r>
            <w:r w:rsidR="00D723B5" w:rsidRPr="00D948C1">
              <w:rPr>
                <w:rFonts w:cs="Arial"/>
                <w:szCs w:val="24"/>
              </w:rPr>
              <w:t>2</w:t>
            </w:r>
          </w:p>
        </w:tc>
      </w:tr>
      <w:tr w:rsidR="001009CE" w:rsidRPr="00D948C1" w14:paraId="515DB2FB" w14:textId="77777777" w:rsidTr="008B00BF">
        <w:trPr>
          <w:trHeight w:val="225"/>
        </w:trPr>
        <w:tc>
          <w:tcPr>
            <w:tcW w:w="4144" w:type="dxa"/>
            <w:shd w:val="clear" w:color="auto" w:fill="auto"/>
            <w:noWrap/>
            <w:vAlign w:val="bottom"/>
          </w:tcPr>
          <w:p w14:paraId="2DC10077" w14:textId="518B1D19" w:rsidR="001009CE" w:rsidRPr="00D948C1" w:rsidRDefault="001009CE" w:rsidP="006C0086">
            <w:pPr>
              <w:spacing w:line="276" w:lineRule="auto"/>
              <w:ind w:left="175"/>
              <w:rPr>
                <w:rFonts w:cs="Arial"/>
                <w:szCs w:val="24"/>
                <w:lang w:eastAsia="en-GB"/>
              </w:rPr>
            </w:pPr>
            <w:r w:rsidRPr="00D948C1">
              <w:rPr>
                <w:rFonts w:cs="Arial"/>
                <w:szCs w:val="24"/>
                <w:lang w:eastAsia="en-GB"/>
              </w:rPr>
              <w:t>31 March 2010</w:t>
            </w:r>
          </w:p>
        </w:tc>
        <w:tc>
          <w:tcPr>
            <w:tcW w:w="1339" w:type="dxa"/>
            <w:shd w:val="clear" w:color="auto" w:fill="auto"/>
            <w:noWrap/>
            <w:vAlign w:val="center"/>
          </w:tcPr>
          <w:p w14:paraId="603BA94C" w14:textId="5CFF3996" w:rsidR="001009CE" w:rsidRPr="00D948C1" w:rsidRDefault="001009CE" w:rsidP="006C0086">
            <w:pPr>
              <w:pStyle w:val="CommentText"/>
              <w:spacing w:line="276" w:lineRule="auto"/>
              <w:jc w:val="right"/>
              <w:rPr>
                <w:rFonts w:cs="Arial"/>
                <w:sz w:val="24"/>
                <w:szCs w:val="24"/>
                <w:lang w:eastAsia="en-GB"/>
              </w:rPr>
            </w:pPr>
            <w:r w:rsidRPr="00D948C1">
              <w:rPr>
                <w:rFonts w:cs="Arial"/>
                <w:sz w:val="24"/>
                <w:szCs w:val="24"/>
              </w:rPr>
              <w:t>-</w:t>
            </w:r>
          </w:p>
        </w:tc>
        <w:tc>
          <w:tcPr>
            <w:tcW w:w="1354" w:type="dxa"/>
            <w:vAlign w:val="center"/>
          </w:tcPr>
          <w:p w14:paraId="6BDAC12B" w14:textId="203298C5"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60" w:type="dxa"/>
            <w:shd w:val="clear" w:color="auto" w:fill="auto"/>
            <w:vAlign w:val="center"/>
          </w:tcPr>
          <w:p w14:paraId="4231726D" w14:textId="73C326D7" w:rsidR="001009CE" w:rsidRPr="00D948C1" w:rsidRDefault="001009CE" w:rsidP="006C0086">
            <w:pPr>
              <w:spacing w:line="276" w:lineRule="auto"/>
              <w:jc w:val="right"/>
              <w:rPr>
                <w:rFonts w:cs="Arial"/>
                <w:szCs w:val="24"/>
                <w:lang w:eastAsia="en-GB"/>
              </w:rPr>
            </w:pPr>
            <w:r w:rsidRPr="00D948C1">
              <w:rPr>
                <w:rFonts w:cs="Arial"/>
                <w:szCs w:val="24"/>
              </w:rPr>
              <w:t>-</w:t>
            </w:r>
          </w:p>
        </w:tc>
        <w:tc>
          <w:tcPr>
            <w:tcW w:w="1559" w:type="dxa"/>
            <w:shd w:val="clear" w:color="auto" w:fill="auto"/>
            <w:noWrap/>
            <w:vAlign w:val="center"/>
          </w:tcPr>
          <w:p w14:paraId="7DFF9756" w14:textId="180601A3" w:rsidR="001009CE" w:rsidRPr="00D948C1" w:rsidRDefault="001009CE" w:rsidP="006C0086">
            <w:pPr>
              <w:spacing w:line="276" w:lineRule="auto"/>
              <w:jc w:val="right"/>
              <w:rPr>
                <w:rFonts w:cs="Arial"/>
                <w:szCs w:val="24"/>
                <w:lang w:eastAsia="en-GB"/>
              </w:rPr>
            </w:pPr>
            <w:r w:rsidRPr="00D948C1">
              <w:rPr>
                <w:rFonts w:cs="Arial"/>
                <w:szCs w:val="24"/>
              </w:rPr>
              <w:t>-</w:t>
            </w:r>
          </w:p>
        </w:tc>
      </w:tr>
      <w:tr w:rsidR="001009CE" w:rsidRPr="00D948C1" w14:paraId="1356EF90" w14:textId="77777777" w:rsidTr="008B00BF">
        <w:trPr>
          <w:trHeight w:val="225"/>
        </w:trPr>
        <w:tc>
          <w:tcPr>
            <w:tcW w:w="4144" w:type="dxa"/>
            <w:shd w:val="clear" w:color="auto" w:fill="auto"/>
            <w:noWrap/>
            <w:vAlign w:val="bottom"/>
          </w:tcPr>
          <w:p w14:paraId="12A82107" w14:textId="77777777" w:rsidR="001009CE" w:rsidRPr="00D948C1" w:rsidRDefault="001009CE" w:rsidP="006C0086">
            <w:pPr>
              <w:spacing w:line="276" w:lineRule="auto"/>
              <w:ind w:left="175"/>
              <w:rPr>
                <w:rFonts w:cs="Arial"/>
                <w:szCs w:val="24"/>
                <w:lang w:eastAsia="en-GB"/>
              </w:rPr>
            </w:pPr>
            <w:r w:rsidRPr="00D948C1">
              <w:rPr>
                <w:rFonts w:cs="Arial"/>
                <w:szCs w:val="24"/>
                <w:lang w:eastAsia="en-GB"/>
              </w:rPr>
              <w:t>Total cost or valuation</w:t>
            </w:r>
          </w:p>
        </w:tc>
        <w:tc>
          <w:tcPr>
            <w:tcW w:w="1339" w:type="dxa"/>
            <w:shd w:val="clear" w:color="auto" w:fill="auto"/>
            <w:noWrap/>
            <w:vAlign w:val="center"/>
          </w:tcPr>
          <w:p w14:paraId="5707B4DA" w14:textId="2CE11526" w:rsidR="001009CE" w:rsidRPr="00D948C1" w:rsidRDefault="008213FE" w:rsidP="006C0086">
            <w:pPr>
              <w:pStyle w:val="CommentText"/>
              <w:spacing w:line="276" w:lineRule="auto"/>
              <w:jc w:val="right"/>
              <w:rPr>
                <w:rFonts w:cs="Arial"/>
                <w:sz w:val="24"/>
                <w:szCs w:val="24"/>
                <w:lang w:eastAsia="en-GB"/>
              </w:rPr>
            </w:pPr>
            <w:r w:rsidRPr="00D948C1">
              <w:rPr>
                <w:rFonts w:cs="Arial"/>
                <w:sz w:val="24"/>
                <w:szCs w:val="24"/>
              </w:rPr>
              <w:t>79,242</w:t>
            </w:r>
          </w:p>
        </w:tc>
        <w:tc>
          <w:tcPr>
            <w:tcW w:w="1354" w:type="dxa"/>
            <w:vAlign w:val="center"/>
          </w:tcPr>
          <w:p w14:paraId="5DB1E895" w14:textId="0F9E2883" w:rsidR="001009CE" w:rsidRPr="00D948C1" w:rsidRDefault="008213FE" w:rsidP="006C0086">
            <w:pPr>
              <w:spacing w:line="276" w:lineRule="auto"/>
              <w:jc w:val="right"/>
              <w:rPr>
                <w:rFonts w:cs="Arial"/>
                <w:szCs w:val="24"/>
                <w:lang w:eastAsia="en-GB"/>
              </w:rPr>
            </w:pPr>
            <w:r w:rsidRPr="00D948C1">
              <w:rPr>
                <w:rFonts w:cs="Arial"/>
                <w:szCs w:val="24"/>
              </w:rPr>
              <w:t>36,2</w:t>
            </w:r>
            <w:r w:rsidR="00E90991" w:rsidRPr="00D948C1">
              <w:rPr>
                <w:rFonts w:cs="Arial"/>
                <w:szCs w:val="24"/>
              </w:rPr>
              <w:t>70</w:t>
            </w:r>
          </w:p>
        </w:tc>
        <w:tc>
          <w:tcPr>
            <w:tcW w:w="1560" w:type="dxa"/>
            <w:shd w:val="clear" w:color="auto" w:fill="auto"/>
            <w:vAlign w:val="center"/>
          </w:tcPr>
          <w:p w14:paraId="0D3490B9" w14:textId="33551D00" w:rsidR="001009CE" w:rsidRPr="00D948C1" w:rsidRDefault="00C57A5D" w:rsidP="006C0086">
            <w:pPr>
              <w:spacing w:line="276" w:lineRule="auto"/>
              <w:jc w:val="right"/>
              <w:rPr>
                <w:rFonts w:cs="Arial"/>
                <w:szCs w:val="24"/>
                <w:lang w:eastAsia="en-GB"/>
              </w:rPr>
            </w:pPr>
            <w:r w:rsidRPr="00D948C1">
              <w:rPr>
                <w:rFonts w:cs="Arial"/>
                <w:szCs w:val="24"/>
                <w:lang w:eastAsia="en-GB"/>
              </w:rPr>
              <w:t>11,</w:t>
            </w:r>
            <w:r w:rsidR="00542CCA">
              <w:rPr>
                <w:rFonts w:cs="Arial"/>
                <w:szCs w:val="24"/>
                <w:lang w:eastAsia="en-GB"/>
              </w:rPr>
              <w:t>837</w:t>
            </w:r>
          </w:p>
        </w:tc>
        <w:tc>
          <w:tcPr>
            <w:tcW w:w="1559" w:type="dxa"/>
            <w:shd w:val="clear" w:color="auto" w:fill="auto"/>
            <w:noWrap/>
            <w:vAlign w:val="center"/>
          </w:tcPr>
          <w:p w14:paraId="34A0AE99" w14:textId="6C0E7537" w:rsidR="001009CE" w:rsidRPr="00D948C1" w:rsidRDefault="008213FE" w:rsidP="006C0086">
            <w:pPr>
              <w:spacing w:line="276" w:lineRule="auto"/>
              <w:jc w:val="right"/>
              <w:rPr>
                <w:rFonts w:cs="Arial"/>
                <w:szCs w:val="24"/>
                <w:lang w:eastAsia="en-GB"/>
              </w:rPr>
            </w:pPr>
            <w:r w:rsidRPr="00D948C1">
              <w:rPr>
                <w:rFonts w:cs="Arial"/>
                <w:szCs w:val="24"/>
              </w:rPr>
              <w:t>1</w:t>
            </w:r>
            <w:r w:rsidR="00B311E5" w:rsidRPr="00D948C1">
              <w:rPr>
                <w:rFonts w:cs="Arial"/>
                <w:szCs w:val="24"/>
              </w:rPr>
              <w:t>2</w:t>
            </w:r>
            <w:r w:rsidR="00542CCA">
              <w:rPr>
                <w:rFonts w:cs="Arial"/>
                <w:szCs w:val="24"/>
              </w:rPr>
              <w:t>7,349</w:t>
            </w:r>
          </w:p>
        </w:tc>
      </w:tr>
    </w:tbl>
    <w:p w14:paraId="5F97BB5F" w14:textId="77777777" w:rsidR="00F74E7D" w:rsidRPr="00D948C1" w:rsidRDefault="00F74E7D" w:rsidP="006C0086">
      <w:pPr>
        <w:pStyle w:val="BodyTextIndent"/>
        <w:spacing w:line="276" w:lineRule="auto"/>
        <w:ind w:left="0" w:right="425"/>
        <w:jc w:val="both"/>
        <w:rPr>
          <w:szCs w:val="24"/>
          <w:lang w:val="en-GB"/>
        </w:rPr>
      </w:pPr>
    </w:p>
    <w:p w14:paraId="567B8667" w14:textId="147E4961" w:rsidR="00E90991" w:rsidRPr="00D948C1" w:rsidRDefault="00E90991" w:rsidP="006C0086">
      <w:pPr>
        <w:pStyle w:val="BodyTextIndent"/>
        <w:spacing w:line="276" w:lineRule="auto"/>
        <w:ind w:left="709" w:right="425"/>
        <w:rPr>
          <w:szCs w:val="24"/>
          <w:lang w:val="en-GB"/>
        </w:rPr>
      </w:pPr>
      <w:bookmarkStart w:id="34" w:name="_Hlk170985980"/>
      <w:r w:rsidRPr="00D948C1">
        <w:rPr>
          <w:szCs w:val="24"/>
          <w:lang w:val="en-GB"/>
        </w:rPr>
        <w:t>The vehicle, plant &amp; equipment disposal</w:t>
      </w:r>
      <w:r w:rsidR="004B58BE">
        <w:rPr>
          <w:szCs w:val="24"/>
          <w:lang w:val="en-GB"/>
        </w:rPr>
        <w:t>/de-recognition</w:t>
      </w:r>
      <w:r w:rsidRPr="00D948C1">
        <w:rPr>
          <w:szCs w:val="24"/>
          <w:lang w:val="en-GB"/>
        </w:rPr>
        <w:t xml:space="preserve"> figures in the above table</w:t>
      </w:r>
      <w:r w:rsidR="008873A9" w:rsidRPr="00D948C1">
        <w:rPr>
          <w:szCs w:val="24"/>
          <w:lang w:val="en-GB"/>
        </w:rPr>
        <w:t>,</w:t>
      </w:r>
      <w:r w:rsidRPr="00D948C1">
        <w:rPr>
          <w:szCs w:val="24"/>
          <w:lang w:val="en-GB"/>
        </w:rPr>
        <w:t xml:space="preserve"> include 2022/23 </w:t>
      </w:r>
      <w:r w:rsidR="008873A9" w:rsidRPr="00D948C1">
        <w:rPr>
          <w:szCs w:val="24"/>
          <w:lang w:val="en-GB"/>
        </w:rPr>
        <w:t>disposals</w:t>
      </w:r>
      <w:r w:rsidR="004B58BE">
        <w:rPr>
          <w:szCs w:val="24"/>
          <w:lang w:val="en-GB"/>
        </w:rPr>
        <w:t xml:space="preserve"> and de-recognitions</w:t>
      </w:r>
      <w:r w:rsidR="008873A9" w:rsidRPr="00D948C1">
        <w:rPr>
          <w:szCs w:val="24"/>
          <w:lang w:val="en-GB"/>
        </w:rPr>
        <w:t xml:space="preserve"> not previously recognised.</w:t>
      </w:r>
      <w:bookmarkEnd w:id="34"/>
    </w:p>
    <w:p w14:paraId="3D1FCDFD" w14:textId="77777777" w:rsidR="00E90991" w:rsidRPr="00D948C1" w:rsidRDefault="00E90991" w:rsidP="006C0086">
      <w:pPr>
        <w:pStyle w:val="BodyTextIndent"/>
        <w:spacing w:line="276" w:lineRule="auto"/>
        <w:ind w:left="709" w:right="425"/>
        <w:rPr>
          <w:szCs w:val="24"/>
          <w:lang w:val="en-GB"/>
        </w:rPr>
      </w:pPr>
    </w:p>
    <w:p w14:paraId="3CEBBCE6" w14:textId="0F3745C0" w:rsidR="00F70B51" w:rsidRPr="00D948C1" w:rsidRDefault="004E6BCF" w:rsidP="006C0086">
      <w:pPr>
        <w:pStyle w:val="BodyTextIndent"/>
        <w:spacing w:line="276" w:lineRule="auto"/>
        <w:ind w:left="709" w:right="425"/>
        <w:rPr>
          <w:szCs w:val="24"/>
          <w:lang w:val="en-GB"/>
        </w:rPr>
      </w:pPr>
      <w:r w:rsidRPr="00D948C1">
        <w:rPr>
          <w:szCs w:val="24"/>
          <w:lang w:val="en-GB"/>
        </w:rPr>
        <w:t>On 31 March 20</w:t>
      </w:r>
      <w:r w:rsidR="0095101D" w:rsidRPr="00D948C1">
        <w:rPr>
          <w:szCs w:val="24"/>
          <w:lang w:val="en-GB"/>
        </w:rPr>
        <w:t>2</w:t>
      </w:r>
      <w:r w:rsidR="009010CF" w:rsidRPr="00D948C1">
        <w:rPr>
          <w:szCs w:val="24"/>
          <w:lang w:val="en-GB"/>
        </w:rPr>
        <w:t>4</w:t>
      </w:r>
      <w:r w:rsidRPr="00D948C1">
        <w:rPr>
          <w:szCs w:val="24"/>
          <w:lang w:val="en-GB"/>
        </w:rPr>
        <w:t xml:space="preserve"> the Authority undertook a </w:t>
      </w:r>
      <w:r w:rsidR="002B7458" w:rsidRPr="00D948C1">
        <w:rPr>
          <w:szCs w:val="24"/>
          <w:lang w:val="en-GB"/>
        </w:rPr>
        <w:t xml:space="preserve">full </w:t>
      </w:r>
      <w:r w:rsidRPr="00D948C1">
        <w:rPr>
          <w:szCs w:val="24"/>
          <w:lang w:val="en-GB"/>
        </w:rPr>
        <w:t xml:space="preserve">revaluation review on </w:t>
      </w:r>
      <w:r w:rsidR="002E480C" w:rsidRPr="00D948C1">
        <w:rPr>
          <w:szCs w:val="24"/>
          <w:lang w:val="en-GB"/>
        </w:rPr>
        <w:t xml:space="preserve">approximately one </w:t>
      </w:r>
      <w:r w:rsidR="002C5D98" w:rsidRPr="00D948C1">
        <w:rPr>
          <w:szCs w:val="24"/>
          <w:lang w:val="en-GB"/>
        </w:rPr>
        <w:t>fifth</w:t>
      </w:r>
      <w:r w:rsidRPr="00D948C1">
        <w:rPr>
          <w:szCs w:val="24"/>
          <w:lang w:val="en-GB"/>
        </w:rPr>
        <w:t xml:space="preserve"> of its land and buildings, </w:t>
      </w:r>
      <w:r w:rsidR="00DB413B" w:rsidRPr="00D948C1">
        <w:rPr>
          <w:szCs w:val="24"/>
          <w:lang w:val="en-GB"/>
        </w:rPr>
        <w:t>and in addition carried out a</w:t>
      </w:r>
      <w:r w:rsidR="00091649" w:rsidRPr="00D948C1">
        <w:rPr>
          <w:szCs w:val="24"/>
          <w:lang w:val="en-GB"/>
        </w:rPr>
        <w:t xml:space="preserve"> desktop revaluation</w:t>
      </w:r>
      <w:r w:rsidR="00DB413B" w:rsidRPr="00D948C1">
        <w:rPr>
          <w:szCs w:val="24"/>
          <w:lang w:val="en-GB"/>
        </w:rPr>
        <w:t xml:space="preserve"> exercise on </w:t>
      </w:r>
      <w:r w:rsidR="00DB413B" w:rsidRPr="00D948C1">
        <w:rPr>
          <w:szCs w:val="24"/>
          <w:lang w:val="en-GB"/>
        </w:rPr>
        <w:lastRenderedPageBreak/>
        <w:t xml:space="preserve">the remainder, </w:t>
      </w:r>
      <w:r w:rsidRPr="00D948C1">
        <w:rPr>
          <w:szCs w:val="24"/>
          <w:lang w:val="en-GB"/>
        </w:rPr>
        <w:t xml:space="preserve">which resulted in </w:t>
      </w:r>
      <w:r w:rsidR="00F70B51" w:rsidRPr="00D948C1">
        <w:rPr>
          <w:szCs w:val="24"/>
          <w:lang w:val="en-GB"/>
        </w:rPr>
        <w:t xml:space="preserve">a net </w:t>
      </w:r>
      <w:r w:rsidR="001A2087" w:rsidRPr="00D948C1">
        <w:rPr>
          <w:szCs w:val="24"/>
          <w:lang w:val="en-GB"/>
        </w:rPr>
        <w:t xml:space="preserve">revaluation </w:t>
      </w:r>
      <w:r w:rsidR="00315414" w:rsidRPr="00D948C1">
        <w:rPr>
          <w:szCs w:val="24"/>
          <w:lang w:val="en-GB"/>
        </w:rPr>
        <w:t>gain</w:t>
      </w:r>
      <w:r w:rsidR="00F70B51" w:rsidRPr="00D948C1">
        <w:rPr>
          <w:szCs w:val="24"/>
          <w:lang w:val="en-GB"/>
        </w:rPr>
        <w:t xml:space="preserve"> of </w:t>
      </w:r>
      <w:r w:rsidR="00750768" w:rsidRPr="00D948C1">
        <w:rPr>
          <w:szCs w:val="24"/>
          <w:lang w:val="en-GB"/>
        </w:rPr>
        <w:t>£</w:t>
      </w:r>
      <w:r w:rsidR="00FE6CCB" w:rsidRPr="00D948C1">
        <w:rPr>
          <w:szCs w:val="24"/>
          <w:lang w:val="en-GB"/>
        </w:rPr>
        <w:t>5.441m</w:t>
      </w:r>
      <w:r w:rsidR="003F791B" w:rsidRPr="00D948C1">
        <w:rPr>
          <w:szCs w:val="24"/>
          <w:lang w:val="en-GB"/>
        </w:rPr>
        <w:t xml:space="preserve"> (</w:t>
      </w:r>
      <w:r w:rsidR="002E3F7A" w:rsidRPr="00D948C1">
        <w:rPr>
          <w:szCs w:val="24"/>
          <w:lang w:val="en-GB"/>
        </w:rPr>
        <w:t>2022/23</w:t>
      </w:r>
      <w:r w:rsidR="00D66F6A" w:rsidRPr="00D948C1">
        <w:rPr>
          <w:szCs w:val="24"/>
          <w:lang w:val="en-GB"/>
        </w:rPr>
        <w:t xml:space="preserve">: net </w:t>
      </w:r>
      <w:r w:rsidR="00B81C41" w:rsidRPr="00D948C1">
        <w:rPr>
          <w:szCs w:val="24"/>
          <w:lang w:val="en-GB"/>
        </w:rPr>
        <w:t>gain</w:t>
      </w:r>
      <w:r w:rsidR="00D66F6A" w:rsidRPr="00D948C1">
        <w:rPr>
          <w:szCs w:val="24"/>
          <w:lang w:val="en-GB"/>
        </w:rPr>
        <w:t xml:space="preserve"> of £</w:t>
      </w:r>
      <w:r w:rsidR="002E3F7A" w:rsidRPr="00D948C1">
        <w:rPr>
          <w:szCs w:val="24"/>
          <w:lang w:val="en-GB"/>
        </w:rPr>
        <w:t>22.283</w:t>
      </w:r>
      <w:r w:rsidR="00DF5C98" w:rsidRPr="00D948C1">
        <w:rPr>
          <w:szCs w:val="24"/>
          <w:lang w:val="en-GB"/>
        </w:rPr>
        <w:t>m</w:t>
      </w:r>
      <w:r w:rsidR="003F791B" w:rsidRPr="00D948C1">
        <w:rPr>
          <w:szCs w:val="24"/>
          <w:lang w:val="en-GB"/>
        </w:rPr>
        <w:t>)</w:t>
      </w:r>
      <w:r w:rsidR="00F70B51" w:rsidRPr="00D948C1">
        <w:rPr>
          <w:szCs w:val="24"/>
          <w:lang w:val="en-GB"/>
        </w:rPr>
        <w:t>.</w:t>
      </w:r>
    </w:p>
    <w:p w14:paraId="49BBD071" w14:textId="77777777" w:rsidR="0059226C" w:rsidRPr="00D948C1" w:rsidRDefault="0059226C" w:rsidP="006C0086">
      <w:pPr>
        <w:pStyle w:val="BodyTextIndent"/>
        <w:spacing w:line="276" w:lineRule="auto"/>
        <w:ind w:left="709" w:right="425"/>
        <w:rPr>
          <w:szCs w:val="24"/>
          <w:lang w:val="en-GB"/>
        </w:rPr>
      </w:pPr>
    </w:p>
    <w:p w14:paraId="144993ED" w14:textId="6EFD529C" w:rsidR="00372872" w:rsidRPr="00D948C1" w:rsidRDefault="0059226C" w:rsidP="006C0086">
      <w:pPr>
        <w:pStyle w:val="BodyTextIndent"/>
        <w:spacing w:line="276" w:lineRule="auto"/>
        <w:ind w:left="709" w:right="425"/>
        <w:rPr>
          <w:szCs w:val="24"/>
          <w:lang w:val="en-GB"/>
        </w:rPr>
      </w:pPr>
      <w:r w:rsidRPr="00D948C1">
        <w:rPr>
          <w:szCs w:val="24"/>
          <w:lang w:val="en-GB"/>
        </w:rPr>
        <w:t xml:space="preserve">Revenue Leases are included </w:t>
      </w:r>
      <w:r w:rsidR="002B09C5" w:rsidRPr="00D948C1">
        <w:rPr>
          <w:szCs w:val="24"/>
          <w:lang w:val="en-GB"/>
        </w:rPr>
        <w:t xml:space="preserve">in the quinquennial asset valuation programme to meet </w:t>
      </w:r>
      <w:r w:rsidR="00760249" w:rsidRPr="00D948C1">
        <w:rPr>
          <w:szCs w:val="24"/>
        </w:rPr>
        <w:t xml:space="preserve">International Financial Reporting Standards </w:t>
      </w:r>
      <w:r w:rsidR="002B09C5" w:rsidRPr="00D948C1">
        <w:rPr>
          <w:szCs w:val="24"/>
          <w:lang w:val="en-GB"/>
        </w:rPr>
        <w:t xml:space="preserve">16 </w:t>
      </w:r>
      <w:r w:rsidR="00E90991" w:rsidRPr="00D948C1">
        <w:rPr>
          <w:szCs w:val="24"/>
          <w:lang w:val="en-GB"/>
        </w:rPr>
        <w:t>requirements</w:t>
      </w:r>
      <w:r w:rsidR="002B09C5" w:rsidRPr="00D948C1">
        <w:rPr>
          <w:szCs w:val="24"/>
          <w:lang w:val="en-GB"/>
        </w:rPr>
        <w:t xml:space="preserve"> however are considered on a desktop basis only this year. All will be valued as full asset valuations from commencement of the </w:t>
      </w:r>
      <w:r w:rsidR="00DA1A80" w:rsidRPr="00D948C1">
        <w:rPr>
          <w:szCs w:val="24"/>
          <w:lang w:val="en-GB"/>
        </w:rPr>
        <w:t>2024-25</w:t>
      </w:r>
      <w:r w:rsidR="002B09C5" w:rsidRPr="00D948C1">
        <w:rPr>
          <w:szCs w:val="24"/>
          <w:lang w:val="en-GB"/>
        </w:rPr>
        <w:t xml:space="preserve"> financial year, in line with CIPFA Code of Practice.</w:t>
      </w:r>
    </w:p>
    <w:p w14:paraId="110DB437" w14:textId="77777777" w:rsidR="00372872" w:rsidRPr="00D948C1" w:rsidRDefault="00372872" w:rsidP="006C0086">
      <w:pPr>
        <w:pStyle w:val="BodyTextIndent"/>
        <w:spacing w:line="276" w:lineRule="auto"/>
        <w:ind w:left="709" w:right="425"/>
        <w:rPr>
          <w:szCs w:val="24"/>
          <w:lang w:val="en-GB"/>
        </w:rPr>
      </w:pPr>
    </w:p>
    <w:p w14:paraId="2394049C" w14:textId="5D2AD830" w:rsidR="00B16EF7" w:rsidRPr="00D948C1" w:rsidRDefault="00B16EF7" w:rsidP="006C0086">
      <w:pPr>
        <w:pStyle w:val="BodyTextIndent"/>
        <w:spacing w:line="276" w:lineRule="auto"/>
        <w:ind w:left="709" w:right="425"/>
        <w:rPr>
          <w:szCs w:val="24"/>
          <w:lang w:val="en-GB"/>
        </w:rPr>
      </w:pPr>
      <w:r w:rsidRPr="00D948C1">
        <w:rPr>
          <w:szCs w:val="24"/>
          <w:lang w:val="en-GB"/>
        </w:rPr>
        <w:t>The comparative figures detailing the movement during 20</w:t>
      </w:r>
      <w:r w:rsidR="001F4E9F" w:rsidRPr="00D948C1">
        <w:rPr>
          <w:szCs w:val="24"/>
          <w:lang w:val="en-GB"/>
        </w:rPr>
        <w:t>2</w:t>
      </w:r>
      <w:r w:rsidR="009010CF" w:rsidRPr="00D948C1">
        <w:rPr>
          <w:szCs w:val="24"/>
          <w:lang w:val="en-GB"/>
        </w:rPr>
        <w:t>2</w:t>
      </w:r>
      <w:r w:rsidR="001F4E9F" w:rsidRPr="00D948C1">
        <w:rPr>
          <w:szCs w:val="24"/>
          <w:lang w:val="en-GB"/>
        </w:rPr>
        <w:t>/</w:t>
      </w:r>
      <w:r w:rsidR="009010CF" w:rsidRPr="00D948C1">
        <w:rPr>
          <w:szCs w:val="24"/>
          <w:lang w:val="en-GB"/>
        </w:rPr>
        <w:t>23</w:t>
      </w:r>
      <w:r w:rsidR="00A10006" w:rsidRPr="00D948C1">
        <w:rPr>
          <w:szCs w:val="24"/>
          <w:lang w:val="en-GB"/>
        </w:rPr>
        <w:t>:</w:t>
      </w:r>
    </w:p>
    <w:p w14:paraId="074BED65" w14:textId="77777777" w:rsidR="00F74E7D" w:rsidRPr="00D948C1" w:rsidRDefault="00F74E7D" w:rsidP="006C0086">
      <w:pPr>
        <w:pStyle w:val="BodyTextIndent"/>
        <w:spacing w:line="276" w:lineRule="auto"/>
        <w:ind w:left="709" w:right="425"/>
        <w:jc w:val="both"/>
        <w:rPr>
          <w:szCs w:val="24"/>
          <w:lang w:val="en-GB"/>
        </w:rPr>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A01DCD" w:rsidRPr="00D948C1" w14:paraId="507E9E27" w14:textId="77777777" w:rsidTr="00611673">
        <w:trPr>
          <w:trHeight w:val="507"/>
          <w:tblHeader/>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652465C0" w14:textId="398B3436" w:rsidR="00A01DCD" w:rsidRPr="00D948C1" w:rsidRDefault="00A01DCD" w:rsidP="006C0086">
            <w:pPr>
              <w:spacing w:line="276" w:lineRule="auto"/>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vAlign w:val="center"/>
          </w:tcPr>
          <w:p w14:paraId="6EBD15B2" w14:textId="77777777"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40605310" w14:textId="66F63A3C"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174916B3" w14:textId="77777777"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4A5F5E42" w14:textId="69F885B3"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496D7169" w14:textId="77777777"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47AFF4D3" w14:textId="06A49D71"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F15F4D3" w14:textId="77777777" w:rsidR="00A01DCD" w:rsidRPr="00D948C1" w:rsidRDefault="00A01DCD"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44501D3E" w14:textId="485E1B98" w:rsidR="00A01DCD" w:rsidRPr="00D948C1" w:rsidRDefault="00A01DCD" w:rsidP="006C0086">
            <w:pPr>
              <w:pStyle w:val="CommentSubject"/>
              <w:spacing w:line="276" w:lineRule="auto"/>
              <w:jc w:val="right"/>
              <w:rPr>
                <w:rFonts w:ascii="Arial" w:hAnsi="Arial" w:cs="Arial"/>
                <w:b w:val="0"/>
                <w:color w:val="FFFFFF" w:themeColor="background1"/>
                <w:sz w:val="24"/>
                <w:szCs w:val="24"/>
                <w:lang w:eastAsia="en-GB"/>
              </w:rPr>
            </w:pPr>
            <w:r w:rsidRPr="00D948C1">
              <w:rPr>
                <w:rFonts w:ascii="Arial" w:hAnsi="Arial" w:cs="Arial"/>
                <w:b w:val="0"/>
                <w:color w:val="FFFFFF" w:themeColor="background1"/>
                <w:sz w:val="24"/>
                <w:szCs w:val="24"/>
                <w:lang w:eastAsia="en-GB"/>
              </w:rPr>
              <w:t>£000</w:t>
            </w:r>
          </w:p>
        </w:tc>
      </w:tr>
      <w:tr w:rsidR="00372872" w:rsidRPr="00D948C1" w14:paraId="42BC0A01"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0CD108" w14:textId="5BC104B2" w:rsidR="00372872" w:rsidRPr="00D948C1" w:rsidRDefault="00372872" w:rsidP="006C0086">
            <w:pPr>
              <w:spacing w:line="276" w:lineRule="auto"/>
              <w:rPr>
                <w:rFonts w:cs="Arial"/>
                <w:szCs w:val="24"/>
                <w:lang w:eastAsia="en-GB"/>
              </w:rPr>
            </w:pPr>
            <w:r w:rsidRPr="00D948C1">
              <w:rPr>
                <w:rFonts w:cs="Arial"/>
                <w:b/>
                <w:bCs/>
                <w:szCs w:val="24"/>
                <w:lang w:eastAsia="en-GB"/>
              </w:rPr>
              <w:t>Cost or valuation</w:t>
            </w:r>
          </w:p>
        </w:tc>
      </w:tr>
      <w:tr w:rsidR="00C93FB3" w:rsidRPr="00D948C1" w14:paraId="33EB7D6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8A9FF" w14:textId="51AFF003" w:rsidR="00C93FB3" w:rsidRPr="00D948C1" w:rsidRDefault="00C93FB3" w:rsidP="006C0086">
            <w:pPr>
              <w:spacing w:line="276" w:lineRule="auto"/>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691E" w14:textId="00DCB9E9" w:rsidR="00C93FB3" w:rsidRPr="00D948C1" w:rsidRDefault="00C93FB3" w:rsidP="006C0086">
            <w:pPr>
              <w:spacing w:line="276" w:lineRule="auto"/>
              <w:jc w:val="right"/>
              <w:rPr>
                <w:rFonts w:cs="Arial"/>
                <w:szCs w:val="24"/>
                <w:lang w:eastAsia="en-GB"/>
              </w:rPr>
            </w:pPr>
            <w:r w:rsidRPr="00D948C1">
              <w:rPr>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17135055" w14:textId="36B1128E" w:rsidR="00C93FB3" w:rsidRPr="00D948C1" w:rsidRDefault="00C93FB3" w:rsidP="006C0086">
            <w:pPr>
              <w:spacing w:line="276" w:lineRule="auto"/>
              <w:jc w:val="right"/>
              <w:rPr>
                <w:rFonts w:cs="Arial"/>
                <w:szCs w:val="24"/>
                <w:lang w:eastAsia="en-GB"/>
              </w:rPr>
            </w:pPr>
            <w:r w:rsidRPr="00D948C1">
              <w:rPr>
                <w:szCs w:val="24"/>
              </w:rPr>
              <w:t>31,175</w:t>
            </w:r>
          </w:p>
        </w:tc>
        <w:tc>
          <w:tcPr>
            <w:tcW w:w="1466" w:type="dxa"/>
            <w:tcBorders>
              <w:top w:val="single" w:sz="4" w:space="0" w:color="auto"/>
              <w:left w:val="single" w:sz="4" w:space="0" w:color="auto"/>
              <w:bottom w:val="single" w:sz="4" w:space="0" w:color="auto"/>
              <w:right w:val="single" w:sz="4" w:space="0" w:color="auto"/>
            </w:tcBorders>
            <w:vAlign w:val="center"/>
          </w:tcPr>
          <w:p w14:paraId="5AFD9BB4" w14:textId="1FC7613D" w:rsidR="00C93FB3" w:rsidRPr="00D948C1" w:rsidRDefault="00C93FB3" w:rsidP="006C0086">
            <w:pPr>
              <w:spacing w:line="276" w:lineRule="auto"/>
              <w:jc w:val="right"/>
              <w:rPr>
                <w:rFonts w:cs="Arial"/>
                <w:szCs w:val="24"/>
                <w:lang w:eastAsia="en-GB"/>
              </w:rPr>
            </w:pPr>
            <w:r w:rsidRPr="00D948C1">
              <w:rPr>
                <w:szCs w:val="24"/>
              </w:rPr>
              <w:t>24,160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2587" w14:textId="360C788B" w:rsidR="00C93FB3" w:rsidRPr="00D948C1" w:rsidRDefault="00C93FB3" w:rsidP="006C0086">
            <w:pPr>
              <w:spacing w:line="276" w:lineRule="auto"/>
              <w:jc w:val="right"/>
              <w:rPr>
                <w:rFonts w:cs="Arial"/>
                <w:szCs w:val="24"/>
                <w:lang w:eastAsia="en-GB"/>
              </w:rPr>
            </w:pPr>
            <w:r w:rsidRPr="00D948C1">
              <w:rPr>
                <w:szCs w:val="24"/>
              </w:rPr>
              <w:t>124,449</w:t>
            </w:r>
          </w:p>
        </w:tc>
      </w:tr>
      <w:tr w:rsidR="00C93FB3" w:rsidRPr="00D948C1" w14:paraId="6CDBE9DC"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2F63" w14:textId="1F110B02" w:rsidR="00C93FB3" w:rsidRPr="00D948C1" w:rsidRDefault="00C93FB3" w:rsidP="006C0086">
            <w:pPr>
              <w:spacing w:line="276" w:lineRule="auto"/>
              <w:ind w:left="175"/>
              <w:rPr>
                <w:rFonts w:cs="Arial"/>
                <w:szCs w:val="24"/>
                <w:lang w:eastAsia="en-GB"/>
              </w:rPr>
            </w:pPr>
            <w:r w:rsidRPr="00D948C1">
              <w:rPr>
                <w:rFonts w:cs="Arial"/>
                <w:szCs w:val="24"/>
                <w:lang w:eastAsia="en-GB"/>
              </w:rPr>
              <w:t>Additions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C7AD" w14:textId="0CF7AC6D" w:rsidR="00C93FB3" w:rsidRPr="00D948C1" w:rsidRDefault="00C93FB3" w:rsidP="006C0086">
            <w:pPr>
              <w:spacing w:line="276" w:lineRule="auto"/>
              <w:jc w:val="right"/>
              <w:rPr>
                <w:rFonts w:cs="Arial"/>
                <w:szCs w:val="24"/>
                <w:lang w:eastAsia="en-GB"/>
              </w:rPr>
            </w:pPr>
            <w:r w:rsidRPr="00D948C1">
              <w:rPr>
                <w:szCs w:val="24"/>
              </w:rPr>
              <w:t>473</w:t>
            </w:r>
          </w:p>
        </w:tc>
        <w:tc>
          <w:tcPr>
            <w:tcW w:w="1299" w:type="dxa"/>
            <w:tcBorders>
              <w:top w:val="single" w:sz="4" w:space="0" w:color="auto"/>
              <w:left w:val="single" w:sz="4" w:space="0" w:color="auto"/>
              <w:bottom w:val="single" w:sz="4" w:space="0" w:color="auto"/>
              <w:right w:val="single" w:sz="4" w:space="0" w:color="auto"/>
            </w:tcBorders>
            <w:vAlign w:val="center"/>
          </w:tcPr>
          <w:p w14:paraId="56F6021A" w14:textId="20EDF55E" w:rsidR="00C93FB3" w:rsidRPr="00D948C1" w:rsidRDefault="00C93FB3" w:rsidP="006C0086">
            <w:pPr>
              <w:spacing w:line="276" w:lineRule="auto"/>
              <w:jc w:val="right"/>
              <w:rPr>
                <w:rFonts w:cs="Arial"/>
                <w:szCs w:val="24"/>
                <w:lang w:eastAsia="en-GB"/>
              </w:rPr>
            </w:pPr>
            <w:r w:rsidRPr="00D948C1">
              <w:rPr>
                <w:szCs w:val="24"/>
              </w:rPr>
              <w:t>151</w:t>
            </w:r>
          </w:p>
        </w:tc>
        <w:tc>
          <w:tcPr>
            <w:tcW w:w="1466" w:type="dxa"/>
            <w:tcBorders>
              <w:top w:val="single" w:sz="4" w:space="0" w:color="auto"/>
              <w:left w:val="single" w:sz="4" w:space="0" w:color="auto"/>
              <w:bottom w:val="single" w:sz="4" w:space="0" w:color="auto"/>
              <w:right w:val="single" w:sz="4" w:space="0" w:color="auto"/>
            </w:tcBorders>
            <w:vAlign w:val="center"/>
          </w:tcPr>
          <w:p w14:paraId="36BB7983" w14:textId="4634B6B4" w:rsidR="00C93FB3" w:rsidRPr="00D948C1" w:rsidRDefault="00C93FB3" w:rsidP="006C0086">
            <w:pPr>
              <w:spacing w:line="276" w:lineRule="auto"/>
              <w:jc w:val="right"/>
              <w:rPr>
                <w:rFonts w:cs="Arial"/>
                <w:szCs w:val="24"/>
                <w:lang w:eastAsia="en-GB"/>
              </w:rPr>
            </w:pPr>
            <w:r w:rsidRPr="00D948C1">
              <w:rPr>
                <w:szCs w:val="24"/>
              </w:rPr>
              <w:t>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56CD" w14:textId="36EDA71B" w:rsidR="00C93FB3" w:rsidRPr="00D948C1" w:rsidRDefault="00C93FB3" w:rsidP="006C0086">
            <w:pPr>
              <w:spacing w:line="276" w:lineRule="auto"/>
              <w:jc w:val="right"/>
              <w:rPr>
                <w:rFonts w:cs="Arial"/>
                <w:szCs w:val="24"/>
                <w:lang w:eastAsia="en-GB"/>
              </w:rPr>
            </w:pPr>
            <w:r w:rsidRPr="00D948C1">
              <w:rPr>
                <w:szCs w:val="24"/>
              </w:rPr>
              <w:t>1,204</w:t>
            </w:r>
          </w:p>
        </w:tc>
      </w:tr>
      <w:tr w:rsidR="00C93FB3" w:rsidRPr="00D948C1" w14:paraId="35ECFFE1"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792A2" w14:textId="6A142344" w:rsidR="00C93FB3" w:rsidRPr="00D948C1" w:rsidRDefault="00C93FB3" w:rsidP="006C0086">
            <w:pPr>
              <w:spacing w:line="276" w:lineRule="auto"/>
              <w:ind w:left="175"/>
              <w:rPr>
                <w:rFonts w:cs="Arial"/>
                <w:szCs w:val="24"/>
                <w:lang w:eastAsia="en-GB"/>
              </w:rPr>
            </w:pPr>
            <w:r w:rsidRPr="00D948C1">
              <w:rPr>
                <w:rFonts w:cs="Arial"/>
                <w:szCs w:val="24"/>
                <w:lang w:eastAsia="en-GB"/>
              </w:rPr>
              <w:t>Disposals</w:t>
            </w:r>
            <w:r w:rsidR="00456B0B">
              <w:rPr>
                <w:rFonts w:cs="Arial"/>
                <w:szCs w:val="24"/>
                <w:lang w:eastAsia="en-GB"/>
              </w:rPr>
              <w:t>/De-recog</w:t>
            </w:r>
            <w:r w:rsidR="009A6091">
              <w:rPr>
                <w:rFonts w:cs="Arial"/>
                <w:szCs w:val="24"/>
                <w:lang w:eastAsia="en-GB"/>
              </w:rPr>
              <w:t>n</w:t>
            </w:r>
            <w:r w:rsidR="00456B0B">
              <w:rPr>
                <w:rFonts w:cs="Arial"/>
                <w:szCs w:val="24"/>
                <w:lang w:eastAsia="en-GB"/>
              </w:rPr>
              <w:t>itions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13879" w14:textId="5F688E2D" w:rsidR="00C93FB3" w:rsidRPr="00D948C1" w:rsidRDefault="00C93FB3" w:rsidP="006C0086">
            <w:pPr>
              <w:spacing w:line="276" w:lineRule="auto"/>
              <w:jc w:val="right"/>
              <w:rPr>
                <w:rFonts w:cs="Arial"/>
                <w:szCs w:val="24"/>
                <w:lang w:eastAsia="en-GB"/>
              </w:rPr>
            </w:pPr>
            <w:r w:rsidRPr="00D948C1">
              <w:rPr>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7D0822E" w14:textId="69810D23" w:rsidR="00C93FB3" w:rsidRPr="00D948C1" w:rsidRDefault="00C93FB3" w:rsidP="006C0086">
            <w:pPr>
              <w:spacing w:line="276" w:lineRule="auto"/>
              <w:jc w:val="right"/>
              <w:rPr>
                <w:rFonts w:cs="Arial"/>
                <w:szCs w:val="24"/>
                <w:lang w:eastAsia="en-GB"/>
              </w:rPr>
            </w:pPr>
            <w:r w:rsidRPr="00D948C1">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651EDAE0" w14:textId="72DD277A" w:rsidR="00C93FB3" w:rsidRPr="00D948C1" w:rsidRDefault="00C93FB3" w:rsidP="006C0086">
            <w:pPr>
              <w:spacing w:line="276" w:lineRule="auto"/>
              <w:jc w:val="right"/>
              <w:rPr>
                <w:rFonts w:cs="Arial"/>
                <w:szCs w:val="24"/>
                <w:lang w:eastAsia="en-GB"/>
              </w:rPr>
            </w:pPr>
            <w:r w:rsidRPr="00D948C1">
              <w:rPr>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FBE1B" w14:textId="2549D3B5" w:rsidR="00C93FB3" w:rsidRPr="00D948C1" w:rsidRDefault="00C93FB3" w:rsidP="006C0086">
            <w:pPr>
              <w:spacing w:line="276" w:lineRule="auto"/>
              <w:jc w:val="right"/>
              <w:rPr>
                <w:rFonts w:cs="Arial"/>
                <w:szCs w:val="24"/>
                <w:lang w:eastAsia="en-GB"/>
              </w:rPr>
            </w:pPr>
            <w:r w:rsidRPr="00D948C1">
              <w:rPr>
                <w:szCs w:val="24"/>
              </w:rPr>
              <w:t>(32)</w:t>
            </w:r>
          </w:p>
        </w:tc>
      </w:tr>
      <w:tr w:rsidR="00C93FB3" w:rsidRPr="00D948C1" w14:paraId="2B3A41F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2E22" w14:textId="73AAEF47" w:rsidR="00C93FB3" w:rsidRPr="00D948C1" w:rsidRDefault="000646FA" w:rsidP="006C0086">
            <w:pPr>
              <w:spacing w:line="276" w:lineRule="auto"/>
              <w:ind w:left="175"/>
              <w:rPr>
                <w:rFonts w:cs="Arial"/>
                <w:szCs w:val="24"/>
                <w:lang w:eastAsia="en-GB"/>
              </w:rPr>
            </w:pPr>
            <w:r>
              <w:rPr>
                <w:rFonts w:cs="Arial"/>
                <w:szCs w:val="24"/>
                <w:lang w:eastAsia="en-GB"/>
              </w:rPr>
              <w:t>Downward revaluation</w:t>
            </w:r>
            <w:r w:rsidR="00C93FB3" w:rsidRPr="00D948C1">
              <w:rPr>
                <w:rFonts w:cs="Arial"/>
                <w:szCs w:val="24"/>
                <w:lang w:eastAsia="en-GB"/>
              </w:rPr>
              <w:t xml:space="preserve"> recognised in the Revaluation Reserve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3AE8F" w14:textId="3E54CB1F" w:rsidR="00C93FB3" w:rsidRPr="00D948C1" w:rsidRDefault="00C93FB3" w:rsidP="006C0086">
            <w:pPr>
              <w:spacing w:line="276" w:lineRule="auto"/>
              <w:jc w:val="right"/>
              <w:rPr>
                <w:rFonts w:cs="Arial"/>
                <w:szCs w:val="24"/>
                <w:lang w:eastAsia="en-GB"/>
              </w:rPr>
            </w:pPr>
            <w:r w:rsidRPr="00D948C1">
              <w:rPr>
                <w:szCs w:val="24"/>
              </w:rPr>
              <w:t>(279)</w:t>
            </w:r>
          </w:p>
        </w:tc>
        <w:tc>
          <w:tcPr>
            <w:tcW w:w="1299" w:type="dxa"/>
            <w:tcBorders>
              <w:top w:val="single" w:sz="4" w:space="0" w:color="auto"/>
              <w:left w:val="single" w:sz="4" w:space="0" w:color="auto"/>
              <w:bottom w:val="single" w:sz="4" w:space="0" w:color="auto"/>
              <w:right w:val="single" w:sz="4" w:space="0" w:color="auto"/>
            </w:tcBorders>
            <w:vAlign w:val="center"/>
          </w:tcPr>
          <w:p w14:paraId="667C867A" w14:textId="09D4D051" w:rsidR="00C93FB3" w:rsidRPr="00D948C1" w:rsidRDefault="00C93FB3" w:rsidP="006C0086">
            <w:pPr>
              <w:spacing w:line="276" w:lineRule="auto"/>
              <w:jc w:val="right"/>
              <w:rPr>
                <w:rFonts w:cs="Arial"/>
                <w:szCs w:val="24"/>
                <w:lang w:eastAsia="en-GB"/>
              </w:rPr>
            </w:pPr>
            <w:r w:rsidRPr="00D948C1">
              <w:rPr>
                <w:szCs w:val="24"/>
              </w:rPr>
              <w:t>(269)</w:t>
            </w:r>
          </w:p>
        </w:tc>
        <w:tc>
          <w:tcPr>
            <w:tcW w:w="1466" w:type="dxa"/>
            <w:tcBorders>
              <w:top w:val="single" w:sz="4" w:space="0" w:color="auto"/>
              <w:left w:val="single" w:sz="4" w:space="0" w:color="auto"/>
              <w:bottom w:val="single" w:sz="4" w:space="0" w:color="auto"/>
              <w:right w:val="single" w:sz="4" w:space="0" w:color="auto"/>
            </w:tcBorders>
            <w:vAlign w:val="center"/>
          </w:tcPr>
          <w:p w14:paraId="523FF121" w14:textId="2AA8C62F" w:rsidR="00C93FB3" w:rsidRPr="00D948C1" w:rsidRDefault="00C93FB3" w:rsidP="006C0086">
            <w:pPr>
              <w:spacing w:line="276" w:lineRule="auto"/>
              <w:jc w:val="right"/>
              <w:rPr>
                <w:rFonts w:cs="Arial"/>
                <w:szCs w:val="24"/>
                <w:lang w:eastAsia="en-GB"/>
              </w:rPr>
            </w:pPr>
            <w:r w:rsidRPr="00D948C1">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24DA9" w14:textId="35556AD0" w:rsidR="00C93FB3" w:rsidRPr="00D948C1" w:rsidRDefault="00C93FB3" w:rsidP="006C0086">
            <w:pPr>
              <w:spacing w:line="276" w:lineRule="auto"/>
              <w:jc w:val="right"/>
              <w:rPr>
                <w:rFonts w:cs="Arial"/>
                <w:szCs w:val="24"/>
                <w:lang w:eastAsia="en-GB"/>
              </w:rPr>
            </w:pPr>
            <w:r w:rsidRPr="00D948C1">
              <w:rPr>
                <w:szCs w:val="24"/>
              </w:rPr>
              <w:t>(548)</w:t>
            </w:r>
          </w:p>
        </w:tc>
      </w:tr>
      <w:tr w:rsidR="00C93FB3" w:rsidRPr="00D948C1" w14:paraId="7D21803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12DB1" w14:textId="08442AEE" w:rsidR="00C93FB3" w:rsidRPr="00D948C1" w:rsidRDefault="00C93FB3" w:rsidP="006C0086">
            <w:pPr>
              <w:spacing w:line="276" w:lineRule="auto"/>
              <w:ind w:left="175"/>
              <w:rPr>
                <w:rFonts w:cs="Arial"/>
                <w:szCs w:val="24"/>
                <w:lang w:eastAsia="en-GB"/>
              </w:rPr>
            </w:pPr>
            <w:r w:rsidRPr="00D948C1">
              <w:rPr>
                <w:rFonts w:cs="Arial"/>
                <w:szCs w:val="24"/>
                <w:lang w:eastAsia="en-GB"/>
              </w:rPr>
              <w:t>Impairment losses recognised in the CIES Provision of Services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2C966" w14:textId="50372A70" w:rsidR="00C93FB3" w:rsidRPr="00D948C1" w:rsidRDefault="00C93FB3" w:rsidP="006C0086">
            <w:pPr>
              <w:spacing w:line="276" w:lineRule="auto"/>
              <w:jc w:val="right"/>
              <w:rPr>
                <w:rFonts w:cs="Arial"/>
                <w:szCs w:val="24"/>
                <w:lang w:eastAsia="en-GB"/>
              </w:rPr>
            </w:pPr>
            <w:r w:rsidRPr="00D948C1">
              <w:rPr>
                <w:rFonts w:cs="Arial"/>
                <w:szCs w:val="24"/>
                <w:lang w:eastAsia="en-GB"/>
              </w:rPr>
              <w:t>(271)</w:t>
            </w:r>
          </w:p>
        </w:tc>
        <w:tc>
          <w:tcPr>
            <w:tcW w:w="1299" w:type="dxa"/>
            <w:tcBorders>
              <w:top w:val="single" w:sz="4" w:space="0" w:color="auto"/>
              <w:left w:val="single" w:sz="4" w:space="0" w:color="auto"/>
              <w:bottom w:val="single" w:sz="4" w:space="0" w:color="auto"/>
              <w:right w:val="single" w:sz="4" w:space="0" w:color="auto"/>
            </w:tcBorders>
            <w:vAlign w:val="center"/>
          </w:tcPr>
          <w:p w14:paraId="22352FB0" w14:textId="65264D84" w:rsidR="00C93FB3" w:rsidRPr="00D948C1" w:rsidRDefault="00C93FB3" w:rsidP="006C0086">
            <w:pPr>
              <w:spacing w:line="276" w:lineRule="auto"/>
              <w:jc w:val="right"/>
              <w:rPr>
                <w:rFonts w:cs="Arial"/>
                <w:szCs w:val="24"/>
                <w:lang w:eastAsia="en-GB"/>
              </w:rPr>
            </w:pPr>
            <w:r w:rsidRPr="00D948C1">
              <w:rPr>
                <w:rFonts w:cs="Arial"/>
                <w:szCs w:val="24"/>
                <w:lang w:eastAsia="en-GB"/>
              </w:rPr>
              <w:t>-</w:t>
            </w:r>
          </w:p>
        </w:tc>
        <w:tc>
          <w:tcPr>
            <w:tcW w:w="1466" w:type="dxa"/>
            <w:tcBorders>
              <w:top w:val="single" w:sz="4" w:space="0" w:color="auto"/>
              <w:left w:val="single" w:sz="4" w:space="0" w:color="auto"/>
              <w:bottom w:val="single" w:sz="4" w:space="0" w:color="auto"/>
              <w:right w:val="single" w:sz="4" w:space="0" w:color="auto"/>
            </w:tcBorders>
            <w:vAlign w:val="center"/>
          </w:tcPr>
          <w:p w14:paraId="6D734069" w14:textId="766F0608" w:rsidR="00C93FB3" w:rsidRPr="00D948C1" w:rsidRDefault="00C93FB3" w:rsidP="006C0086">
            <w:pPr>
              <w:spacing w:line="276" w:lineRule="auto"/>
              <w:jc w:val="right"/>
              <w:rPr>
                <w:rFonts w:cs="Arial"/>
                <w:szCs w:val="24"/>
                <w:lang w:eastAsia="en-GB"/>
              </w:rPr>
            </w:pPr>
            <w:r w:rsidRPr="00D948C1">
              <w:rPr>
                <w:rFonts w:cs="Arial"/>
                <w:szCs w:val="24"/>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F54D" w14:textId="772C1A86" w:rsidR="00C93FB3" w:rsidRPr="00D948C1" w:rsidRDefault="00C93FB3" w:rsidP="006C0086">
            <w:pPr>
              <w:spacing w:line="276" w:lineRule="auto"/>
              <w:jc w:val="right"/>
              <w:rPr>
                <w:rFonts w:cs="Arial"/>
                <w:szCs w:val="24"/>
                <w:lang w:eastAsia="en-GB"/>
              </w:rPr>
            </w:pPr>
            <w:r w:rsidRPr="00D948C1">
              <w:rPr>
                <w:rFonts w:cs="Arial"/>
                <w:szCs w:val="24"/>
                <w:lang w:eastAsia="en-GB"/>
              </w:rPr>
              <w:t>(271)</w:t>
            </w:r>
          </w:p>
        </w:tc>
      </w:tr>
      <w:tr w:rsidR="00C93FB3" w:rsidRPr="00D948C1" w14:paraId="6CC0B35D"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61FB" w14:textId="62C462E3" w:rsidR="00C93FB3" w:rsidRPr="00D948C1" w:rsidRDefault="00C93FB3" w:rsidP="006C0086">
            <w:pPr>
              <w:spacing w:line="276" w:lineRule="auto"/>
              <w:ind w:left="175"/>
              <w:rPr>
                <w:rFonts w:cs="Arial"/>
                <w:szCs w:val="24"/>
                <w:lang w:eastAsia="en-GB"/>
              </w:rPr>
            </w:pPr>
            <w:r w:rsidRPr="00D948C1">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8881E" w14:textId="1B5563B2" w:rsidR="00C93FB3" w:rsidRPr="00D948C1" w:rsidRDefault="00C93FB3" w:rsidP="006C0086">
            <w:pPr>
              <w:spacing w:line="276" w:lineRule="auto"/>
              <w:jc w:val="right"/>
              <w:rPr>
                <w:rFonts w:cs="Arial"/>
                <w:szCs w:val="24"/>
                <w:lang w:eastAsia="en-GB"/>
              </w:rPr>
            </w:pPr>
            <w:r w:rsidRPr="00D948C1">
              <w:rPr>
                <w:szCs w:val="24"/>
              </w:rPr>
              <w:t>12,838</w:t>
            </w:r>
          </w:p>
        </w:tc>
        <w:tc>
          <w:tcPr>
            <w:tcW w:w="1299" w:type="dxa"/>
            <w:tcBorders>
              <w:top w:val="single" w:sz="4" w:space="0" w:color="auto"/>
              <w:left w:val="single" w:sz="4" w:space="0" w:color="auto"/>
              <w:bottom w:val="single" w:sz="4" w:space="0" w:color="auto"/>
              <w:right w:val="single" w:sz="4" w:space="0" w:color="auto"/>
            </w:tcBorders>
            <w:vAlign w:val="center"/>
          </w:tcPr>
          <w:p w14:paraId="5B6AA7A3" w14:textId="2D041A49" w:rsidR="00C93FB3" w:rsidRPr="00D948C1" w:rsidRDefault="00C93FB3" w:rsidP="006C0086">
            <w:pPr>
              <w:spacing w:line="276" w:lineRule="auto"/>
              <w:jc w:val="right"/>
              <w:rPr>
                <w:rFonts w:cs="Arial"/>
                <w:szCs w:val="24"/>
                <w:lang w:eastAsia="en-GB"/>
              </w:rPr>
            </w:pPr>
            <w:r w:rsidRPr="00D948C1">
              <w:rPr>
                <w:szCs w:val="24"/>
              </w:rPr>
              <w:t>5,375</w:t>
            </w:r>
          </w:p>
        </w:tc>
        <w:tc>
          <w:tcPr>
            <w:tcW w:w="1466" w:type="dxa"/>
            <w:tcBorders>
              <w:top w:val="single" w:sz="4" w:space="0" w:color="auto"/>
              <w:left w:val="single" w:sz="4" w:space="0" w:color="auto"/>
              <w:bottom w:val="single" w:sz="4" w:space="0" w:color="auto"/>
              <w:right w:val="single" w:sz="4" w:space="0" w:color="auto"/>
            </w:tcBorders>
            <w:vAlign w:val="center"/>
          </w:tcPr>
          <w:p w14:paraId="25ADEFA8" w14:textId="409861EC" w:rsidR="00C93FB3" w:rsidRPr="00D948C1" w:rsidRDefault="00C93FB3" w:rsidP="006C0086">
            <w:pPr>
              <w:spacing w:line="276" w:lineRule="auto"/>
              <w:jc w:val="right"/>
              <w:rPr>
                <w:rFonts w:cs="Arial"/>
                <w:szCs w:val="24"/>
                <w:lang w:eastAsia="en-GB"/>
              </w:rPr>
            </w:pPr>
            <w:r w:rsidRPr="00D948C1">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D8E6" w14:textId="384BD182" w:rsidR="00C93FB3" w:rsidRPr="00D948C1" w:rsidRDefault="00C93FB3" w:rsidP="006C0086">
            <w:pPr>
              <w:spacing w:line="276" w:lineRule="auto"/>
              <w:jc w:val="right"/>
              <w:rPr>
                <w:rFonts w:cs="Arial"/>
                <w:szCs w:val="24"/>
                <w:lang w:eastAsia="en-GB"/>
              </w:rPr>
            </w:pPr>
            <w:r w:rsidRPr="00D948C1">
              <w:rPr>
                <w:szCs w:val="24"/>
              </w:rPr>
              <w:t>18,213</w:t>
            </w:r>
          </w:p>
        </w:tc>
      </w:tr>
      <w:tr w:rsidR="00C93FB3" w:rsidRPr="00D948C1" w14:paraId="31ED15B3"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DDF63" w14:textId="5E06DA6F" w:rsidR="00C93FB3" w:rsidRPr="00D948C1" w:rsidRDefault="00C93FB3" w:rsidP="006C0086">
            <w:pPr>
              <w:spacing w:line="276" w:lineRule="auto"/>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A252" w14:textId="5E4D89E0" w:rsidR="00C93FB3" w:rsidRPr="00D948C1" w:rsidRDefault="00C93FB3" w:rsidP="006C0086">
            <w:pPr>
              <w:spacing w:line="276" w:lineRule="auto"/>
              <w:jc w:val="right"/>
              <w:rPr>
                <w:rFonts w:cs="Arial"/>
                <w:szCs w:val="24"/>
                <w:lang w:eastAsia="en-GB"/>
              </w:rPr>
            </w:pPr>
            <w:r w:rsidRPr="00D948C1">
              <w:rPr>
                <w:szCs w:val="24"/>
              </w:rPr>
              <w:t>81,875</w:t>
            </w:r>
          </w:p>
        </w:tc>
        <w:tc>
          <w:tcPr>
            <w:tcW w:w="1299" w:type="dxa"/>
            <w:tcBorders>
              <w:top w:val="single" w:sz="4" w:space="0" w:color="auto"/>
              <w:left w:val="single" w:sz="4" w:space="0" w:color="auto"/>
              <w:bottom w:val="single" w:sz="4" w:space="0" w:color="auto"/>
              <w:right w:val="single" w:sz="4" w:space="0" w:color="auto"/>
            </w:tcBorders>
            <w:vAlign w:val="center"/>
          </w:tcPr>
          <w:p w14:paraId="03E2F6F7" w14:textId="618B609D" w:rsidR="00C93FB3" w:rsidRPr="00D948C1" w:rsidRDefault="00C93FB3" w:rsidP="006C0086">
            <w:pPr>
              <w:spacing w:line="276" w:lineRule="auto"/>
              <w:jc w:val="right"/>
              <w:rPr>
                <w:rFonts w:cs="Arial"/>
                <w:szCs w:val="24"/>
                <w:lang w:eastAsia="en-GB"/>
              </w:rPr>
            </w:pPr>
            <w:r w:rsidRPr="00D948C1">
              <w:rPr>
                <w:szCs w:val="24"/>
              </w:rPr>
              <w:t>36,432</w:t>
            </w:r>
          </w:p>
        </w:tc>
        <w:tc>
          <w:tcPr>
            <w:tcW w:w="1466" w:type="dxa"/>
            <w:tcBorders>
              <w:top w:val="single" w:sz="4" w:space="0" w:color="auto"/>
              <w:left w:val="single" w:sz="4" w:space="0" w:color="auto"/>
              <w:bottom w:val="single" w:sz="4" w:space="0" w:color="auto"/>
              <w:right w:val="single" w:sz="4" w:space="0" w:color="auto"/>
            </w:tcBorders>
            <w:vAlign w:val="center"/>
          </w:tcPr>
          <w:p w14:paraId="352906AC" w14:textId="7B245556" w:rsidR="00C93FB3" w:rsidRPr="00D948C1" w:rsidRDefault="00C93FB3" w:rsidP="006C0086">
            <w:pPr>
              <w:spacing w:line="276" w:lineRule="auto"/>
              <w:jc w:val="right"/>
              <w:rPr>
                <w:rFonts w:cs="Arial"/>
                <w:szCs w:val="24"/>
                <w:lang w:eastAsia="en-GB"/>
              </w:rPr>
            </w:pPr>
            <w:r w:rsidRPr="00D948C1">
              <w:rPr>
                <w:szCs w:val="24"/>
              </w:rPr>
              <w:t>24,708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BD05" w14:textId="3634B58B" w:rsidR="00C93FB3" w:rsidRPr="00D948C1" w:rsidRDefault="00C93FB3" w:rsidP="006C0086">
            <w:pPr>
              <w:spacing w:line="276" w:lineRule="auto"/>
              <w:jc w:val="right"/>
              <w:rPr>
                <w:rFonts w:cs="Arial"/>
                <w:szCs w:val="24"/>
                <w:lang w:eastAsia="en-GB"/>
              </w:rPr>
            </w:pPr>
            <w:r w:rsidRPr="00D948C1">
              <w:rPr>
                <w:szCs w:val="24"/>
              </w:rPr>
              <w:t xml:space="preserve">143,015 </w:t>
            </w:r>
          </w:p>
        </w:tc>
      </w:tr>
    </w:tbl>
    <w:p w14:paraId="16DE1555" w14:textId="77777777" w:rsidR="00372872" w:rsidRPr="00D948C1" w:rsidRDefault="00372872" w:rsidP="006C0086">
      <w:pPr>
        <w:spacing w:line="276" w:lineRule="auto"/>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0F5E3B" w:rsidRPr="00D948C1" w14:paraId="2B605FA8" w14:textId="77777777" w:rsidTr="009D5D41">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77F5EA28" w14:textId="77777777" w:rsidR="000F5E3B" w:rsidRPr="00D948C1" w:rsidRDefault="000F5E3B" w:rsidP="006C0086">
            <w:pPr>
              <w:spacing w:line="276" w:lineRule="auto"/>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024ECA7"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Other Land &amp; Buildings</w:t>
            </w:r>
          </w:p>
          <w:p w14:paraId="1397A0B5"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3AFCF1A8"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PFI Assets – land &amp; buildings</w:t>
            </w:r>
          </w:p>
          <w:p w14:paraId="14CF92D3"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7A40657E"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Vehicles, Plant &amp; Equipment</w:t>
            </w:r>
          </w:p>
          <w:p w14:paraId="13827F7F"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1061F432" w14:textId="77777777" w:rsidR="000F5E3B" w:rsidRPr="00D948C1" w:rsidRDefault="000F5E3B" w:rsidP="006C0086">
            <w:pPr>
              <w:spacing w:line="276" w:lineRule="auto"/>
              <w:jc w:val="right"/>
              <w:rPr>
                <w:rFonts w:cs="Arial"/>
                <w:color w:val="FFFFFF" w:themeColor="background1"/>
                <w:szCs w:val="24"/>
                <w:lang w:eastAsia="en-GB"/>
              </w:rPr>
            </w:pPr>
            <w:r w:rsidRPr="00D948C1">
              <w:rPr>
                <w:rFonts w:cs="Arial"/>
                <w:color w:val="FFFFFF" w:themeColor="background1"/>
                <w:szCs w:val="24"/>
                <w:lang w:eastAsia="en-GB"/>
              </w:rPr>
              <w:t>Total Property, Plant &amp; Equipment</w:t>
            </w:r>
          </w:p>
          <w:p w14:paraId="18E1D977" w14:textId="77777777" w:rsidR="000F5E3B" w:rsidRPr="00D948C1" w:rsidRDefault="000F5E3B" w:rsidP="006C0086">
            <w:pPr>
              <w:spacing w:line="276" w:lineRule="auto"/>
              <w:jc w:val="right"/>
              <w:rPr>
                <w:rFonts w:cs="Arial"/>
                <w:color w:val="FFFFFF" w:themeColor="background1"/>
                <w:szCs w:val="24"/>
              </w:rPr>
            </w:pPr>
            <w:r w:rsidRPr="00D948C1">
              <w:rPr>
                <w:rFonts w:cs="Arial"/>
                <w:color w:val="FFFFFF" w:themeColor="background1"/>
                <w:szCs w:val="24"/>
                <w:lang w:eastAsia="en-GB"/>
              </w:rPr>
              <w:t>£000</w:t>
            </w:r>
          </w:p>
        </w:tc>
      </w:tr>
      <w:tr w:rsidR="0031565D" w:rsidRPr="00D948C1" w14:paraId="1B54AA37"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9130FDE" w14:textId="28F94247" w:rsidR="0031565D" w:rsidRPr="00D948C1" w:rsidRDefault="0031565D" w:rsidP="006C0086">
            <w:pPr>
              <w:spacing w:line="276" w:lineRule="auto"/>
              <w:rPr>
                <w:rFonts w:cs="Arial"/>
                <w:szCs w:val="24"/>
                <w:lang w:eastAsia="en-GB"/>
              </w:rPr>
            </w:pPr>
            <w:r w:rsidRPr="00D948C1">
              <w:rPr>
                <w:rFonts w:cs="Arial"/>
                <w:b/>
                <w:bCs/>
                <w:szCs w:val="24"/>
                <w:lang w:eastAsia="en-GB"/>
              </w:rPr>
              <w:t>Depreciation and impairments</w:t>
            </w:r>
          </w:p>
        </w:tc>
      </w:tr>
      <w:tr w:rsidR="00C93FB3" w:rsidRPr="00D948C1" w14:paraId="67FE604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2CF68" w14:textId="7AC3EF6E" w:rsidR="00C93FB3" w:rsidRPr="00D948C1" w:rsidRDefault="00C93FB3" w:rsidP="006C0086">
            <w:pPr>
              <w:spacing w:line="276" w:lineRule="auto"/>
              <w:ind w:left="175"/>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B90F0" w14:textId="2EAF1048" w:rsidR="00C93FB3" w:rsidRPr="00D948C1" w:rsidRDefault="00C93FB3" w:rsidP="006C0086">
            <w:pPr>
              <w:spacing w:line="276" w:lineRule="auto"/>
              <w:jc w:val="right"/>
              <w:rPr>
                <w:rFonts w:cs="Arial"/>
                <w:szCs w:val="24"/>
                <w:lang w:eastAsia="en-GB"/>
              </w:rPr>
            </w:pPr>
            <w:r w:rsidRPr="00D948C1">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76E41DF4" w14:textId="4BD168B6" w:rsidR="00C93FB3" w:rsidRPr="00D948C1" w:rsidRDefault="00C93FB3" w:rsidP="006C0086">
            <w:pPr>
              <w:spacing w:line="276" w:lineRule="auto"/>
              <w:jc w:val="right"/>
              <w:rPr>
                <w:rFonts w:cs="Arial"/>
                <w:szCs w:val="24"/>
                <w:lang w:eastAsia="en-GB"/>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285E0085" w14:textId="297FB1EC" w:rsidR="00C93FB3" w:rsidRPr="00D948C1" w:rsidRDefault="00C93FB3" w:rsidP="006C0086">
            <w:pPr>
              <w:spacing w:line="276" w:lineRule="auto"/>
              <w:jc w:val="right"/>
              <w:rPr>
                <w:rFonts w:cs="Arial"/>
                <w:szCs w:val="24"/>
                <w:lang w:eastAsia="en-GB"/>
              </w:rPr>
            </w:pPr>
            <w:r w:rsidRPr="00D948C1">
              <w:rPr>
                <w:rFonts w:cs="Arial"/>
                <w:szCs w:val="24"/>
              </w:rPr>
              <w:t>(15,812)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6B0EE" w14:textId="0D77F050" w:rsidR="00C93FB3" w:rsidRPr="00D948C1" w:rsidRDefault="00C93FB3" w:rsidP="006C0086">
            <w:pPr>
              <w:spacing w:line="276" w:lineRule="auto"/>
              <w:jc w:val="right"/>
              <w:rPr>
                <w:rFonts w:cs="Arial"/>
                <w:szCs w:val="24"/>
                <w:lang w:eastAsia="en-GB"/>
              </w:rPr>
            </w:pPr>
            <w:r w:rsidRPr="00D948C1">
              <w:rPr>
                <w:rFonts w:cs="Arial"/>
                <w:szCs w:val="24"/>
              </w:rPr>
              <w:t>(15,812)</w:t>
            </w:r>
          </w:p>
        </w:tc>
      </w:tr>
      <w:tr w:rsidR="00C93FB3" w:rsidRPr="00D948C1" w14:paraId="7B878A86"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1022D" w14:textId="4AB4D567" w:rsidR="00C93FB3" w:rsidRPr="00D948C1" w:rsidRDefault="00C93FB3" w:rsidP="006C0086">
            <w:pPr>
              <w:spacing w:line="276" w:lineRule="auto"/>
              <w:ind w:left="175"/>
              <w:rPr>
                <w:rFonts w:cs="Arial"/>
                <w:szCs w:val="24"/>
                <w:lang w:eastAsia="en-GB"/>
              </w:rPr>
            </w:pPr>
            <w:r w:rsidRPr="00D948C1">
              <w:rPr>
                <w:rFonts w:cs="Arial"/>
                <w:szCs w:val="24"/>
                <w:lang w:eastAsia="en-GB"/>
              </w:rPr>
              <w:t>Depreciation charge for 2022/23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4587" w14:textId="3B051C6F" w:rsidR="00C93FB3" w:rsidRPr="00D948C1" w:rsidRDefault="00C93FB3" w:rsidP="006C0086">
            <w:pPr>
              <w:spacing w:line="276" w:lineRule="auto"/>
              <w:jc w:val="right"/>
              <w:rPr>
                <w:rFonts w:cs="Arial"/>
                <w:szCs w:val="24"/>
                <w:lang w:eastAsia="en-GB"/>
              </w:rPr>
            </w:pPr>
            <w:r w:rsidRPr="00D948C1">
              <w:rPr>
                <w:rFonts w:cs="Arial"/>
                <w:szCs w:val="24"/>
              </w:rPr>
              <w:t>(3,034)</w:t>
            </w:r>
          </w:p>
        </w:tc>
        <w:tc>
          <w:tcPr>
            <w:tcW w:w="1299" w:type="dxa"/>
            <w:tcBorders>
              <w:top w:val="single" w:sz="4" w:space="0" w:color="auto"/>
              <w:left w:val="single" w:sz="4" w:space="0" w:color="auto"/>
              <w:bottom w:val="single" w:sz="4" w:space="0" w:color="auto"/>
              <w:right w:val="single" w:sz="4" w:space="0" w:color="auto"/>
            </w:tcBorders>
            <w:vAlign w:val="center"/>
          </w:tcPr>
          <w:p w14:paraId="2FE102F7" w14:textId="55A98763" w:rsidR="00C93FB3" w:rsidRPr="00D948C1" w:rsidRDefault="00C93FB3" w:rsidP="006C0086">
            <w:pPr>
              <w:spacing w:line="276" w:lineRule="auto"/>
              <w:jc w:val="right"/>
              <w:rPr>
                <w:rFonts w:cs="Arial"/>
                <w:szCs w:val="24"/>
                <w:lang w:eastAsia="en-GB"/>
              </w:rPr>
            </w:pPr>
            <w:r w:rsidRPr="00D948C1">
              <w:rPr>
                <w:rFonts w:cs="Arial"/>
                <w:szCs w:val="24"/>
              </w:rPr>
              <w:t>(1,016)</w:t>
            </w:r>
          </w:p>
        </w:tc>
        <w:tc>
          <w:tcPr>
            <w:tcW w:w="1466" w:type="dxa"/>
            <w:tcBorders>
              <w:top w:val="single" w:sz="4" w:space="0" w:color="auto"/>
              <w:left w:val="single" w:sz="4" w:space="0" w:color="auto"/>
              <w:bottom w:val="single" w:sz="4" w:space="0" w:color="auto"/>
              <w:right w:val="single" w:sz="4" w:space="0" w:color="auto"/>
            </w:tcBorders>
            <w:vAlign w:val="center"/>
          </w:tcPr>
          <w:p w14:paraId="663B9D0A" w14:textId="34256092" w:rsidR="00C93FB3" w:rsidRPr="00D948C1" w:rsidRDefault="00C93FB3" w:rsidP="006C0086">
            <w:pPr>
              <w:spacing w:line="276" w:lineRule="auto"/>
              <w:jc w:val="right"/>
              <w:rPr>
                <w:rFonts w:cs="Arial"/>
                <w:szCs w:val="24"/>
                <w:lang w:eastAsia="en-GB"/>
              </w:rPr>
            </w:pPr>
            <w:r w:rsidRPr="00D948C1">
              <w:rPr>
                <w:rFonts w:cs="Arial"/>
                <w:szCs w:val="24"/>
              </w:rPr>
              <w:t>(1,538)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46446" w14:textId="440B84AA" w:rsidR="00C93FB3" w:rsidRPr="00D948C1" w:rsidRDefault="00C93FB3" w:rsidP="006C0086">
            <w:pPr>
              <w:spacing w:line="276" w:lineRule="auto"/>
              <w:jc w:val="right"/>
              <w:rPr>
                <w:rFonts w:cs="Arial"/>
                <w:szCs w:val="24"/>
                <w:lang w:eastAsia="en-GB"/>
              </w:rPr>
            </w:pPr>
            <w:r w:rsidRPr="00D948C1">
              <w:rPr>
                <w:rFonts w:cs="Arial"/>
                <w:szCs w:val="24"/>
              </w:rPr>
              <w:t>(5,588)</w:t>
            </w:r>
          </w:p>
        </w:tc>
      </w:tr>
      <w:tr w:rsidR="00C93FB3" w:rsidRPr="00D948C1" w14:paraId="5A48BCDB" w14:textId="77777777" w:rsidTr="008B00BF">
        <w:trPr>
          <w:trHeight w:val="297"/>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A2042" w14:textId="278AEAA8" w:rsidR="00C93FB3" w:rsidRPr="00D948C1" w:rsidRDefault="00C93FB3" w:rsidP="006C0086">
            <w:pPr>
              <w:spacing w:line="276" w:lineRule="auto"/>
              <w:ind w:left="175"/>
              <w:rPr>
                <w:rFonts w:cs="Arial"/>
                <w:szCs w:val="24"/>
                <w:lang w:eastAsia="en-GB"/>
              </w:rPr>
            </w:pPr>
            <w:r w:rsidRPr="00D948C1">
              <w:rPr>
                <w:rFonts w:cs="Arial"/>
                <w:szCs w:val="24"/>
                <w:lang w:eastAsia="en-GB"/>
              </w:rPr>
              <w:t>Disposals</w:t>
            </w:r>
            <w:r w:rsidR="00456B0B">
              <w:rPr>
                <w:rFonts w:cs="Arial"/>
                <w:szCs w:val="24"/>
                <w:lang w:eastAsia="en-GB"/>
              </w:rPr>
              <w:t>/De-recog</w:t>
            </w:r>
            <w:r w:rsidR="009A6091">
              <w:rPr>
                <w:rFonts w:cs="Arial"/>
                <w:szCs w:val="24"/>
                <w:lang w:eastAsia="en-GB"/>
              </w:rPr>
              <w:t>n</w:t>
            </w:r>
            <w:r w:rsidR="00456B0B">
              <w:rPr>
                <w:rFonts w:cs="Arial"/>
                <w:szCs w:val="24"/>
                <w:lang w:eastAsia="en-GB"/>
              </w:rPr>
              <w:t>itions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434E7" w14:textId="41E73427" w:rsidR="00C93FB3" w:rsidRPr="00D948C1" w:rsidRDefault="00C93FB3" w:rsidP="006C0086">
            <w:pPr>
              <w:spacing w:line="276" w:lineRule="auto"/>
              <w:jc w:val="right"/>
              <w:rPr>
                <w:rFonts w:cs="Arial"/>
                <w:szCs w:val="24"/>
                <w:lang w:eastAsia="en-GB"/>
              </w:rPr>
            </w:pPr>
            <w:r w:rsidRPr="00D948C1">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23E7337" w14:textId="70EDD664" w:rsidR="00C93FB3" w:rsidRPr="00D948C1" w:rsidRDefault="00C93FB3" w:rsidP="006C0086">
            <w:pPr>
              <w:spacing w:line="276" w:lineRule="auto"/>
              <w:jc w:val="right"/>
              <w:rPr>
                <w:rFonts w:cs="Arial"/>
                <w:szCs w:val="24"/>
                <w:lang w:eastAsia="en-GB"/>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0D6AAAC" w14:textId="0504C0E3" w:rsidR="00C93FB3" w:rsidRPr="00D948C1" w:rsidRDefault="00C93FB3" w:rsidP="006C0086">
            <w:pPr>
              <w:spacing w:line="276" w:lineRule="auto"/>
              <w:jc w:val="right"/>
              <w:rPr>
                <w:rFonts w:cs="Arial"/>
                <w:szCs w:val="24"/>
                <w:lang w:eastAsia="en-GB"/>
              </w:rPr>
            </w:pPr>
            <w:r w:rsidRPr="00D948C1">
              <w:rPr>
                <w:rFonts w:cs="Arial"/>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49FA" w14:textId="1D4CA489" w:rsidR="00C93FB3" w:rsidRPr="00D948C1" w:rsidRDefault="00C93FB3" w:rsidP="006C0086">
            <w:pPr>
              <w:spacing w:line="276" w:lineRule="auto"/>
              <w:jc w:val="right"/>
              <w:rPr>
                <w:rFonts w:cs="Arial"/>
                <w:szCs w:val="24"/>
                <w:lang w:eastAsia="en-GB"/>
              </w:rPr>
            </w:pPr>
            <w:r w:rsidRPr="00D948C1">
              <w:rPr>
                <w:rFonts w:cs="Arial"/>
                <w:szCs w:val="24"/>
              </w:rPr>
              <w:t>32</w:t>
            </w:r>
          </w:p>
        </w:tc>
      </w:tr>
      <w:tr w:rsidR="00C93FB3" w:rsidRPr="00D948C1" w14:paraId="3381C2B3"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210E0" w14:textId="58ACA43A" w:rsidR="00C93FB3" w:rsidRPr="00D948C1" w:rsidRDefault="00C93FB3" w:rsidP="006C0086">
            <w:pPr>
              <w:spacing w:line="276" w:lineRule="auto"/>
              <w:ind w:left="175"/>
              <w:rPr>
                <w:rFonts w:cs="Arial"/>
                <w:szCs w:val="24"/>
                <w:lang w:eastAsia="en-GB"/>
              </w:rPr>
            </w:pPr>
            <w:r w:rsidRPr="00D948C1">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29C2" w14:textId="18897B01" w:rsidR="00C93FB3" w:rsidRPr="00D948C1" w:rsidRDefault="00C93FB3" w:rsidP="006C0086">
            <w:pPr>
              <w:spacing w:line="276" w:lineRule="auto"/>
              <w:jc w:val="right"/>
              <w:rPr>
                <w:rFonts w:cs="Arial"/>
                <w:szCs w:val="24"/>
                <w:lang w:eastAsia="en-GB"/>
              </w:rPr>
            </w:pPr>
            <w:r w:rsidRPr="00D948C1">
              <w:rPr>
                <w:rFonts w:cs="Arial"/>
                <w:szCs w:val="24"/>
              </w:rPr>
              <w:t>3,054</w:t>
            </w:r>
          </w:p>
        </w:tc>
        <w:tc>
          <w:tcPr>
            <w:tcW w:w="1299" w:type="dxa"/>
            <w:tcBorders>
              <w:top w:val="single" w:sz="4" w:space="0" w:color="auto"/>
              <w:left w:val="single" w:sz="4" w:space="0" w:color="auto"/>
              <w:bottom w:val="single" w:sz="4" w:space="0" w:color="auto"/>
              <w:right w:val="single" w:sz="4" w:space="0" w:color="auto"/>
            </w:tcBorders>
            <w:vAlign w:val="center"/>
          </w:tcPr>
          <w:p w14:paraId="4324BCC9" w14:textId="61BCDB88" w:rsidR="00C93FB3" w:rsidRPr="00D948C1" w:rsidRDefault="00C93FB3" w:rsidP="006C0086">
            <w:pPr>
              <w:spacing w:line="276" w:lineRule="auto"/>
              <w:jc w:val="right"/>
              <w:rPr>
                <w:rFonts w:cs="Arial"/>
                <w:szCs w:val="24"/>
                <w:lang w:eastAsia="en-GB"/>
              </w:rPr>
            </w:pPr>
            <w:r w:rsidRPr="00D948C1">
              <w:rPr>
                <w:rFonts w:cs="Arial"/>
                <w:szCs w:val="24"/>
              </w:rPr>
              <w:t>1,016</w:t>
            </w:r>
          </w:p>
        </w:tc>
        <w:tc>
          <w:tcPr>
            <w:tcW w:w="1466" w:type="dxa"/>
            <w:tcBorders>
              <w:top w:val="single" w:sz="4" w:space="0" w:color="auto"/>
              <w:left w:val="single" w:sz="4" w:space="0" w:color="auto"/>
              <w:bottom w:val="single" w:sz="4" w:space="0" w:color="auto"/>
              <w:right w:val="single" w:sz="4" w:space="0" w:color="auto"/>
            </w:tcBorders>
            <w:vAlign w:val="center"/>
          </w:tcPr>
          <w:p w14:paraId="736B4588" w14:textId="77D8826A" w:rsidR="00C93FB3" w:rsidRPr="00D948C1" w:rsidRDefault="00C93FB3" w:rsidP="006C0086">
            <w:pPr>
              <w:spacing w:line="276" w:lineRule="auto"/>
              <w:jc w:val="right"/>
              <w:rPr>
                <w:rFonts w:cs="Arial"/>
                <w:szCs w:val="24"/>
                <w:lang w:eastAsia="en-GB"/>
              </w:rPr>
            </w:pPr>
            <w:r w:rsidRPr="00D948C1">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75C6D" w14:textId="2B081C70" w:rsidR="00C93FB3" w:rsidRPr="00D948C1" w:rsidRDefault="00C93FB3" w:rsidP="006C0086">
            <w:pPr>
              <w:spacing w:line="276" w:lineRule="auto"/>
              <w:jc w:val="right"/>
              <w:rPr>
                <w:rFonts w:cs="Arial"/>
                <w:szCs w:val="24"/>
                <w:lang w:eastAsia="en-GB"/>
              </w:rPr>
            </w:pPr>
            <w:r w:rsidRPr="00D948C1">
              <w:rPr>
                <w:rFonts w:cs="Arial"/>
                <w:szCs w:val="24"/>
              </w:rPr>
              <w:t>4,070</w:t>
            </w:r>
          </w:p>
        </w:tc>
      </w:tr>
      <w:tr w:rsidR="00C93FB3" w:rsidRPr="00D948C1" w14:paraId="39D5CA07"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725AC" w14:textId="0290DE86" w:rsidR="00C93FB3" w:rsidRPr="00D948C1" w:rsidRDefault="00C93FB3" w:rsidP="006C0086">
            <w:pPr>
              <w:spacing w:line="276" w:lineRule="auto"/>
              <w:ind w:left="175"/>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2023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CE663" w14:textId="6DCE4083" w:rsidR="00C93FB3" w:rsidRPr="00D948C1" w:rsidRDefault="00C93FB3" w:rsidP="006C0086">
            <w:pPr>
              <w:spacing w:line="276" w:lineRule="auto"/>
              <w:jc w:val="right"/>
              <w:rPr>
                <w:rFonts w:cs="Arial"/>
                <w:szCs w:val="24"/>
                <w:lang w:eastAsia="en-GB"/>
              </w:rPr>
            </w:pPr>
            <w:r w:rsidRPr="00D948C1">
              <w:rPr>
                <w:rFonts w:cs="Arial"/>
                <w:szCs w:val="24"/>
              </w:rPr>
              <w:t>20</w:t>
            </w:r>
          </w:p>
        </w:tc>
        <w:tc>
          <w:tcPr>
            <w:tcW w:w="1299" w:type="dxa"/>
            <w:tcBorders>
              <w:top w:val="single" w:sz="4" w:space="0" w:color="auto"/>
              <w:left w:val="single" w:sz="4" w:space="0" w:color="auto"/>
              <w:bottom w:val="single" w:sz="4" w:space="0" w:color="auto"/>
              <w:right w:val="single" w:sz="4" w:space="0" w:color="auto"/>
            </w:tcBorders>
            <w:vAlign w:val="center"/>
          </w:tcPr>
          <w:p w14:paraId="24EF58EE" w14:textId="094F87BE" w:rsidR="00C93FB3" w:rsidRPr="00D948C1" w:rsidRDefault="00C93FB3" w:rsidP="006C0086">
            <w:pPr>
              <w:spacing w:line="276" w:lineRule="auto"/>
              <w:jc w:val="right"/>
              <w:rPr>
                <w:rFonts w:cs="Arial"/>
                <w:szCs w:val="24"/>
                <w:lang w:eastAsia="en-GB"/>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0D336AB2" w14:textId="5448E037" w:rsidR="00C93FB3" w:rsidRPr="00D948C1" w:rsidRDefault="00C93FB3" w:rsidP="006C0086">
            <w:pPr>
              <w:spacing w:line="276" w:lineRule="auto"/>
              <w:jc w:val="right"/>
              <w:rPr>
                <w:rFonts w:cs="Arial"/>
                <w:szCs w:val="24"/>
                <w:lang w:eastAsia="en-GB"/>
              </w:rPr>
            </w:pPr>
            <w:r w:rsidRPr="00D948C1">
              <w:rPr>
                <w:rFonts w:cs="Arial"/>
                <w:szCs w:val="24"/>
              </w:rPr>
              <w:t>(17,318)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0E60A" w14:textId="2EDD1932" w:rsidR="00C93FB3" w:rsidRPr="00D948C1" w:rsidRDefault="00C93FB3" w:rsidP="006C0086">
            <w:pPr>
              <w:spacing w:line="276" w:lineRule="auto"/>
              <w:jc w:val="right"/>
              <w:rPr>
                <w:rFonts w:cs="Arial"/>
                <w:szCs w:val="24"/>
                <w:lang w:eastAsia="en-GB"/>
              </w:rPr>
            </w:pPr>
            <w:r w:rsidRPr="00D948C1">
              <w:rPr>
                <w:rFonts w:cs="Arial"/>
                <w:szCs w:val="24"/>
              </w:rPr>
              <w:t>(17,298)</w:t>
            </w:r>
          </w:p>
        </w:tc>
      </w:tr>
      <w:tr w:rsidR="00C93FB3" w:rsidRPr="00D948C1" w14:paraId="561B4F27" w14:textId="77777777" w:rsidTr="00B35AF8">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C4A5" w14:textId="20082528" w:rsidR="00C93FB3" w:rsidRPr="00D948C1" w:rsidRDefault="00C93FB3" w:rsidP="006C0086">
            <w:pPr>
              <w:spacing w:line="276" w:lineRule="auto"/>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0D08D" w14:textId="7D97C2C6" w:rsidR="00C93FB3" w:rsidRPr="00D948C1" w:rsidRDefault="00C93FB3" w:rsidP="006C0086">
            <w:pPr>
              <w:spacing w:line="276" w:lineRule="auto"/>
              <w:jc w:val="right"/>
              <w:rPr>
                <w:rFonts w:cs="Arial"/>
                <w:szCs w:val="24"/>
              </w:rPr>
            </w:pPr>
            <w:r w:rsidRPr="00D948C1">
              <w:rPr>
                <w:rFonts w:cs="Arial"/>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2D8D6633" w14:textId="30BE57A8" w:rsidR="00C93FB3" w:rsidRPr="00D948C1" w:rsidRDefault="00C93FB3" w:rsidP="006C0086">
            <w:pPr>
              <w:spacing w:line="276" w:lineRule="auto"/>
              <w:jc w:val="right"/>
              <w:rPr>
                <w:rFonts w:cs="Arial"/>
                <w:szCs w:val="24"/>
              </w:rPr>
            </w:pPr>
            <w:r w:rsidRPr="00D948C1">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vAlign w:val="center"/>
          </w:tcPr>
          <w:p w14:paraId="2496761D" w14:textId="4E0082AE" w:rsidR="00C93FB3" w:rsidRPr="00D948C1" w:rsidRDefault="00C93FB3" w:rsidP="006C0086">
            <w:pPr>
              <w:spacing w:line="276" w:lineRule="auto"/>
              <w:jc w:val="right"/>
              <w:rPr>
                <w:rFonts w:cs="Arial"/>
                <w:szCs w:val="24"/>
              </w:rPr>
            </w:pPr>
            <w:r w:rsidRPr="00D948C1">
              <w:rPr>
                <w:rFonts w:cs="Arial"/>
                <w:szCs w:val="24"/>
              </w:rPr>
              <w:t>7,390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E0A3B" w14:textId="5BFD4CAD" w:rsidR="00C93FB3" w:rsidRPr="00D948C1" w:rsidRDefault="00C93FB3" w:rsidP="006C0086">
            <w:pPr>
              <w:spacing w:line="276" w:lineRule="auto"/>
              <w:jc w:val="right"/>
              <w:rPr>
                <w:rFonts w:cs="Arial"/>
                <w:szCs w:val="24"/>
              </w:rPr>
            </w:pPr>
            <w:r w:rsidRPr="00D948C1">
              <w:rPr>
                <w:rFonts w:cs="Arial"/>
                <w:szCs w:val="24"/>
              </w:rPr>
              <w:t>125,717</w:t>
            </w:r>
          </w:p>
        </w:tc>
      </w:tr>
      <w:tr w:rsidR="00C93FB3" w:rsidRPr="00D948C1" w14:paraId="7D52BC2C" w14:textId="77777777" w:rsidTr="005A2C3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07452" w14:textId="38690F52" w:rsidR="00C93FB3" w:rsidRPr="00D948C1" w:rsidRDefault="00C93FB3" w:rsidP="006C0086">
            <w:pPr>
              <w:spacing w:line="276" w:lineRule="auto"/>
              <w:ind w:left="175"/>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B31BF" w14:textId="36DAF4C3" w:rsidR="00C93FB3" w:rsidRPr="00D948C1" w:rsidRDefault="00C93FB3" w:rsidP="006C0086">
            <w:pPr>
              <w:spacing w:line="276" w:lineRule="auto"/>
              <w:jc w:val="right"/>
              <w:rPr>
                <w:rFonts w:cs="Arial"/>
                <w:szCs w:val="24"/>
              </w:rPr>
            </w:pPr>
            <w:r w:rsidRPr="00D948C1">
              <w:rPr>
                <w:rFonts w:cs="Arial"/>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1BC062ED" w14:textId="78A54B5C" w:rsidR="00C93FB3" w:rsidRPr="00D948C1" w:rsidRDefault="00C93FB3" w:rsidP="006C0086">
            <w:pPr>
              <w:spacing w:line="276" w:lineRule="auto"/>
              <w:jc w:val="right"/>
              <w:rPr>
                <w:rFonts w:cs="Arial"/>
                <w:szCs w:val="24"/>
              </w:rPr>
            </w:pPr>
            <w:r w:rsidRPr="00D948C1">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vAlign w:val="center"/>
          </w:tcPr>
          <w:p w14:paraId="3E9FDF5C" w14:textId="22A0AD89" w:rsidR="00C93FB3" w:rsidRPr="00D948C1" w:rsidRDefault="00C93FB3" w:rsidP="006C0086">
            <w:pPr>
              <w:spacing w:line="276" w:lineRule="auto"/>
              <w:jc w:val="right"/>
              <w:rPr>
                <w:rFonts w:cs="Arial"/>
                <w:szCs w:val="24"/>
              </w:rPr>
            </w:pPr>
            <w:r w:rsidRPr="00D948C1">
              <w:rPr>
                <w:rFonts w:cs="Arial"/>
                <w:szCs w:val="24"/>
              </w:rPr>
              <w:t>8,348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8AE48" w14:textId="49E7EE3F" w:rsidR="00C93FB3" w:rsidRPr="00D948C1" w:rsidRDefault="00C93FB3" w:rsidP="006C0086">
            <w:pPr>
              <w:spacing w:line="276" w:lineRule="auto"/>
              <w:jc w:val="right"/>
              <w:rPr>
                <w:rFonts w:cs="Arial"/>
                <w:szCs w:val="24"/>
              </w:rPr>
            </w:pPr>
            <w:r w:rsidRPr="00D948C1">
              <w:rPr>
                <w:rFonts w:cs="Arial"/>
                <w:szCs w:val="24"/>
              </w:rPr>
              <w:t>108,637</w:t>
            </w:r>
          </w:p>
        </w:tc>
      </w:tr>
    </w:tbl>
    <w:p w14:paraId="3A6FCCCE" w14:textId="77777777" w:rsidR="00372872" w:rsidRPr="00D948C1" w:rsidRDefault="00372872" w:rsidP="006C0086">
      <w:pPr>
        <w:spacing w:line="276" w:lineRule="auto"/>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1565D" w:rsidRPr="00D948C1" w14:paraId="45CE38FC"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D86602" w14:textId="5BB3DABA" w:rsidR="0031565D" w:rsidRPr="00D948C1" w:rsidRDefault="0031565D" w:rsidP="006C0086">
            <w:pPr>
              <w:spacing w:line="276" w:lineRule="auto"/>
              <w:rPr>
                <w:rFonts w:cs="Arial"/>
                <w:szCs w:val="24"/>
                <w:lang w:eastAsia="en-GB"/>
              </w:rPr>
            </w:pPr>
            <w:r w:rsidRPr="00D948C1">
              <w:rPr>
                <w:rFonts w:cs="Arial"/>
                <w:b/>
                <w:bCs/>
                <w:szCs w:val="24"/>
                <w:lang w:eastAsia="en-GB"/>
              </w:rPr>
              <w:t>Nature of asset holding</w:t>
            </w:r>
          </w:p>
        </w:tc>
      </w:tr>
      <w:tr w:rsidR="00C93FB3" w:rsidRPr="00D948C1" w14:paraId="40C9438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D08B8"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Owned</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44745" w14:textId="6CEDCAF0" w:rsidR="00C93FB3" w:rsidRPr="00D948C1" w:rsidRDefault="00C93FB3" w:rsidP="006C0086">
            <w:pPr>
              <w:spacing w:line="276" w:lineRule="auto"/>
              <w:jc w:val="right"/>
              <w:rPr>
                <w:rFonts w:cs="Arial"/>
                <w:szCs w:val="24"/>
              </w:rPr>
            </w:pPr>
            <w:r w:rsidRPr="00D948C1">
              <w:rPr>
                <w:rFonts w:cs="Arial"/>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2E5F0666" w14:textId="0A4E4FB3" w:rsidR="00C93FB3" w:rsidRPr="00D948C1" w:rsidRDefault="00C93FB3" w:rsidP="006C0086">
            <w:pPr>
              <w:spacing w:line="276" w:lineRule="auto"/>
              <w:jc w:val="right"/>
              <w:rPr>
                <w:rFonts w:cs="Arial"/>
                <w:szCs w:val="24"/>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8532DA" w14:textId="2DE16A8A" w:rsidR="00C93FB3" w:rsidRPr="00D948C1" w:rsidRDefault="00C93FB3" w:rsidP="006C0086">
            <w:pPr>
              <w:spacing w:line="276" w:lineRule="auto"/>
              <w:jc w:val="right"/>
              <w:rPr>
                <w:rFonts w:cs="Arial"/>
                <w:szCs w:val="24"/>
              </w:rPr>
            </w:pPr>
            <w:r w:rsidRPr="00D948C1">
              <w:rPr>
                <w:rFonts w:cs="Arial"/>
                <w:szCs w:val="24"/>
              </w:rPr>
              <w:t>7,387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C86BA" w14:textId="74838B56" w:rsidR="00C93FB3" w:rsidRPr="00D948C1" w:rsidRDefault="00C93FB3" w:rsidP="006C0086">
            <w:pPr>
              <w:spacing w:line="276" w:lineRule="auto"/>
              <w:jc w:val="right"/>
              <w:rPr>
                <w:rFonts w:cs="Arial"/>
                <w:szCs w:val="24"/>
              </w:rPr>
            </w:pPr>
            <w:r w:rsidRPr="00D948C1">
              <w:rPr>
                <w:rFonts w:cs="Arial"/>
                <w:szCs w:val="24"/>
              </w:rPr>
              <w:t>89,282</w:t>
            </w:r>
          </w:p>
        </w:tc>
      </w:tr>
      <w:tr w:rsidR="00C93FB3" w:rsidRPr="00D948C1" w14:paraId="3D3CE784"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016C4"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Finance lease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21B0" w14:textId="19803CC4" w:rsidR="00C93FB3" w:rsidRPr="00D948C1" w:rsidRDefault="00C93FB3" w:rsidP="006C0086">
            <w:pPr>
              <w:spacing w:line="276" w:lineRule="auto"/>
              <w:jc w:val="right"/>
              <w:rPr>
                <w:rFonts w:cs="Arial"/>
                <w:szCs w:val="24"/>
              </w:rPr>
            </w:pPr>
            <w:r w:rsidRPr="00D948C1">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6EA73786" w14:textId="3113287C" w:rsidR="00C93FB3" w:rsidRPr="00D948C1" w:rsidRDefault="00C93FB3" w:rsidP="006C0086">
            <w:pPr>
              <w:spacing w:line="276" w:lineRule="auto"/>
              <w:jc w:val="right"/>
              <w:rPr>
                <w:rFonts w:cs="Arial"/>
                <w:szCs w:val="24"/>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00A00AC" w14:textId="2121DAF0" w:rsidR="00C93FB3" w:rsidRPr="00D948C1" w:rsidRDefault="00C93FB3" w:rsidP="006C0086">
            <w:pPr>
              <w:spacing w:line="276" w:lineRule="auto"/>
              <w:jc w:val="right"/>
              <w:rPr>
                <w:rFonts w:cs="Arial"/>
                <w:szCs w:val="24"/>
              </w:rPr>
            </w:pPr>
            <w:r w:rsidRPr="00D948C1">
              <w:rPr>
                <w:rFonts w:cs="Arial"/>
                <w:szCs w:val="24"/>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9D07" w14:textId="5DD26934" w:rsidR="00C93FB3" w:rsidRPr="00D948C1" w:rsidRDefault="00C93FB3" w:rsidP="006C0086">
            <w:pPr>
              <w:spacing w:line="276" w:lineRule="auto"/>
              <w:jc w:val="right"/>
              <w:rPr>
                <w:rFonts w:cs="Arial"/>
                <w:szCs w:val="24"/>
              </w:rPr>
            </w:pPr>
            <w:r w:rsidRPr="00D948C1">
              <w:rPr>
                <w:rFonts w:cs="Arial"/>
                <w:szCs w:val="24"/>
              </w:rPr>
              <w:t>3</w:t>
            </w:r>
          </w:p>
        </w:tc>
      </w:tr>
      <w:tr w:rsidR="00C93FB3" w:rsidRPr="00D948C1" w14:paraId="23AD389A"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A81DA" w14:textId="02202DBE" w:rsidR="00C93FB3" w:rsidRPr="00D948C1" w:rsidRDefault="0076078A" w:rsidP="0076078A">
            <w:pPr>
              <w:spacing w:line="276" w:lineRule="auto"/>
              <w:rPr>
                <w:rFonts w:cs="Arial"/>
                <w:szCs w:val="24"/>
                <w:lang w:eastAsia="en-GB"/>
              </w:rPr>
            </w:pPr>
            <w:r>
              <w:rPr>
                <w:szCs w:val="24"/>
              </w:rPr>
              <w:t xml:space="preserve">   Private Finance Initiative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46C4D" w14:textId="5BB6D139" w:rsidR="00C93FB3" w:rsidRPr="00D948C1" w:rsidRDefault="00C93FB3" w:rsidP="006C0086">
            <w:pPr>
              <w:spacing w:line="276" w:lineRule="auto"/>
              <w:jc w:val="right"/>
              <w:rPr>
                <w:rFonts w:cs="Arial"/>
                <w:szCs w:val="24"/>
              </w:rPr>
            </w:pPr>
            <w:r w:rsidRPr="00D948C1">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2EDB933A" w14:textId="0BAF95D7" w:rsidR="00C93FB3" w:rsidRPr="00D948C1" w:rsidRDefault="00C93FB3" w:rsidP="006C0086">
            <w:pPr>
              <w:spacing w:line="276" w:lineRule="auto"/>
              <w:jc w:val="right"/>
              <w:rPr>
                <w:rFonts w:cs="Arial"/>
                <w:szCs w:val="24"/>
              </w:rPr>
            </w:pPr>
            <w:r w:rsidRPr="00D948C1">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8ABD5F6" w14:textId="2027AB4D" w:rsidR="00C93FB3" w:rsidRPr="00D948C1" w:rsidRDefault="00C93FB3" w:rsidP="006C0086">
            <w:pPr>
              <w:spacing w:line="276" w:lineRule="auto"/>
              <w:jc w:val="right"/>
              <w:rPr>
                <w:rFonts w:cs="Arial"/>
                <w:szCs w:val="24"/>
              </w:rPr>
            </w:pPr>
            <w:r w:rsidRPr="00D948C1">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198E" w14:textId="2B1365CB" w:rsidR="00C93FB3" w:rsidRPr="00D948C1" w:rsidRDefault="00C93FB3" w:rsidP="006C0086">
            <w:pPr>
              <w:spacing w:line="276" w:lineRule="auto"/>
              <w:jc w:val="right"/>
              <w:rPr>
                <w:rFonts w:cs="Arial"/>
                <w:szCs w:val="24"/>
              </w:rPr>
            </w:pPr>
            <w:r w:rsidRPr="00D948C1">
              <w:rPr>
                <w:rFonts w:cs="Arial"/>
                <w:szCs w:val="24"/>
              </w:rPr>
              <w:t>36,432</w:t>
            </w:r>
          </w:p>
        </w:tc>
      </w:tr>
      <w:tr w:rsidR="00C93FB3" w:rsidRPr="00D948C1" w14:paraId="66371742" w14:textId="77777777" w:rsidTr="008B00BF">
        <w:trPr>
          <w:trHeight w:val="171"/>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2185" w14:textId="72C64649" w:rsidR="00C93FB3" w:rsidRPr="00D948C1" w:rsidRDefault="00C93FB3" w:rsidP="006C0086">
            <w:pPr>
              <w:spacing w:line="276" w:lineRule="auto"/>
              <w:ind w:left="175"/>
              <w:rPr>
                <w:rFonts w:cs="Arial"/>
                <w:szCs w:val="24"/>
                <w:lang w:eastAsia="en-GB"/>
              </w:rPr>
            </w:pPr>
            <w:r w:rsidRPr="00D948C1">
              <w:rPr>
                <w:rFonts w:cs="Arial"/>
                <w:szCs w:val="24"/>
                <w:lang w:eastAsia="en-GB"/>
              </w:rPr>
              <w:lastRenderedPageBreak/>
              <w:t>Total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FC048" w14:textId="4A9D4DBA" w:rsidR="00C93FB3" w:rsidRPr="00D948C1" w:rsidRDefault="00C93FB3" w:rsidP="006C0086">
            <w:pPr>
              <w:pStyle w:val="CommentText"/>
              <w:spacing w:line="276" w:lineRule="auto"/>
              <w:jc w:val="right"/>
              <w:rPr>
                <w:rFonts w:cs="Arial"/>
                <w:sz w:val="24"/>
                <w:szCs w:val="24"/>
                <w:lang w:eastAsia="en-GB"/>
              </w:rPr>
            </w:pPr>
            <w:r w:rsidRPr="00D948C1">
              <w:rPr>
                <w:rFonts w:cs="Arial"/>
                <w:sz w:val="24"/>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3290899C" w14:textId="30700408" w:rsidR="00C93FB3" w:rsidRPr="00D948C1" w:rsidRDefault="00C93FB3" w:rsidP="006C0086">
            <w:pPr>
              <w:spacing w:line="276" w:lineRule="auto"/>
              <w:jc w:val="right"/>
              <w:rPr>
                <w:rFonts w:cs="Arial"/>
                <w:szCs w:val="24"/>
                <w:lang w:eastAsia="en-GB"/>
              </w:rPr>
            </w:pPr>
            <w:r w:rsidRPr="00D948C1">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DFBFE76" w14:textId="3960AEAD" w:rsidR="00C93FB3" w:rsidRPr="00D948C1" w:rsidRDefault="00C93FB3" w:rsidP="006C0086">
            <w:pPr>
              <w:spacing w:line="276" w:lineRule="auto"/>
              <w:jc w:val="right"/>
              <w:rPr>
                <w:rFonts w:cs="Arial"/>
                <w:szCs w:val="24"/>
                <w:lang w:eastAsia="en-GB"/>
              </w:rPr>
            </w:pPr>
            <w:r w:rsidRPr="00D948C1">
              <w:rPr>
                <w:rFonts w:cs="Arial"/>
                <w:szCs w:val="24"/>
              </w:rPr>
              <w:t>7,390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D812" w14:textId="76A138E5" w:rsidR="00C93FB3" w:rsidRPr="00D948C1" w:rsidRDefault="00C93FB3" w:rsidP="006C0086">
            <w:pPr>
              <w:spacing w:line="276" w:lineRule="auto"/>
              <w:jc w:val="right"/>
              <w:rPr>
                <w:rFonts w:cs="Arial"/>
                <w:szCs w:val="24"/>
                <w:lang w:eastAsia="en-GB"/>
              </w:rPr>
            </w:pPr>
            <w:r w:rsidRPr="00D948C1">
              <w:rPr>
                <w:rFonts w:cs="Arial"/>
                <w:szCs w:val="24"/>
              </w:rPr>
              <w:t>125,717</w:t>
            </w:r>
          </w:p>
        </w:tc>
      </w:tr>
    </w:tbl>
    <w:p w14:paraId="7C9DA949" w14:textId="77777777" w:rsidR="00372872" w:rsidRPr="00D948C1" w:rsidRDefault="00372872" w:rsidP="006C0086">
      <w:pPr>
        <w:spacing w:line="276" w:lineRule="auto"/>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72872" w:rsidRPr="00D948C1" w14:paraId="4DF5BA03"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F465E4" w14:textId="4193697B" w:rsidR="00372872" w:rsidRPr="00D948C1" w:rsidRDefault="00372872" w:rsidP="006C0086">
            <w:pPr>
              <w:spacing w:line="276" w:lineRule="auto"/>
              <w:rPr>
                <w:rFonts w:cs="Arial"/>
                <w:b/>
                <w:bCs/>
                <w:szCs w:val="24"/>
              </w:rPr>
            </w:pPr>
            <w:r w:rsidRPr="00D948C1">
              <w:rPr>
                <w:rFonts w:cs="Arial"/>
                <w:b/>
                <w:bCs/>
                <w:szCs w:val="24"/>
              </w:rPr>
              <w:t>Historical cost</w:t>
            </w:r>
          </w:p>
        </w:tc>
      </w:tr>
      <w:tr w:rsidR="00C93FB3" w:rsidRPr="00D948C1" w14:paraId="09CF493C"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C157"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Carried at historical cost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216C6" w14:textId="43426B9F" w:rsidR="00C93FB3" w:rsidRPr="00D948C1" w:rsidRDefault="00C93FB3" w:rsidP="006C0086">
            <w:pPr>
              <w:pStyle w:val="CommentText"/>
              <w:spacing w:line="276" w:lineRule="auto"/>
              <w:jc w:val="right"/>
              <w:rPr>
                <w:rFonts w:cs="Arial"/>
                <w:sz w:val="24"/>
                <w:szCs w:val="24"/>
                <w:lang w:eastAsia="en-GB"/>
              </w:rPr>
            </w:pPr>
            <w:r w:rsidRPr="00D948C1">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0A0808D" w14:textId="13FC9323" w:rsidR="00C93FB3" w:rsidRPr="00D948C1" w:rsidRDefault="00C93FB3" w:rsidP="006C0086">
            <w:pPr>
              <w:spacing w:line="276" w:lineRule="auto"/>
              <w:jc w:val="right"/>
              <w:rPr>
                <w:rFonts w:cs="Arial"/>
                <w:szCs w:val="24"/>
                <w:lang w:eastAsia="en-GB"/>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87053CD" w14:textId="700E0D79" w:rsidR="00C93FB3" w:rsidRPr="00D948C1" w:rsidRDefault="00C93FB3" w:rsidP="006C0086">
            <w:pPr>
              <w:spacing w:line="276" w:lineRule="auto"/>
              <w:jc w:val="right"/>
              <w:rPr>
                <w:rFonts w:cs="Arial"/>
                <w:szCs w:val="24"/>
                <w:lang w:eastAsia="en-GB"/>
              </w:rPr>
            </w:pPr>
            <w:r w:rsidRPr="00D948C1">
              <w:rPr>
                <w:rFonts w:cs="Arial"/>
                <w:szCs w:val="24"/>
              </w:rPr>
              <w:t>7,390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BAA40" w14:textId="1EE4EA1D" w:rsidR="00C93FB3" w:rsidRPr="00D948C1" w:rsidRDefault="00C93FB3" w:rsidP="006C0086">
            <w:pPr>
              <w:spacing w:line="276" w:lineRule="auto"/>
              <w:jc w:val="right"/>
              <w:rPr>
                <w:rFonts w:cs="Arial"/>
                <w:szCs w:val="24"/>
                <w:lang w:eastAsia="en-GB"/>
              </w:rPr>
            </w:pPr>
            <w:r w:rsidRPr="00D948C1">
              <w:rPr>
                <w:rFonts w:cs="Arial"/>
                <w:szCs w:val="24"/>
              </w:rPr>
              <w:t>7,390</w:t>
            </w:r>
          </w:p>
        </w:tc>
      </w:tr>
    </w:tbl>
    <w:p w14:paraId="4F425E50" w14:textId="77777777" w:rsidR="00372872" w:rsidRPr="00D948C1" w:rsidRDefault="00372872" w:rsidP="006C0086">
      <w:pPr>
        <w:spacing w:line="276" w:lineRule="auto"/>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607136" w:rsidRPr="00D948C1" w14:paraId="5891E77F"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0A334" w14:textId="5F2DE55E" w:rsidR="00607136" w:rsidRPr="00D948C1" w:rsidRDefault="00607136" w:rsidP="006C0086">
            <w:pPr>
              <w:spacing w:line="276" w:lineRule="auto"/>
              <w:rPr>
                <w:rFonts w:cs="Arial"/>
                <w:b/>
                <w:bCs/>
                <w:szCs w:val="24"/>
                <w:lang w:eastAsia="en-GB"/>
              </w:rPr>
            </w:pPr>
            <w:r w:rsidRPr="00D948C1">
              <w:rPr>
                <w:rFonts w:cs="Arial"/>
                <w:b/>
                <w:bCs/>
                <w:szCs w:val="24"/>
                <w:lang w:eastAsia="en-GB"/>
              </w:rPr>
              <w:t>Valued at current value as at:</w:t>
            </w:r>
          </w:p>
        </w:tc>
      </w:tr>
      <w:tr w:rsidR="00C93FB3" w:rsidRPr="00D948C1" w14:paraId="5268D23D"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AC94D"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8AD4" w14:textId="387EA309" w:rsidR="00C93FB3" w:rsidRPr="00D948C1" w:rsidRDefault="00C93FB3" w:rsidP="006C0086">
            <w:pPr>
              <w:pStyle w:val="CommentText"/>
              <w:spacing w:line="276" w:lineRule="auto"/>
              <w:jc w:val="right"/>
              <w:rPr>
                <w:rFonts w:cs="Arial"/>
                <w:sz w:val="24"/>
                <w:szCs w:val="24"/>
                <w:lang w:eastAsia="en-GB"/>
              </w:rPr>
            </w:pPr>
            <w:r w:rsidRPr="00D948C1">
              <w:rPr>
                <w:rFonts w:cs="Arial"/>
                <w:sz w:val="24"/>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280FCA99" w14:textId="7E68CA2E" w:rsidR="00C93FB3" w:rsidRPr="00D948C1" w:rsidRDefault="00C93FB3" w:rsidP="006C0086">
            <w:pPr>
              <w:spacing w:line="276" w:lineRule="auto"/>
              <w:jc w:val="right"/>
              <w:rPr>
                <w:rFonts w:cs="Arial"/>
                <w:szCs w:val="24"/>
                <w:lang w:eastAsia="en-GB"/>
              </w:rPr>
            </w:pPr>
            <w:r w:rsidRPr="00D948C1">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0DC126C" w14:textId="39AD051E" w:rsidR="00C93FB3" w:rsidRPr="00D948C1" w:rsidRDefault="00C93FB3" w:rsidP="006C0086">
            <w:pPr>
              <w:spacing w:line="276" w:lineRule="auto"/>
              <w:jc w:val="right"/>
              <w:rPr>
                <w:rFonts w:cs="Arial"/>
                <w:szCs w:val="24"/>
                <w:lang w:eastAsia="en-GB"/>
              </w:rPr>
            </w:pPr>
            <w:r w:rsidRPr="00D948C1">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B6D9D" w14:textId="41330A4F" w:rsidR="00C93FB3" w:rsidRPr="00D948C1" w:rsidRDefault="00C93FB3" w:rsidP="006C0086">
            <w:pPr>
              <w:spacing w:line="276" w:lineRule="auto"/>
              <w:jc w:val="right"/>
              <w:rPr>
                <w:rFonts w:cs="Arial"/>
                <w:szCs w:val="24"/>
                <w:lang w:eastAsia="en-GB"/>
              </w:rPr>
            </w:pPr>
            <w:r w:rsidRPr="00D948C1">
              <w:rPr>
                <w:rFonts w:cs="Arial"/>
                <w:szCs w:val="24"/>
              </w:rPr>
              <w:t>118,327</w:t>
            </w:r>
          </w:p>
        </w:tc>
      </w:tr>
      <w:tr w:rsidR="00C93FB3" w:rsidRPr="00D948C1" w14:paraId="59805120"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47F7"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31 March 2010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389C5" w14:textId="74DED095" w:rsidR="00C93FB3" w:rsidRPr="00D948C1" w:rsidRDefault="00C93FB3" w:rsidP="006C0086">
            <w:pPr>
              <w:pStyle w:val="CommentText"/>
              <w:spacing w:line="276" w:lineRule="auto"/>
              <w:jc w:val="right"/>
              <w:rPr>
                <w:rFonts w:cs="Arial"/>
                <w:sz w:val="24"/>
                <w:szCs w:val="24"/>
                <w:lang w:eastAsia="en-GB"/>
              </w:rPr>
            </w:pPr>
            <w:r w:rsidRPr="00D948C1">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37994FDD" w14:textId="2824BFD6" w:rsidR="00C93FB3" w:rsidRPr="00D948C1" w:rsidRDefault="00C93FB3" w:rsidP="006C0086">
            <w:pPr>
              <w:spacing w:line="276" w:lineRule="auto"/>
              <w:jc w:val="right"/>
              <w:rPr>
                <w:rFonts w:cs="Arial"/>
                <w:szCs w:val="24"/>
                <w:lang w:eastAsia="en-GB"/>
              </w:rPr>
            </w:pPr>
            <w:r w:rsidRPr="00D948C1">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F99B086" w14:textId="4AA9AD85" w:rsidR="00C93FB3" w:rsidRPr="00D948C1" w:rsidRDefault="00C93FB3" w:rsidP="006C0086">
            <w:pPr>
              <w:spacing w:line="276" w:lineRule="auto"/>
              <w:jc w:val="right"/>
              <w:rPr>
                <w:rFonts w:cs="Arial"/>
                <w:szCs w:val="24"/>
                <w:lang w:eastAsia="en-GB"/>
              </w:rPr>
            </w:pPr>
            <w:r w:rsidRPr="00D948C1">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5B2FD" w14:textId="48EB40BB" w:rsidR="00C93FB3" w:rsidRPr="00D948C1" w:rsidRDefault="00C93FB3" w:rsidP="006C0086">
            <w:pPr>
              <w:spacing w:line="276" w:lineRule="auto"/>
              <w:jc w:val="right"/>
              <w:rPr>
                <w:rFonts w:cs="Arial"/>
                <w:szCs w:val="24"/>
                <w:lang w:eastAsia="en-GB"/>
              </w:rPr>
            </w:pPr>
            <w:r w:rsidRPr="00D948C1">
              <w:rPr>
                <w:rFonts w:cs="Arial"/>
                <w:szCs w:val="24"/>
              </w:rPr>
              <w:t>-</w:t>
            </w:r>
          </w:p>
        </w:tc>
      </w:tr>
      <w:tr w:rsidR="00C93FB3" w:rsidRPr="00D948C1" w14:paraId="21C57D4B"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521D3" w14:textId="77777777" w:rsidR="00C93FB3" w:rsidRPr="00D948C1" w:rsidRDefault="00C93FB3" w:rsidP="006C0086">
            <w:pPr>
              <w:spacing w:line="276" w:lineRule="auto"/>
              <w:ind w:left="175"/>
              <w:rPr>
                <w:rFonts w:cs="Arial"/>
                <w:szCs w:val="24"/>
                <w:lang w:eastAsia="en-GB"/>
              </w:rPr>
            </w:pPr>
            <w:r w:rsidRPr="00D948C1">
              <w:rPr>
                <w:rFonts w:cs="Arial"/>
                <w:szCs w:val="24"/>
                <w:lang w:eastAsia="en-GB"/>
              </w:rPr>
              <w:t>Total cost or valuation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7665" w14:textId="3A4652C4" w:rsidR="00C93FB3" w:rsidRPr="00D948C1" w:rsidRDefault="00C93FB3" w:rsidP="006C0086">
            <w:pPr>
              <w:pStyle w:val="CommentText"/>
              <w:spacing w:line="276" w:lineRule="auto"/>
              <w:jc w:val="right"/>
              <w:rPr>
                <w:rFonts w:cs="Arial"/>
                <w:sz w:val="24"/>
                <w:szCs w:val="24"/>
                <w:lang w:eastAsia="en-GB"/>
              </w:rPr>
            </w:pPr>
            <w:r w:rsidRPr="00D948C1">
              <w:rPr>
                <w:rFonts w:cs="Arial"/>
                <w:sz w:val="24"/>
                <w:szCs w:val="24"/>
              </w:rPr>
              <w:t>81,895</w:t>
            </w:r>
          </w:p>
        </w:tc>
        <w:tc>
          <w:tcPr>
            <w:tcW w:w="1299" w:type="dxa"/>
            <w:tcBorders>
              <w:top w:val="single" w:sz="4" w:space="0" w:color="auto"/>
              <w:left w:val="single" w:sz="4" w:space="0" w:color="auto"/>
              <w:bottom w:val="single" w:sz="4" w:space="0" w:color="auto"/>
              <w:right w:val="single" w:sz="4" w:space="0" w:color="auto"/>
            </w:tcBorders>
            <w:vAlign w:val="center"/>
          </w:tcPr>
          <w:p w14:paraId="74CDB2E4" w14:textId="14B3102B" w:rsidR="00C93FB3" w:rsidRPr="00D948C1" w:rsidRDefault="00C93FB3" w:rsidP="006C0086">
            <w:pPr>
              <w:spacing w:line="276" w:lineRule="auto"/>
              <w:jc w:val="right"/>
              <w:rPr>
                <w:rFonts w:cs="Arial"/>
                <w:szCs w:val="24"/>
                <w:lang w:eastAsia="en-GB"/>
              </w:rPr>
            </w:pPr>
            <w:r w:rsidRPr="00D948C1">
              <w:rPr>
                <w:rFonts w:cs="Arial"/>
                <w:szCs w:val="24"/>
              </w:rPr>
              <w:t>36,432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54C97F" w14:textId="2AD3BE4D" w:rsidR="00C93FB3" w:rsidRPr="00D948C1" w:rsidRDefault="00C93FB3" w:rsidP="006C0086">
            <w:pPr>
              <w:spacing w:line="276" w:lineRule="auto"/>
              <w:jc w:val="right"/>
              <w:rPr>
                <w:rFonts w:cs="Arial"/>
                <w:szCs w:val="24"/>
                <w:lang w:eastAsia="en-GB"/>
              </w:rPr>
            </w:pPr>
            <w:r w:rsidRPr="00D948C1">
              <w:rPr>
                <w:rFonts w:cs="Arial"/>
                <w:szCs w:val="24"/>
              </w:rPr>
              <w:t>7,390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2D07F" w14:textId="43D9296C" w:rsidR="00C93FB3" w:rsidRPr="00D948C1" w:rsidRDefault="00C93FB3" w:rsidP="006C0086">
            <w:pPr>
              <w:spacing w:line="276" w:lineRule="auto"/>
              <w:jc w:val="right"/>
              <w:rPr>
                <w:rFonts w:cs="Arial"/>
                <w:szCs w:val="24"/>
                <w:lang w:eastAsia="en-GB"/>
              </w:rPr>
            </w:pPr>
            <w:r w:rsidRPr="00D948C1">
              <w:rPr>
                <w:rFonts w:cs="Arial"/>
                <w:szCs w:val="24"/>
              </w:rPr>
              <w:t>125,717</w:t>
            </w:r>
          </w:p>
        </w:tc>
      </w:tr>
      <w:tr w:rsidR="00C72C44" w:rsidRPr="00D948C1" w14:paraId="49F16D04" w14:textId="77777777" w:rsidTr="00372872">
        <w:trPr>
          <w:trHeight w:val="507"/>
        </w:trPr>
        <w:tc>
          <w:tcPr>
            <w:tcW w:w="4286" w:type="dxa"/>
            <w:tcBorders>
              <w:top w:val="single" w:sz="4" w:space="0" w:color="auto"/>
              <w:left w:val="nil"/>
              <w:bottom w:val="nil"/>
              <w:right w:val="nil"/>
            </w:tcBorders>
            <w:shd w:val="clear" w:color="auto" w:fill="auto"/>
            <w:noWrap/>
            <w:vAlign w:val="bottom"/>
          </w:tcPr>
          <w:p w14:paraId="0456AB39" w14:textId="7EE5C4B5" w:rsidR="00C72C44" w:rsidRPr="00D948C1" w:rsidRDefault="00C72C44" w:rsidP="006C0086">
            <w:pPr>
              <w:spacing w:line="276" w:lineRule="auto"/>
              <w:ind w:left="175"/>
              <w:rPr>
                <w:rFonts w:cs="Arial"/>
                <w:sz w:val="20"/>
                <w:lang w:eastAsia="en-GB"/>
              </w:rPr>
            </w:pPr>
          </w:p>
        </w:tc>
        <w:tc>
          <w:tcPr>
            <w:tcW w:w="1346" w:type="dxa"/>
            <w:tcBorders>
              <w:top w:val="single" w:sz="4" w:space="0" w:color="auto"/>
              <w:left w:val="nil"/>
              <w:bottom w:val="nil"/>
              <w:right w:val="nil"/>
            </w:tcBorders>
            <w:shd w:val="clear" w:color="auto" w:fill="auto"/>
            <w:vAlign w:val="bottom"/>
          </w:tcPr>
          <w:p w14:paraId="0BF3547F" w14:textId="0831F08B" w:rsidR="00C72C44" w:rsidRPr="00D948C1" w:rsidRDefault="00C72C44" w:rsidP="006C0086">
            <w:pPr>
              <w:spacing w:line="276" w:lineRule="auto"/>
              <w:jc w:val="center"/>
              <w:rPr>
                <w:rFonts w:cs="Arial"/>
                <w:b/>
                <w:bCs/>
                <w:sz w:val="20"/>
                <w:lang w:eastAsia="en-GB"/>
              </w:rPr>
            </w:pPr>
          </w:p>
        </w:tc>
        <w:tc>
          <w:tcPr>
            <w:tcW w:w="1299" w:type="dxa"/>
            <w:tcBorders>
              <w:top w:val="single" w:sz="4" w:space="0" w:color="auto"/>
              <w:left w:val="nil"/>
              <w:bottom w:val="nil"/>
              <w:right w:val="nil"/>
            </w:tcBorders>
            <w:vAlign w:val="bottom"/>
          </w:tcPr>
          <w:p w14:paraId="10FD403F" w14:textId="481FD4C2" w:rsidR="00C72C44" w:rsidRPr="00D948C1" w:rsidRDefault="00C72C44" w:rsidP="006C0086">
            <w:pPr>
              <w:spacing w:line="276" w:lineRule="auto"/>
              <w:jc w:val="center"/>
              <w:rPr>
                <w:rFonts w:cs="Arial"/>
                <w:b/>
                <w:bCs/>
                <w:sz w:val="20"/>
                <w:lang w:eastAsia="en-GB"/>
              </w:rPr>
            </w:pPr>
          </w:p>
        </w:tc>
        <w:tc>
          <w:tcPr>
            <w:tcW w:w="1466" w:type="dxa"/>
            <w:tcBorders>
              <w:top w:val="single" w:sz="4" w:space="0" w:color="auto"/>
              <w:left w:val="nil"/>
              <w:bottom w:val="nil"/>
              <w:right w:val="nil"/>
            </w:tcBorders>
            <w:vAlign w:val="bottom"/>
          </w:tcPr>
          <w:p w14:paraId="5E967C9E" w14:textId="21AB6A75" w:rsidR="00C72C44" w:rsidRPr="00D948C1" w:rsidRDefault="00C72C44" w:rsidP="006C0086">
            <w:pPr>
              <w:spacing w:line="276" w:lineRule="auto"/>
              <w:jc w:val="center"/>
              <w:rPr>
                <w:rFonts w:cs="Arial"/>
                <w:b/>
                <w:bCs/>
                <w:sz w:val="20"/>
                <w:lang w:eastAsia="en-GB"/>
              </w:rPr>
            </w:pPr>
          </w:p>
        </w:tc>
        <w:tc>
          <w:tcPr>
            <w:tcW w:w="1559" w:type="dxa"/>
            <w:tcBorders>
              <w:top w:val="single" w:sz="4" w:space="0" w:color="auto"/>
              <w:left w:val="nil"/>
              <w:bottom w:val="nil"/>
              <w:right w:val="nil"/>
            </w:tcBorders>
            <w:shd w:val="clear" w:color="auto" w:fill="auto"/>
            <w:noWrap/>
            <w:vAlign w:val="bottom"/>
          </w:tcPr>
          <w:p w14:paraId="4E37B396" w14:textId="743EA0CA" w:rsidR="00C72C44" w:rsidRPr="00D948C1" w:rsidRDefault="00C72C44" w:rsidP="006C0086">
            <w:pPr>
              <w:pStyle w:val="CommentSubject"/>
              <w:spacing w:line="276" w:lineRule="auto"/>
              <w:jc w:val="center"/>
              <w:rPr>
                <w:rFonts w:ascii="Arial" w:hAnsi="Arial" w:cs="Arial"/>
                <w:lang w:eastAsia="en-GB"/>
              </w:rPr>
            </w:pPr>
          </w:p>
        </w:tc>
      </w:tr>
    </w:tbl>
    <w:p w14:paraId="6968CE45" w14:textId="54072872" w:rsidR="00C5659D" w:rsidRPr="00D948C1" w:rsidRDefault="00C5659D" w:rsidP="006C0086">
      <w:pPr>
        <w:spacing w:line="276" w:lineRule="auto"/>
        <w:ind w:firstLine="709"/>
        <w:rPr>
          <w:b/>
          <w:bCs/>
        </w:rPr>
      </w:pPr>
      <w:r w:rsidRPr="00D948C1">
        <w:rPr>
          <w:b/>
          <w:bCs/>
        </w:rPr>
        <w:t>Heritage Assets</w:t>
      </w:r>
    </w:p>
    <w:p w14:paraId="74BE22A0" w14:textId="77777777" w:rsidR="00C5659D" w:rsidRPr="00D948C1" w:rsidRDefault="00C5659D" w:rsidP="006C0086">
      <w:pPr>
        <w:pStyle w:val="BodyTextIndent"/>
        <w:spacing w:line="276" w:lineRule="auto"/>
        <w:rPr>
          <w:b/>
          <w:szCs w:val="24"/>
          <w:lang w:val="en-GB"/>
        </w:rPr>
      </w:pPr>
    </w:p>
    <w:p w14:paraId="517A1625" w14:textId="5AF27D81" w:rsidR="00F74E7D" w:rsidRPr="00D948C1" w:rsidRDefault="00C5659D" w:rsidP="006C0086">
      <w:pPr>
        <w:pStyle w:val="BodyTextIndent"/>
        <w:spacing w:line="276" w:lineRule="auto"/>
        <w:ind w:left="709" w:right="425"/>
        <w:rPr>
          <w:szCs w:val="24"/>
          <w:lang w:val="en-GB"/>
        </w:rPr>
      </w:pPr>
      <w:r w:rsidRPr="00D948C1">
        <w:rPr>
          <w:szCs w:val="24"/>
          <w:lang w:val="en-GB"/>
        </w:rPr>
        <w:t xml:space="preserve">The Authority holds several heritage assets, in the form of both fire memorabilia such as antique fire extinguishers, </w:t>
      </w:r>
      <w:r w:rsidR="00DF2B00" w:rsidRPr="00D948C1">
        <w:rPr>
          <w:szCs w:val="24"/>
          <w:lang w:val="en-GB"/>
        </w:rPr>
        <w:t>and</w:t>
      </w:r>
      <w:r w:rsidRPr="00D948C1">
        <w:rPr>
          <w:szCs w:val="24"/>
          <w:lang w:val="en-GB"/>
        </w:rPr>
        <w:t xml:space="preserve"> two vintage fire appliances. Due to the nature of these assets, it is not possible to market test the value of these, therefore they are not included in the Property, Plant and Equipment note.</w:t>
      </w:r>
    </w:p>
    <w:p w14:paraId="6DE6AB3C" w14:textId="77777777" w:rsidR="00372872" w:rsidRPr="00D948C1" w:rsidRDefault="00372872" w:rsidP="006C0086">
      <w:pPr>
        <w:pStyle w:val="BodyTextIndent"/>
        <w:spacing w:line="276" w:lineRule="auto"/>
        <w:ind w:left="709" w:right="425"/>
        <w:rPr>
          <w:szCs w:val="24"/>
          <w:lang w:val="en-GB"/>
        </w:rPr>
      </w:pPr>
    </w:p>
    <w:p w14:paraId="09B690A3" w14:textId="4E531AC1" w:rsidR="00D90216" w:rsidRPr="00D948C1" w:rsidRDefault="00D90216" w:rsidP="006C0086">
      <w:pPr>
        <w:spacing w:line="276" w:lineRule="auto"/>
        <w:ind w:firstLine="709"/>
        <w:rPr>
          <w:b/>
          <w:bCs/>
        </w:rPr>
      </w:pPr>
      <w:r w:rsidRPr="00D948C1">
        <w:rPr>
          <w:b/>
          <w:bCs/>
        </w:rPr>
        <w:t>Capital Expenditure</w:t>
      </w:r>
    </w:p>
    <w:p w14:paraId="3BD76D2B" w14:textId="77777777" w:rsidR="00D90216" w:rsidRPr="00D948C1" w:rsidRDefault="00D90216" w:rsidP="006C0086">
      <w:pPr>
        <w:pStyle w:val="BodyTextIndent"/>
        <w:spacing w:line="276" w:lineRule="auto"/>
        <w:rPr>
          <w:szCs w:val="24"/>
          <w:lang w:val="en-GB"/>
        </w:rPr>
      </w:pPr>
    </w:p>
    <w:p w14:paraId="5283EE0D" w14:textId="0C2B0FED" w:rsidR="00D90216" w:rsidRPr="00D948C1" w:rsidRDefault="00D90216" w:rsidP="006C0086">
      <w:pPr>
        <w:tabs>
          <w:tab w:val="left" w:pos="720"/>
          <w:tab w:val="right" w:pos="7200"/>
        </w:tabs>
        <w:spacing w:line="276" w:lineRule="auto"/>
        <w:ind w:left="720"/>
        <w:rPr>
          <w:szCs w:val="24"/>
        </w:rPr>
      </w:pPr>
      <w:r w:rsidRPr="00D948C1">
        <w:rPr>
          <w:szCs w:val="24"/>
        </w:rPr>
        <w:t>The total capital expenditure in 20</w:t>
      </w:r>
      <w:r w:rsidR="006B2155" w:rsidRPr="00D948C1">
        <w:rPr>
          <w:szCs w:val="24"/>
        </w:rPr>
        <w:t>2</w:t>
      </w:r>
      <w:r w:rsidR="00C93FB3" w:rsidRPr="00D948C1">
        <w:rPr>
          <w:szCs w:val="24"/>
        </w:rPr>
        <w:t>3</w:t>
      </w:r>
      <w:r w:rsidR="006B2155" w:rsidRPr="00D948C1">
        <w:rPr>
          <w:szCs w:val="24"/>
        </w:rPr>
        <w:t>/2</w:t>
      </w:r>
      <w:r w:rsidR="00C93FB3" w:rsidRPr="00D948C1">
        <w:rPr>
          <w:szCs w:val="24"/>
        </w:rPr>
        <w:t>4</w:t>
      </w:r>
      <w:r w:rsidRPr="00D948C1">
        <w:rPr>
          <w:szCs w:val="24"/>
        </w:rPr>
        <w:t xml:space="preserve"> is shown in the table below, together with the resources that have been used to finance it. 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in the second part of this note.</w:t>
      </w:r>
    </w:p>
    <w:p w14:paraId="2A5043FD" w14:textId="77777777" w:rsidR="00D90216" w:rsidRPr="00D948C1" w:rsidRDefault="00D90216" w:rsidP="006C0086">
      <w:pPr>
        <w:tabs>
          <w:tab w:val="left" w:pos="720"/>
          <w:tab w:val="right" w:pos="7200"/>
        </w:tabs>
        <w:spacing w:line="276" w:lineRule="auto"/>
        <w:ind w:left="720"/>
        <w:jc w:val="both"/>
        <w:rPr>
          <w:sz w:val="22"/>
        </w:rPr>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174738" w:rsidRPr="00D948C1" w14:paraId="0E929259" w14:textId="77777777" w:rsidTr="00611673">
        <w:trPr>
          <w:trHeight w:hRule="exact" w:val="578"/>
          <w:tblHeader/>
        </w:trPr>
        <w:tc>
          <w:tcPr>
            <w:tcW w:w="5342" w:type="dxa"/>
            <w:shd w:val="clear" w:color="auto" w:fill="BD2716"/>
          </w:tcPr>
          <w:p w14:paraId="644CFD86" w14:textId="77777777" w:rsidR="00174738" w:rsidRPr="00D948C1" w:rsidRDefault="00174738" w:rsidP="006C0086">
            <w:pPr>
              <w:spacing w:line="276" w:lineRule="auto"/>
              <w:rPr>
                <w:color w:val="FFFFFF" w:themeColor="background1"/>
                <w:szCs w:val="24"/>
              </w:rPr>
            </w:pPr>
          </w:p>
        </w:tc>
        <w:tc>
          <w:tcPr>
            <w:tcW w:w="1512" w:type="dxa"/>
            <w:shd w:val="clear" w:color="auto" w:fill="BD2716"/>
            <w:vAlign w:val="center"/>
          </w:tcPr>
          <w:p w14:paraId="006AD34C" w14:textId="74831570" w:rsidR="00174738" w:rsidRPr="00D948C1" w:rsidRDefault="00670DB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w:t>
            </w:r>
            <w:r w:rsidR="00C93FB3" w:rsidRPr="00D948C1">
              <w:rPr>
                <w:color w:val="FFFFFF" w:themeColor="background1"/>
                <w:szCs w:val="24"/>
                <w:lang w:val="en-GB"/>
              </w:rPr>
              <w:t>3</w:t>
            </w:r>
            <w:r w:rsidRPr="00D948C1">
              <w:rPr>
                <w:color w:val="FFFFFF" w:themeColor="background1"/>
                <w:szCs w:val="24"/>
                <w:lang w:val="en-GB"/>
              </w:rPr>
              <w:t>/2</w:t>
            </w:r>
            <w:r w:rsidR="00C93FB3" w:rsidRPr="00D948C1">
              <w:rPr>
                <w:color w:val="FFFFFF" w:themeColor="background1"/>
                <w:szCs w:val="24"/>
                <w:lang w:val="en-GB"/>
              </w:rPr>
              <w:t>4</w:t>
            </w:r>
          </w:p>
          <w:p w14:paraId="78A6FBDB" w14:textId="091B57B2" w:rsidR="00DC7A16" w:rsidRPr="00D948C1" w:rsidRDefault="00DC7A16"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465" w:type="dxa"/>
            <w:shd w:val="clear" w:color="auto" w:fill="BD2716"/>
            <w:vAlign w:val="center"/>
          </w:tcPr>
          <w:p w14:paraId="72E52B96" w14:textId="77777777"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3FB3C2CD" w14:textId="5CC5FB92" w:rsidR="00DC7A16"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3D6A01" w:rsidRPr="00D948C1" w14:paraId="5C01EC35" w14:textId="77777777" w:rsidTr="008B00BF">
        <w:trPr>
          <w:trHeight w:hRule="exact" w:val="300"/>
        </w:trPr>
        <w:tc>
          <w:tcPr>
            <w:tcW w:w="5342" w:type="dxa"/>
          </w:tcPr>
          <w:p w14:paraId="5038A3EC" w14:textId="77777777" w:rsidR="003D6A01" w:rsidRPr="00D948C1" w:rsidRDefault="003D6A01" w:rsidP="006C0086">
            <w:pPr>
              <w:spacing w:line="276" w:lineRule="auto"/>
              <w:rPr>
                <w:szCs w:val="24"/>
              </w:rPr>
            </w:pPr>
            <w:r w:rsidRPr="00D948C1">
              <w:rPr>
                <w:szCs w:val="24"/>
              </w:rPr>
              <w:t>Opening Capital Financing Requirement</w:t>
            </w:r>
          </w:p>
        </w:tc>
        <w:tc>
          <w:tcPr>
            <w:tcW w:w="1512" w:type="dxa"/>
            <w:vAlign w:val="center"/>
          </w:tcPr>
          <w:p w14:paraId="27F58282" w14:textId="3F623D5C" w:rsidR="003D6A01" w:rsidRPr="00D948C1" w:rsidRDefault="00300B8F" w:rsidP="006C0086">
            <w:pPr>
              <w:pStyle w:val="Footer"/>
              <w:tabs>
                <w:tab w:val="clear" w:pos="4153"/>
                <w:tab w:val="clear" w:pos="8306"/>
                <w:tab w:val="decimal" w:pos="1026"/>
              </w:tabs>
              <w:spacing w:line="276" w:lineRule="auto"/>
              <w:jc w:val="right"/>
              <w:rPr>
                <w:szCs w:val="24"/>
              </w:rPr>
            </w:pPr>
            <w:r w:rsidRPr="00D948C1">
              <w:rPr>
                <w:szCs w:val="24"/>
              </w:rPr>
              <w:t>12,283</w:t>
            </w:r>
          </w:p>
        </w:tc>
        <w:tc>
          <w:tcPr>
            <w:tcW w:w="1465" w:type="dxa"/>
            <w:vAlign w:val="center"/>
          </w:tcPr>
          <w:p w14:paraId="2B564051" w14:textId="1FD90A73" w:rsidR="003D6A01"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12,770</w:t>
            </w:r>
          </w:p>
        </w:tc>
      </w:tr>
      <w:tr w:rsidR="00C42769" w:rsidRPr="00D948C1" w14:paraId="1FC13FF8" w14:textId="77777777" w:rsidTr="00C42769">
        <w:trPr>
          <w:trHeight w:hRule="exact" w:val="624"/>
        </w:trPr>
        <w:tc>
          <w:tcPr>
            <w:tcW w:w="5342" w:type="dxa"/>
          </w:tcPr>
          <w:p w14:paraId="2C010F3E" w14:textId="4B9EC6CD" w:rsidR="00C42769" w:rsidRPr="00D948C1" w:rsidRDefault="00C42769" w:rsidP="006C0086">
            <w:pPr>
              <w:spacing w:line="276" w:lineRule="auto"/>
              <w:rPr>
                <w:szCs w:val="24"/>
              </w:rPr>
            </w:pPr>
            <w:r>
              <w:rPr>
                <w:szCs w:val="24"/>
              </w:rPr>
              <w:t>Adjustment for prior year NWFC Capital Financing Requirement</w:t>
            </w:r>
          </w:p>
        </w:tc>
        <w:tc>
          <w:tcPr>
            <w:tcW w:w="1512" w:type="dxa"/>
            <w:vAlign w:val="center"/>
          </w:tcPr>
          <w:p w14:paraId="3FB28C59" w14:textId="7CF1BDC7" w:rsidR="00C42769" w:rsidRPr="00D948C1" w:rsidRDefault="00C42769" w:rsidP="006C0086">
            <w:pPr>
              <w:pStyle w:val="Footer"/>
              <w:tabs>
                <w:tab w:val="clear" w:pos="4153"/>
                <w:tab w:val="clear" w:pos="8306"/>
                <w:tab w:val="decimal" w:pos="1026"/>
              </w:tabs>
              <w:spacing w:line="276" w:lineRule="auto"/>
              <w:jc w:val="right"/>
              <w:rPr>
                <w:szCs w:val="24"/>
              </w:rPr>
            </w:pPr>
            <w:r>
              <w:rPr>
                <w:szCs w:val="24"/>
              </w:rPr>
              <w:t>751</w:t>
            </w:r>
          </w:p>
        </w:tc>
        <w:tc>
          <w:tcPr>
            <w:tcW w:w="1465" w:type="dxa"/>
            <w:vAlign w:val="center"/>
          </w:tcPr>
          <w:p w14:paraId="3FBF0F78" w14:textId="16E1E316" w:rsidR="00C42769" w:rsidRPr="00D948C1" w:rsidRDefault="00C42769" w:rsidP="006C0086">
            <w:pPr>
              <w:pStyle w:val="Footer"/>
              <w:tabs>
                <w:tab w:val="clear" w:pos="4153"/>
                <w:tab w:val="clear" w:pos="8306"/>
                <w:tab w:val="decimal" w:pos="1026"/>
              </w:tabs>
              <w:spacing w:line="276" w:lineRule="auto"/>
              <w:jc w:val="right"/>
              <w:rPr>
                <w:szCs w:val="24"/>
              </w:rPr>
            </w:pPr>
            <w:r>
              <w:rPr>
                <w:szCs w:val="24"/>
              </w:rPr>
              <w:t>-</w:t>
            </w:r>
          </w:p>
        </w:tc>
      </w:tr>
    </w:tbl>
    <w:p w14:paraId="71DBA62D" w14:textId="06339D69" w:rsidR="000F5E3B" w:rsidRPr="00D948C1" w:rsidRDefault="000F5E3B" w:rsidP="006C0086">
      <w:pPr>
        <w:spacing w:line="276" w:lineRule="auto"/>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0F5E3B" w:rsidRPr="00D948C1" w14:paraId="778427E6" w14:textId="77777777" w:rsidTr="009D5D41">
        <w:trPr>
          <w:trHeight w:hRule="exact" w:val="578"/>
          <w:tblHeader/>
        </w:trPr>
        <w:tc>
          <w:tcPr>
            <w:tcW w:w="5342" w:type="dxa"/>
            <w:shd w:val="clear" w:color="auto" w:fill="BD2716"/>
          </w:tcPr>
          <w:p w14:paraId="5E3B7FD3" w14:textId="58071E25" w:rsidR="000F5E3B" w:rsidRPr="00D948C1" w:rsidRDefault="000F5E3B" w:rsidP="006C0086">
            <w:pPr>
              <w:spacing w:line="276" w:lineRule="auto"/>
              <w:rPr>
                <w:color w:val="FFFFFF" w:themeColor="background1"/>
                <w:szCs w:val="24"/>
              </w:rPr>
            </w:pPr>
            <w:r w:rsidRPr="00D948C1">
              <w:br w:type="page"/>
            </w:r>
          </w:p>
        </w:tc>
        <w:tc>
          <w:tcPr>
            <w:tcW w:w="1512" w:type="dxa"/>
            <w:shd w:val="clear" w:color="auto" w:fill="BD2716"/>
            <w:vAlign w:val="center"/>
          </w:tcPr>
          <w:p w14:paraId="2BA3A54F" w14:textId="77777777" w:rsidR="000F5E3B" w:rsidRPr="00D948C1" w:rsidRDefault="000F5E3B"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40099181" w14:textId="77777777" w:rsidR="000F5E3B" w:rsidRPr="00D948C1" w:rsidRDefault="000F5E3B"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465" w:type="dxa"/>
            <w:shd w:val="clear" w:color="auto" w:fill="BD2716"/>
            <w:vAlign w:val="center"/>
          </w:tcPr>
          <w:p w14:paraId="4A1FD87B" w14:textId="77777777" w:rsidR="000F5E3B" w:rsidRPr="00D948C1" w:rsidRDefault="000F5E3B"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42C0BFA0" w14:textId="77777777" w:rsidR="000F5E3B" w:rsidRPr="00D948C1" w:rsidRDefault="000F5E3B"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210760" w:rsidRPr="00D948C1" w14:paraId="7690EDAF" w14:textId="77777777" w:rsidTr="007641BA">
        <w:trPr>
          <w:trHeight w:hRule="exact" w:val="300"/>
        </w:trPr>
        <w:tc>
          <w:tcPr>
            <w:tcW w:w="8319" w:type="dxa"/>
            <w:gridSpan w:val="3"/>
            <w:shd w:val="clear" w:color="auto" w:fill="D9D9D9" w:themeFill="background1" w:themeFillShade="D9"/>
          </w:tcPr>
          <w:p w14:paraId="1A1089A4" w14:textId="4CBF5E2E" w:rsidR="00210760" w:rsidRPr="00D948C1" w:rsidRDefault="00210760" w:rsidP="006C0086">
            <w:pPr>
              <w:pStyle w:val="Footer"/>
              <w:tabs>
                <w:tab w:val="clear" w:pos="4153"/>
                <w:tab w:val="clear" w:pos="8306"/>
                <w:tab w:val="decimal" w:pos="1121"/>
              </w:tabs>
              <w:spacing w:line="276" w:lineRule="auto"/>
              <w:rPr>
                <w:b/>
                <w:bCs/>
                <w:szCs w:val="24"/>
              </w:rPr>
            </w:pPr>
            <w:r w:rsidRPr="00D948C1">
              <w:rPr>
                <w:b/>
                <w:bCs/>
                <w:szCs w:val="24"/>
              </w:rPr>
              <w:t>Capital investment:</w:t>
            </w:r>
          </w:p>
        </w:tc>
      </w:tr>
      <w:tr w:rsidR="00C93FB3" w:rsidRPr="00D948C1" w14:paraId="0C727D8C" w14:textId="77777777" w:rsidTr="008B00BF">
        <w:trPr>
          <w:trHeight w:hRule="exact" w:val="300"/>
        </w:trPr>
        <w:tc>
          <w:tcPr>
            <w:tcW w:w="5342" w:type="dxa"/>
          </w:tcPr>
          <w:p w14:paraId="30FB4A03" w14:textId="77777777" w:rsidR="00C93FB3" w:rsidRPr="00D948C1" w:rsidRDefault="00C93FB3" w:rsidP="006C0086">
            <w:pPr>
              <w:spacing w:line="276" w:lineRule="auto"/>
              <w:rPr>
                <w:szCs w:val="24"/>
              </w:rPr>
            </w:pPr>
            <w:r w:rsidRPr="00D948C1">
              <w:rPr>
                <w:szCs w:val="24"/>
              </w:rPr>
              <w:t>Property, Plant &amp; Equipment*</w:t>
            </w:r>
          </w:p>
        </w:tc>
        <w:tc>
          <w:tcPr>
            <w:tcW w:w="1512" w:type="dxa"/>
            <w:vAlign w:val="center"/>
          </w:tcPr>
          <w:p w14:paraId="33531D3F" w14:textId="44D0095B" w:rsidR="00C93FB3" w:rsidRPr="00D948C1" w:rsidRDefault="000E744C" w:rsidP="006C0086">
            <w:pPr>
              <w:pStyle w:val="Footer"/>
              <w:tabs>
                <w:tab w:val="clear" w:pos="4153"/>
                <w:tab w:val="clear" w:pos="8306"/>
                <w:tab w:val="decimal" w:pos="1026"/>
              </w:tabs>
              <w:spacing w:line="276" w:lineRule="auto"/>
              <w:jc w:val="right"/>
              <w:rPr>
                <w:szCs w:val="24"/>
              </w:rPr>
            </w:pPr>
            <w:r w:rsidRPr="00D948C1">
              <w:rPr>
                <w:szCs w:val="24"/>
              </w:rPr>
              <w:t>5,</w:t>
            </w:r>
            <w:r w:rsidR="00542CCA">
              <w:rPr>
                <w:szCs w:val="24"/>
              </w:rPr>
              <w:t>881</w:t>
            </w:r>
          </w:p>
        </w:tc>
        <w:tc>
          <w:tcPr>
            <w:tcW w:w="1465" w:type="dxa"/>
            <w:vAlign w:val="center"/>
          </w:tcPr>
          <w:p w14:paraId="63FC3E7B" w14:textId="260B6CDC"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1,204</w:t>
            </w:r>
          </w:p>
        </w:tc>
      </w:tr>
      <w:tr w:rsidR="00C93FB3" w:rsidRPr="00D948C1" w14:paraId="5798D909" w14:textId="77777777" w:rsidTr="008B00BF">
        <w:trPr>
          <w:trHeight w:hRule="exact" w:val="300"/>
        </w:trPr>
        <w:tc>
          <w:tcPr>
            <w:tcW w:w="5342" w:type="dxa"/>
          </w:tcPr>
          <w:p w14:paraId="1F472666" w14:textId="77777777" w:rsidR="00C93FB3" w:rsidRPr="00D948C1" w:rsidRDefault="00C93FB3" w:rsidP="006C0086">
            <w:pPr>
              <w:spacing w:line="276" w:lineRule="auto"/>
              <w:rPr>
                <w:szCs w:val="24"/>
              </w:rPr>
            </w:pPr>
            <w:r w:rsidRPr="00D948C1">
              <w:rPr>
                <w:szCs w:val="24"/>
              </w:rPr>
              <w:t>Intangible assets*</w:t>
            </w:r>
          </w:p>
        </w:tc>
        <w:tc>
          <w:tcPr>
            <w:tcW w:w="1512" w:type="dxa"/>
            <w:vAlign w:val="center"/>
          </w:tcPr>
          <w:p w14:paraId="0798D5EC" w14:textId="71F580EE" w:rsidR="00C93FB3" w:rsidRPr="00D948C1" w:rsidRDefault="00542CCA" w:rsidP="006C0086">
            <w:pPr>
              <w:pStyle w:val="Footer"/>
              <w:tabs>
                <w:tab w:val="clear" w:pos="4153"/>
                <w:tab w:val="clear" w:pos="8306"/>
                <w:tab w:val="decimal" w:pos="1026"/>
              </w:tabs>
              <w:spacing w:line="276" w:lineRule="auto"/>
              <w:jc w:val="right"/>
              <w:rPr>
                <w:szCs w:val="24"/>
              </w:rPr>
            </w:pPr>
            <w:r>
              <w:rPr>
                <w:szCs w:val="24"/>
              </w:rPr>
              <w:t>193</w:t>
            </w:r>
          </w:p>
        </w:tc>
        <w:tc>
          <w:tcPr>
            <w:tcW w:w="1465" w:type="dxa"/>
            <w:vAlign w:val="center"/>
          </w:tcPr>
          <w:p w14:paraId="17A774DA" w14:textId="277D9B0D"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477</w:t>
            </w:r>
          </w:p>
        </w:tc>
      </w:tr>
    </w:tbl>
    <w:p w14:paraId="1282F82C" w14:textId="77777777" w:rsidR="00372872" w:rsidRPr="00D948C1" w:rsidRDefault="00372872" w:rsidP="006C0086">
      <w:pPr>
        <w:spacing w:line="276" w:lineRule="auto"/>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D948C1" w14:paraId="3B476701" w14:textId="77777777" w:rsidTr="007641BA">
        <w:trPr>
          <w:trHeight w:hRule="exact" w:val="300"/>
        </w:trPr>
        <w:tc>
          <w:tcPr>
            <w:tcW w:w="8319" w:type="dxa"/>
            <w:gridSpan w:val="3"/>
            <w:shd w:val="clear" w:color="auto" w:fill="D9D9D9" w:themeFill="background1" w:themeFillShade="D9"/>
          </w:tcPr>
          <w:p w14:paraId="7A0F1FF9" w14:textId="32599159" w:rsidR="00210760" w:rsidRPr="00D948C1" w:rsidRDefault="00210760" w:rsidP="006C0086">
            <w:pPr>
              <w:pStyle w:val="Footer"/>
              <w:tabs>
                <w:tab w:val="clear" w:pos="4153"/>
                <w:tab w:val="clear" w:pos="8306"/>
                <w:tab w:val="decimal" w:pos="1121"/>
              </w:tabs>
              <w:spacing w:line="276" w:lineRule="auto"/>
              <w:rPr>
                <w:b/>
                <w:bCs/>
                <w:szCs w:val="24"/>
              </w:rPr>
            </w:pPr>
            <w:r w:rsidRPr="00D948C1">
              <w:rPr>
                <w:b/>
                <w:bCs/>
                <w:szCs w:val="24"/>
              </w:rPr>
              <w:t>Sources of Finance:</w:t>
            </w:r>
          </w:p>
        </w:tc>
      </w:tr>
      <w:tr w:rsidR="00C93FB3" w:rsidRPr="00D948C1" w14:paraId="41CA4DB4" w14:textId="77777777" w:rsidTr="008B00BF">
        <w:trPr>
          <w:trHeight w:hRule="exact" w:val="300"/>
        </w:trPr>
        <w:tc>
          <w:tcPr>
            <w:tcW w:w="5342" w:type="dxa"/>
          </w:tcPr>
          <w:p w14:paraId="3D476EE0" w14:textId="32E184E8" w:rsidR="00C93FB3" w:rsidRPr="00D948C1" w:rsidRDefault="00C93FB3" w:rsidP="006C0086">
            <w:pPr>
              <w:spacing w:line="276" w:lineRule="auto"/>
              <w:rPr>
                <w:szCs w:val="24"/>
              </w:rPr>
            </w:pPr>
            <w:r w:rsidRPr="00D948C1">
              <w:rPr>
                <w:szCs w:val="24"/>
              </w:rPr>
              <w:t>Capital Reserves</w:t>
            </w:r>
          </w:p>
        </w:tc>
        <w:tc>
          <w:tcPr>
            <w:tcW w:w="1512" w:type="dxa"/>
            <w:vAlign w:val="center"/>
          </w:tcPr>
          <w:p w14:paraId="78755539" w14:textId="10B4749A" w:rsidR="00C93FB3" w:rsidRPr="00D948C1" w:rsidRDefault="00C93FB3" w:rsidP="006C0086">
            <w:pPr>
              <w:pStyle w:val="Footer"/>
              <w:tabs>
                <w:tab w:val="clear" w:pos="4153"/>
                <w:tab w:val="clear" w:pos="8306"/>
                <w:tab w:val="decimal" w:pos="1121"/>
              </w:tabs>
              <w:spacing w:line="276" w:lineRule="auto"/>
              <w:jc w:val="right"/>
              <w:rPr>
                <w:szCs w:val="24"/>
              </w:rPr>
            </w:pPr>
            <w:r w:rsidRPr="00D948C1">
              <w:rPr>
                <w:szCs w:val="24"/>
              </w:rPr>
              <w:t>-</w:t>
            </w:r>
          </w:p>
        </w:tc>
        <w:tc>
          <w:tcPr>
            <w:tcW w:w="1465" w:type="dxa"/>
            <w:vAlign w:val="center"/>
          </w:tcPr>
          <w:p w14:paraId="16D5B7B6" w14:textId="5FBC89C8" w:rsidR="00C93FB3" w:rsidRPr="00D948C1" w:rsidRDefault="00C93FB3" w:rsidP="006C0086">
            <w:pPr>
              <w:pStyle w:val="Footer"/>
              <w:tabs>
                <w:tab w:val="clear" w:pos="4153"/>
                <w:tab w:val="clear" w:pos="8306"/>
                <w:tab w:val="decimal" w:pos="1121"/>
              </w:tabs>
              <w:spacing w:line="276" w:lineRule="auto"/>
              <w:jc w:val="right"/>
              <w:rPr>
                <w:szCs w:val="24"/>
              </w:rPr>
            </w:pPr>
            <w:r w:rsidRPr="00D948C1">
              <w:rPr>
                <w:szCs w:val="24"/>
              </w:rPr>
              <w:t>-</w:t>
            </w:r>
          </w:p>
        </w:tc>
      </w:tr>
      <w:tr w:rsidR="00C93FB3" w:rsidRPr="00D948C1" w14:paraId="742CCF4D" w14:textId="77777777" w:rsidTr="00C42769">
        <w:trPr>
          <w:trHeight w:hRule="exact" w:val="300"/>
        </w:trPr>
        <w:tc>
          <w:tcPr>
            <w:tcW w:w="5342" w:type="dxa"/>
          </w:tcPr>
          <w:p w14:paraId="6B1C30AB" w14:textId="0BF5DE65" w:rsidR="00C93FB3" w:rsidRPr="00D948C1" w:rsidRDefault="00C93FB3" w:rsidP="006C0086">
            <w:pPr>
              <w:pStyle w:val="Footer"/>
              <w:tabs>
                <w:tab w:val="clear" w:pos="4153"/>
                <w:tab w:val="clear" w:pos="8306"/>
              </w:tabs>
              <w:spacing w:line="276" w:lineRule="auto"/>
              <w:rPr>
                <w:szCs w:val="24"/>
              </w:rPr>
            </w:pPr>
            <w:r w:rsidRPr="00D948C1">
              <w:rPr>
                <w:szCs w:val="24"/>
              </w:rPr>
              <w:t>Revenue contributions to capital*</w:t>
            </w:r>
          </w:p>
        </w:tc>
        <w:tc>
          <w:tcPr>
            <w:tcW w:w="1512" w:type="dxa"/>
            <w:vAlign w:val="center"/>
          </w:tcPr>
          <w:p w14:paraId="33840250" w14:textId="2B785F07"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w:t>
            </w:r>
            <w:r w:rsidR="00A448A4" w:rsidRPr="00D948C1">
              <w:rPr>
                <w:szCs w:val="24"/>
              </w:rPr>
              <w:t>4,171</w:t>
            </w:r>
            <w:r w:rsidRPr="00D948C1">
              <w:rPr>
                <w:szCs w:val="24"/>
              </w:rPr>
              <w:t>)</w:t>
            </w:r>
          </w:p>
        </w:tc>
        <w:tc>
          <w:tcPr>
            <w:tcW w:w="1465" w:type="dxa"/>
            <w:vAlign w:val="center"/>
          </w:tcPr>
          <w:p w14:paraId="27A90FD5" w14:textId="6CE91C8D"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(1,680)</w:t>
            </w:r>
          </w:p>
        </w:tc>
      </w:tr>
      <w:tr w:rsidR="000E744C" w:rsidRPr="00D948C1" w14:paraId="44787C09" w14:textId="77777777" w:rsidTr="00C42769">
        <w:trPr>
          <w:trHeight w:hRule="exact" w:val="300"/>
        </w:trPr>
        <w:tc>
          <w:tcPr>
            <w:tcW w:w="5342" w:type="dxa"/>
          </w:tcPr>
          <w:p w14:paraId="443EEAFA" w14:textId="2413B158" w:rsidR="000E744C" w:rsidRPr="00D948C1" w:rsidRDefault="000E744C" w:rsidP="006C0086">
            <w:pPr>
              <w:pStyle w:val="Footer"/>
              <w:tabs>
                <w:tab w:val="clear" w:pos="4153"/>
                <w:tab w:val="clear" w:pos="8306"/>
              </w:tabs>
              <w:spacing w:line="276" w:lineRule="auto"/>
              <w:rPr>
                <w:szCs w:val="24"/>
              </w:rPr>
            </w:pPr>
            <w:r w:rsidRPr="00D948C1">
              <w:rPr>
                <w:szCs w:val="24"/>
              </w:rPr>
              <w:t>Funding from earmarked reserves</w:t>
            </w:r>
          </w:p>
        </w:tc>
        <w:tc>
          <w:tcPr>
            <w:tcW w:w="1512" w:type="dxa"/>
            <w:vAlign w:val="center"/>
          </w:tcPr>
          <w:p w14:paraId="3CC95881" w14:textId="4478EBA7" w:rsidR="000E744C" w:rsidRPr="00D948C1" w:rsidRDefault="000E744C" w:rsidP="006C0086">
            <w:pPr>
              <w:pStyle w:val="Footer"/>
              <w:tabs>
                <w:tab w:val="clear" w:pos="4153"/>
                <w:tab w:val="clear" w:pos="8306"/>
                <w:tab w:val="decimal" w:pos="1026"/>
              </w:tabs>
              <w:spacing w:line="276" w:lineRule="auto"/>
              <w:jc w:val="right"/>
              <w:rPr>
                <w:szCs w:val="24"/>
              </w:rPr>
            </w:pPr>
            <w:r w:rsidRPr="00D948C1">
              <w:rPr>
                <w:szCs w:val="24"/>
              </w:rPr>
              <w:t>(266)</w:t>
            </w:r>
          </w:p>
        </w:tc>
        <w:tc>
          <w:tcPr>
            <w:tcW w:w="1465" w:type="dxa"/>
            <w:vAlign w:val="center"/>
          </w:tcPr>
          <w:p w14:paraId="135524FB" w14:textId="2F0BBE2E" w:rsidR="000E744C" w:rsidRPr="00D948C1" w:rsidRDefault="00D21F6D" w:rsidP="006C0086">
            <w:pPr>
              <w:pStyle w:val="Footer"/>
              <w:tabs>
                <w:tab w:val="clear" w:pos="4153"/>
                <w:tab w:val="clear" w:pos="8306"/>
                <w:tab w:val="decimal" w:pos="1026"/>
              </w:tabs>
              <w:spacing w:line="276" w:lineRule="auto"/>
              <w:jc w:val="right"/>
              <w:rPr>
                <w:szCs w:val="24"/>
              </w:rPr>
            </w:pPr>
            <w:r w:rsidRPr="00D948C1">
              <w:rPr>
                <w:szCs w:val="24"/>
              </w:rPr>
              <w:t>-</w:t>
            </w:r>
          </w:p>
        </w:tc>
      </w:tr>
      <w:tr w:rsidR="000E744C" w:rsidRPr="00D948C1" w14:paraId="7F7B5646" w14:textId="77777777" w:rsidTr="00C42769">
        <w:trPr>
          <w:trHeight w:hRule="exact" w:val="300"/>
        </w:trPr>
        <w:tc>
          <w:tcPr>
            <w:tcW w:w="5342" w:type="dxa"/>
          </w:tcPr>
          <w:p w14:paraId="4CC4F6CC" w14:textId="76727B99" w:rsidR="000E744C" w:rsidRPr="00D948C1" w:rsidRDefault="00B73E82" w:rsidP="006C0086">
            <w:pPr>
              <w:pStyle w:val="Footer"/>
              <w:tabs>
                <w:tab w:val="clear" w:pos="4153"/>
                <w:tab w:val="clear" w:pos="8306"/>
              </w:tabs>
              <w:spacing w:line="276" w:lineRule="auto"/>
              <w:rPr>
                <w:szCs w:val="24"/>
              </w:rPr>
            </w:pPr>
            <w:r w:rsidRPr="00D948C1">
              <w:rPr>
                <w:szCs w:val="24"/>
              </w:rPr>
              <w:t>Capital receipts</w:t>
            </w:r>
          </w:p>
        </w:tc>
        <w:tc>
          <w:tcPr>
            <w:tcW w:w="1512" w:type="dxa"/>
            <w:vAlign w:val="center"/>
          </w:tcPr>
          <w:p w14:paraId="3B3CCC46" w14:textId="500A345C" w:rsidR="000E744C" w:rsidRPr="00D948C1" w:rsidRDefault="00B73E82" w:rsidP="006C0086">
            <w:pPr>
              <w:pStyle w:val="Footer"/>
              <w:tabs>
                <w:tab w:val="clear" w:pos="4153"/>
                <w:tab w:val="clear" w:pos="8306"/>
                <w:tab w:val="decimal" w:pos="1026"/>
              </w:tabs>
              <w:spacing w:line="276" w:lineRule="auto"/>
              <w:jc w:val="right"/>
              <w:rPr>
                <w:szCs w:val="24"/>
              </w:rPr>
            </w:pPr>
            <w:r w:rsidRPr="00D948C1">
              <w:rPr>
                <w:szCs w:val="24"/>
              </w:rPr>
              <w:t>(1,</w:t>
            </w:r>
            <w:r w:rsidR="00A448A4" w:rsidRPr="00D948C1">
              <w:rPr>
                <w:szCs w:val="24"/>
              </w:rPr>
              <w:t>637</w:t>
            </w:r>
            <w:r w:rsidRPr="00D948C1">
              <w:rPr>
                <w:szCs w:val="24"/>
              </w:rPr>
              <w:t>)</w:t>
            </w:r>
          </w:p>
        </w:tc>
        <w:tc>
          <w:tcPr>
            <w:tcW w:w="1465" w:type="dxa"/>
            <w:vAlign w:val="center"/>
          </w:tcPr>
          <w:p w14:paraId="26755CF1" w14:textId="708BA41A" w:rsidR="000E744C" w:rsidRPr="00D948C1" w:rsidRDefault="00D21F6D" w:rsidP="006C0086">
            <w:pPr>
              <w:pStyle w:val="Footer"/>
              <w:tabs>
                <w:tab w:val="clear" w:pos="4153"/>
                <w:tab w:val="clear" w:pos="8306"/>
                <w:tab w:val="decimal" w:pos="1026"/>
              </w:tabs>
              <w:spacing w:line="276" w:lineRule="auto"/>
              <w:jc w:val="right"/>
              <w:rPr>
                <w:szCs w:val="24"/>
              </w:rPr>
            </w:pPr>
            <w:r w:rsidRPr="00D948C1">
              <w:rPr>
                <w:szCs w:val="24"/>
              </w:rPr>
              <w:t>-</w:t>
            </w:r>
          </w:p>
        </w:tc>
      </w:tr>
      <w:tr w:rsidR="00C93FB3" w:rsidRPr="00D948C1" w14:paraId="74DEB076" w14:textId="77777777" w:rsidTr="008B00BF">
        <w:trPr>
          <w:trHeight w:hRule="exact" w:val="300"/>
        </w:trPr>
        <w:tc>
          <w:tcPr>
            <w:tcW w:w="5342" w:type="dxa"/>
          </w:tcPr>
          <w:p w14:paraId="7619B574" w14:textId="1EB6DA15" w:rsidR="00C93FB3" w:rsidRPr="00D948C1" w:rsidRDefault="00760249" w:rsidP="006C0086">
            <w:pPr>
              <w:pStyle w:val="Footer"/>
              <w:tabs>
                <w:tab w:val="clear" w:pos="4153"/>
                <w:tab w:val="clear" w:pos="8306"/>
              </w:tabs>
              <w:spacing w:line="276" w:lineRule="auto"/>
              <w:rPr>
                <w:szCs w:val="24"/>
              </w:rPr>
            </w:pPr>
            <w:r w:rsidRPr="00D948C1">
              <w:rPr>
                <w:szCs w:val="24"/>
              </w:rPr>
              <w:t>Minimum Revenue Provision</w:t>
            </w:r>
          </w:p>
        </w:tc>
        <w:tc>
          <w:tcPr>
            <w:tcW w:w="1512" w:type="dxa"/>
            <w:vAlign w:val="center"/>
          </w:tcPr>
          <w:p w14:paraId="53532657" w14:textId="1807808A"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w:t>
            </w:r>
            <w:r w:rsidR="00B73E82" w:rsidRPr="00D948C1">
              <w:rPr>
                <w:szCs w:val="24"/>
              </w:rPr>
              <w:t>5</w:t>
            </w:r>
            <w:r w:rsidR="00DA0887" w:rsidRPr="00D948C1">
              <w:rPr>
                <w:szCs w:val="24"/>
              </w:rPr>
              <w:t>17</w:t>
            </w:r>
            <w:r w:rsidRPr="00D948C1">
              <w:rPr>
                <w:szCs w:val="24"/>
              </w:rPr>
              <w:t>)</w:t>
            </w:r>
          </w:p>
        </w:tc>
        <w:tc>
          <w:tcPr>
            <w:tcW w:w="1465" w:type="dxa"/>
            <w:vAlign w:val="center"/>
          </w:tcPr>
          <w:p w14:paraId="3F72E70C" w14:textId="03DAB14A"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(487)</w:t>
            </w:r>
          </w:p>
        </w:tc>
      </w:tr>
      <w:tr w:rsidR="008B00BF" w:rsidRPr="00D948C1" w14:paraId="4A4BAED0" w14:textId="77777777" w:rsidTr="008B00BF">
        <w:trPr>
          <w:trHeight w:hRule="exact" w:val="300"/>
        </w:trPr>
        <w:tc>
          <w:tcPr>
            <w:tcW w:w="5342" w:type="dxa"/>
          </w:tcPr>
          <w:p w14:paraId="1E249E53" w14:textId="7F12B756" w:rsidR="008B00BF" w:rsidRPr="00D948C1" w:rsidRDefault="008B00BF" w:rsidP="006C0086">
            <w:pPr>
              <w:spacing w:line="276" w:lineRule="auto"/>
              <w:rPr>
                <w:szCs w:val="24"/>
              </w:rPr>
            </w:pPr>
            <w:r w:rsidRPr="00D948C1">
              <w:rPr>
                <w:szCs w:val="24"/>
              </w:rPr>
              <w:t>Closing Capital Financing Requirement</w:t>
            </w:r>
          </w:p>
        </w:tc>
        <w:tc>
          <w:tcPr>
            <w:tcW w:w="1512" w:type="dxa"/>
            <w:vAlign w:val="center"/>
          </w:tcPr>
          <w:p w14:paraId="7DDA8893" w14:textId="5373A731" w:rsidR="008B00BF" w:rsidRPr="00D948C1" w:rsidRDefault="00800A5C" w:rsidP="006C0086">
            <w:pPr>
              <w:pStyle w:val="Footer"/>
              <w:tabs>
                <w:tab w:val="clear" w:pos="4153"/>
                <w:tab w:val="clear" w:pos="8306"/>
                <w:tab w:val="decimal" w:pos="1026"/>
              </w:tabs>
              <w:spacing w:line="276" w:lineRule="auto"/>
              <w:jc w:val="right"/>
              <w:rPr>
                <w:szCs w:val="24"/>
              </w:rPr>
            </w:pPr>
            <w:r w:rsidRPr="00D948C1">
              <w:rPr>
                <w:szCs w:val="24"/>
              </w:rPr>
              <w:t>1</w:t>
            </w:r>
            <w:r w:rsidR="00C42769">
              <w:rPr>
                <w:szCs w:val="24"/>
              </w:rPr>
              <w:t>2,517</w:t>
            </w:r>
          </w:p>
        </w:tc>
        <w:tc>
          <w:tcPr>
            <w:tcW w:w="1465" w:type="dxa"/>
            <w:vAlign w:val="center"/>
          </w:tcPr>
          <w:p w14:paraId="1CE0EB47" w14:textId="5B0486E9" w:rsidR="008B00BF"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12,283</w:t>
            </w:r>
          </w:p>
        </w:tc>
      </w:tr>
    </w:tbl>
    <w:p w14:paraId="45777225" w14:textId="77777777" w:rsidR="00372872" w:rsidRPr="00D948C1" w:rsidRDefault="00372872" w:rsidP="006C0086">
      <w:pPr>
        <w:spacing w:line="276" w:lineRule="auto"/>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D948C1" w14:paraId="15B2B2CA" w14:textId="77777777" w:rsidTr="007641BA">
        <w:trPr>
          <w:trHeight w:hRule="exact" w:val="300"/>
        </w:trPr>
        <w:tc>
          <w:tcPr>
            <w:tcW w:w="8319" w:type="dxa"/>
            <w:gridSpan w:val="3"/>
            <w:shd w:val="clear" w:color="auto" w:fill="D9D9D9" w:themeFill="background1" w:themeFillShade="D9"/>
          </w:tcPr>
          <w:p w14:paraId="78750EDA" w14:textId="617CD4EC" w:rsidR="00210760" w:rsidRPr="00D948C1" w:rsidRDefault="00210760" w:rsidP="006C0086">
            <w:pPr>
              <w:pStyle w:val="Footer"/>
              <w:tabs>
                <w:tab w:val="clear" w:pos="4153"/>
                <w:tab w:val="clear" w:pos="8306"/>
                <w:tab w:val="decimal" w:pos="1026"/>
              </w:tabs>
              <w:spacing w:line="276" w:lineRule="auto"/>
              <w:rPr>
                <w:b/>
                <w:bCs/>
                <w:szCs w:val="24"/>
              </w:rPr>
            </w:pPr>
            <w:r w:rsidRPr="00D948C1">
              <w:rPr>
                <w:b/>
                <w:bCs/>
                <w:szCs w:val="24"/>
              </w:rPr>
              <w:t>Explanation of movements in year</w:t>
            </w:r>
          </w:p>
        </w:tc>
      </w:tr>
      <w:tr w:rsidR="00C93FB3" w:rsidRPr="00D948C1" w14:paraId="202D62FF" w14:textId="77777777" w:rsidTr="00C42769">
        <w:trPr>
          <w:trHeight w:hRule="exact" w:val="856"/>
        </w:trPr>
        <w:tc>
          <w:tcPr>
            <w:tcW w:w="5342" w:type="dxa"/>
          </w:tcPr>
          <w:p w14:paraId="65CC8381" w14:textId="78E8D0F4" w:rsidR="00C93FB3" w:rsidRPr="00D948C1" w:rsidRDefault="00C93FB3" w:rsidP="006C0086">
            <w:pPr>
              <w:pStyle w:val="Footer"/>
              <w:tabs>
                <w:tab w:val="clear" w:pos="4153"/>
                <w:tab w:val="clear" w:pos="8306"/>
              </w:tabs>
              <w:spacing w:line="276" w:lineRule="auto"/>
              <w:rPr>
                <w:szCs w:val="24"/>
              </w:rPr>
            </w:pPr>
            <w:r w:rsidRPr="00D948C1">
              <w:rPr>
                <w:szCs w:val="24"/>
              </w:rPr>
              <w:t>(Decrease)/Increase in underlying need to borrow (supported by Government financial assistance)</w:t>
            </w:r>
          </w:p>
        </w:tc>
        <w:tc>
          <w:tcPr>
            <w:tcW w:w="1512" w:type="dxa"/>
            <w:vAlign w:val="center"/>
          </w:tcPr>
          <w:p w14:paraId="71DDD908" w14:textId="7532A4A4" w:rsidR="00C93FB3" w:rsidRPr="00D948C1" w:rsidRDefault="00C93FB3" w:rsidP="006C0086">
            <w:pPr>
              <w:pStyle w:val="Footer"/>
              <w:tabs>
                <w:tab w:val="clear" w:pos="4153"/>
                <w:tab w:val="clear" w:pos="8306"/>
                <w:tab w:val="decimal" w:pos="1121"/>
              </w:tabs>
              <w:spacing w:line="276" w:lineRule="auto"/>
              <w:jc w:val="right"/>
              <w:rPr>
                <w:szCs w:val="24"/>
              </w:rPr>
            </w:pPr>
            <w:r w:rsidRPr="00D948C1">
              <w:rPr>
                <w:szCs w:val="24"/>
              </w:rPr>
              <w:t>(</w:t>
            </w:r>
            <w:r w:rsidR="00B73E82" w:rsidRPr="00D948C1">
              <w:rPr>
                <w:szCs w:val="24"/>
              </w:rPr>
              <w:t>5</w:t>
            </w:r>
            <w:r w:rsidR="00DA0887" w:rsidRPr="00D948C1">
              <w:rPr>
                <w:szCs w:val="24"/>
              </w:rPr>
              <w:t>17</w:t>
            </w:r>
            <w:r w:rsidRPr="00D948C1">
              <w:rPr>
                <w:szCs w:val="24"/>
              </w:rPr>
              <w:t>)</w:t>
            </w:r>
          </w:p>
        </w:tc>
        <w:tc>
          <w:tcPr>
            <w:tcW w:w="1465" w:type="dxa"/>
            <w:vAlign w:val="center"/>
          </w:tcPr>
          <w:p w14:paraId="34A860CE" w14:textId="68C8BBF2" w:rsidR="00C93FB3" w:rsidRPr="00D948C1" w:rsidRDefault="00C93FB3" w:rsidP="006C0086">
            <w:pPr>
              <w:pStyle w:val="Footer"/>
              <w:tabs>
                <w:tab w:val="clear" w:pos="4153"/>
                <w:tab w:val="clear" w:pos="8306"/>
                <w:tab w:val="decimal" w:pos="1121"/>
              </w:tabs>
              <w:spacing w:line="276" w:lineRule="auto"/>
              <w:jc w:val="right"/>
              <w:rPr>
                <w:szCs w:val="24"/>
              </w:rPr>
            </w:pPr>
            <w:r w:rsidRPr="00D948C1">
              <w:rPr>
                <w:szCs w:val="24"/>
              </w:rPr>
              <w:t>(487)</w:t>
            </w:r>
          </w:p>
        </w:tc>
      </w:tr>
      <w:tr w:rsidR="00C93FB3" w:rsidRPr="00D948C1" w14:paraId="232FF4FF" w14:textId="77777777" w:rsidTr="00C42769">
        <w:trPr>
          <w:trHeight w:hRule="exact" w:val="300"/>
        </w:trPr>
        <w:tc>
          <w:tcPr>
            <w:tcW w:w="5342" w:type="dxa"/>
          </w:tcPr>
          <w:p w14:paraId="224990EC" w14:textId="28A83579" w:rsidR="00C93FB3" w:rsidRPr="00D948C1" w:rsidRDefault="00C93FB3" w:rsidP="006C0086">
            <w:pPr>
              <w:pStyle w:val="Footer"/>
              <w:tabs>
                <w:tab w:val="clear" w:pos="4153"/>
                <w:tab w:val="clear" w:pos="8306"/>
              </w:tabs>
              <w:spacing w:line="276" w:lineRule="auto"/>
              <w:rPr>
                <w:szCs w:val="24"/>
              </w:rPr>
            </w:pPr>
            <w:r w:rsidRPr="00D948C1">
              <w:rPr>
                <w:szCs w:val="24"/>
              </w:rPr>
              <w:t>Assets acquired under finance lease</w:t>
            </w:r>
          </w:p>
        </w:tc>
        <w:tc>
          <w:tcPr>
            <w:tcW w:w="1512" w:type="dxa"/>
            <w:vAlign w:val="center"/>
          </w:tcPr>
          <w:p w14:paraId="7B496E78" w14:textId="30F5FCEB"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w:t>
            </w:r>
          </w:p>
        </w:tc>
        <w:tc>
          <w:tcPr>
            <w:tcW w:w="1465" w:type="dxa"/>
            <w:vAlign w:val="center"/>
          </w:tcPr>
          <w:p w14:paraId="4B1FEF66" w14:textId="44D08493"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w:t>
            </w:r>
          </w:p>
        </w:tc>
      </w:tr>
      <w:tr w:rsidR="00C93FB3" w:rsidRPr="00D948C1" w14:paraId="24C0FB82" w14:textId="77777777" w:rsidTr="00C42769">
        <w:trPr>
          <w:trHeight w:hRule="exact" w:val="300"/>
        </w:trPr>
        <w:tc>
          <w:tcPr>
            <w:tcW w:w="5342" w:type="dxa"/>
          </w:tcPr>
          <w:p w14:paraId="6016CF86" w14:textId="3981ED08" w:rsidR="00C93FB3" w:rsidRPr="00D948C1" w:rsidRDefault="00C93FB3" w:rsidP="006C0086">
            <w:pPr>
              <w:pStyle w:val="Footer"/>
              <w:tabs>
                <w:tab w:val="clear" w:pos="4153"/>
                <w:tab w:val="clear" w:pos="8306"/>
              </w:tabs>
              <w:spacing w:line="276" w:lineRule="auto"/>
              <w:rPr>
                <w:szCs w:val="24"/>
              </w:rPr>
            </w:pPr>
            <w:r w:rsidRPr="00D948C1">
              <w:rPr>
                <w:szCs w:val="24"/>
              </w:rPr>
              <w:t>Total</w:t>
            </w:r>
          </w:p>
        </w:tc>
        <w:tc>
          <w:tcPr>
            <w:tcW w:w="1512" w:type="dxa"/>
            <w:vAlign w:val="center"/>
          </w:tcPr>
          <w:p w14:paraId="6624257D" w14:textId="30A18A4C"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w:t>
            </w:r>
            <w:r w:rsidR="00B73E82" w:rsidRPr="00D948C1">
              <w:rPr>
                <w:szCs w:val="24"/>
              </w:rPr>
              <w:t>5</w:t>
            </w:r>
            <w:r w:rsidR="00DA0887" w:rsidRPr="00D948C1">
              <w:rPr>
                <w:szCs w:val="24"/>
              </w:rPr>
              <w:t>17</w:t>
            </w:r>
            <w:r w:rsidRPr="00D948C1">
              <w:rPr>
                <w:szCs w:val="24"/>
              </w:rPr>
              <w:t>)</w:t>
            </w:r>
          </w:p>
        </w:tc>
        <w:tc>
          <w:tcPr>
            <w:tcW w:w="1465" w:type="dxa"/>
            <w:vAlign w:val="center"/>
          </w:tcPr>
          <w:p w14:paraId="13BF1623" w14:textId="1B7B645E" w:rsidR="00C93FB3" w:rsidRPr="00D948C1" w:rsidRDefault="00C93FB3" w:rsidP="006C0086">
            <w:pPr>
              <w:pStyle w:val="Footer"/>
              <w:tabs>
                <w:tab w:val="clear" w:pos="4153"/>
                <w:tab w:val="clear" w:pos="8306"/>
                <w:tab w:val="decimal" w:pos="1026"/>
              </w:tabs>
              <w:spacing w:line="276" w:lineRule="auto"/>
              <w:jc w:val="right"/>
              <w:rPr>
                <w:szCs w:val="24"/>
              </w:rPr>
            </w:pPr>
            <w:r w:rsidRPr="00D948C1">
              <w:rPr>
                <w:szCs w:val="24"/>
              </w:rPr>
              <w:t>(487)</w:t>
            </w:r>
          </w:p>
        </w:tc>
      </w:tr>
    </w:tbl>
    <w:p w14:paraId="0EB86AE3" w14:textId="1F537BCD" w:rsidR="00CA025A" w:rsidRPr="00D948C1" w:rsidRDefault="004F149A" w:rsidP="006C0086">
      <w:pPr>
        <w:pStyle w:val="ListParagraph"/>
        <w:numPr>
          <w:ilvl w:val="0"/>
          <w:numId w:val="37"/>
        </w:numPr>
        <w:spacing w:line="276" w:lineRule="auto"/>
        <w:rPr>
          <w:szCs w:val="24"/>
        </w:rPr>
      </w:pPr>
      <w:r w:rsidRPr="00D948C1">
        <w:rPr>
          <w:szCs w:val="24"/>
        </w:rPr>
        <w:t xml:space="preserve">Includes NWFC </w:t>
      </w:r>
      <w:r w:rsidR="005436A9" w:rsidRPr="00D948C1">
        <w:rPr>
          <w:szCs w:val="24"/>
        </w:rPr>
        <w:t>balances.</w:t>
      </w:r>
    </w:p>
    <w:p w14:paraId="53E9500B" w14:textId="77777777" w:rsidR="00890040" w:rsidRPr="00D948C1" w:rsidRDefault="00890040" w:rsidP="006C0086">
      <w:pPr>
        <w:spacing w:line="276" w:lineRule="auto"/>
        <w:rPr>
          <w:szCs w:val="24"/>
        </w:rPr>
      </w:pPr>
    </w:p>
    <w:p w14:paraId="38B09E12" w14:textId="592C39EA" w:rsidR="00D90216" w:rsidRPr="00D948C1" w:rsidRDefault="00D90216" w:rsidP="006C0086">
      <w:pPr>
        <w:spacing w:line="276" w:lineRule="auto"/>
        <w:ind w:firstLine="720"/>
        <w:rPr>
          <w:b/>
          <w:bCs/>
        </w:rPr>
      </w:pPr>
      <w:r w:rsidRPr="00D948C1">
        <w:rPr>
          <w:b/>
          <w:bCs/>
        </w:rPr>
        <w:t>Details of Assets Held</w:t>
      </w:r>
    </w:p>
    <w:p w14:paraId="6AACFDD7" w14:textId="77777777" w:rsidR="00D90216" w:rsidRPr="00D948C1" w:rsidRDefault="00D90216" w:rsidP="006C0086">
      <w:pPr>
        <w:spacing w:line="276" w:lineRule="auto"/>
        <w:ind w:left="720"/>
        <w:rPr>
          <w:szCs w:val="24"/>
        </w:rPr>
      </w:pPr>
    </w:p>
    <w:p w14:paraId="09931120" w14:textId="77777777" w:rsidR="00D90216" w:rsidRPr="00D948C1" w:rsidRDefault="00D90216" w:rsidP="006C0086">
      <w:pPr>
        <w:spacing w:line="276" w:lineRule="auto"/>
        <w:ind w:left="720"/>
        <w:rPr>
          <w:szCs w:val="24"/>
        </w:rPr>
      </w:pPr>
      <w:r w:rsidRPr="00D948C1">
        <w:rPr>
          <w:szCs w:val="24"/>
        </w:rPr>
        <w:t>The number of main assets held by the Authority are shown below:</w:t>
      </w:r>
    </w:p>
    <w:p w14:paraId="6A04C14E" w14:textId="77777777" w:rsidR="00D90216" w:rsidRPr="00D948C1" w:rsidRDefault="00D90216" w:rsidP="006C0086">
      <w:pPr>
        <w:spacing w:line="276" w:lineRule="auto"/>
        <w:ind w:left="720"/>
        <w:rPr>
          <w:sz w:val="22"/>
        </w:rPr>
      </w:pPr>
    </w:p>
    <w:tbl>
      <w:tblPr>
        <w:tblW w:w="86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1560"/>
        <w:gridCol w:w="1417"/>
      </w:tblGrid>
      <w:tr w:rsidR="00174738" w:rsidRPr="00D948C1" w14:paraId="63715B59" w14:textId="77777777" w:rsidTr="00611673">
        <w:trPr>
          <w:trHeight w:hRule="exact" w:val="608"/>
          <w:tblHeader/>
        </w:trPr>
        <w:tc>
          <w:tcPr>
            <w:tcW w:w="5625" w:type="dxa"/>
            <w:shd w:val="clear" w:color="auto" w:fill="BD2716"/>
          </w:tcPr>
          <w:p w14:paraId="5378AE84" w14:textId="77777777" w:rsidR="00174738" w:rsidRPr="00D948C1" w:rsidRDefault="00174738" w:rsidP="006C0086">
            <w:pPr>
              <w:spacing w:line="276" w:lineRule="auto"/>
              <w:rPr>
                <w:color w:val="FFFFFF" w:themeColor="background1"/>
                <w:szCs w:val="24"/>
              </w:rPr>
            </w:pPr>
          </w:p>
        </w:tc>
        <w:tc>
          <w:tcPr>
            <w:tcW w:w="1560" w:type="dxa"/>
            <w:shd w:val="clear" w:color="auto" w:fill="BD2716"/>
            <w:vAlign w:val="center"/>
          </w:tcPr>
          <w:p w14:paraId="74013D40" w14:textId="77777777"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57CBEE58" w14:textId="4FD418A8" w:rsidR="00AA6973" w:rsidRPr="00D948C1" w:rsidRDefault="00AA697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No.</w:t>
            </w:r>
          </w:p>
        </w:tc>
        <w:tc>
          <w:tcPr>
            <w:tcW w:w="1417" w:type="dxa"/>
            <w:shd w:val="clear" w:color="auto" w:fill="BD2716"/>
            <w:vAlign w:val="center"/>
          </w:tcPr>
          <w:p w14:paraId="4BDE779E" w14:textId="0F984BF3" w:rsidR="00174738" w:rsidRPr="00D948C1" w:rsidRDefault="00174738"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w:t>
            </w:r>
            <w:r w:rsidR="00C93FB3" w:rsidRPr="00D948C1">
              <w:rPr>
                <w:color w:val="FFFFFF" w:themeColor="background1"/>
                <w:szCs w:val="24"/>
                <w:lang w:val="en-GB"/>
              </w:rPr>
              <w:t>2</w:t>
            </w:r>
            <w:r w:rsidRPr="00D948C1">
              <w:rPr>
                <w:color w:val="FFFFFF" w:themeColor="background1"/>
                <w:szCs w:val="24"/>
                <w:lang w:val="en-GB"/>
              </w:rPr>
              <w:t>/2</w:t>
            </w:r>
            <w:r w:rsidR="00C93FB3" w:rsidRPr="00D948C1">
              <w:rPr>
                <w:color w:val="FFFFFF" w:themeColor="background1"/>
                <w:szCs w:val="24"/>
                <w:lang w:val="en-GB"/>
              </w:rPr>
              <w:t>3</w:t>
            </w:r>
          </w:p>
          <w:p w14:paraId="5C8D1D8E" w14:textId="62B601A1" w:rsidR="00AA6973" w:rsidRPr="00D948C1" w:rsidRDefault="00AA697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No.</w:t>
            </w:r>
          </w:p>
        </w:tc>
      </w:tr>
      <w:tr w:rsidR="00174738" w:rsidRPr="00D948C1" w14:paraId="75ECF98F" w14:textId="77777777" w:rsidTr="00372872">
        <w:trPr>
          <w:trHeight w:hRule="exact" w:val="300"/>
        </w:trPr>
        <w:tc>
          <w:tcPr>
            <w:tcW w:w="5625" w:type="dxa"/>
          </w:tcPr>
          <w:p w14:paraId="0ECA579A" w14:textId="77777777" w:rsidR="00174738" w:rsidRPr="00D948C1" w:rsidRDefault="00174738" w:rsidP="006C0086">
            <w:pPr>
              <w:spacing w:line="276" w:lineRule="auto"/>
              <w:rPr>
                <w:szCs w:val="24"/>
              </w:rPr>
            </w:pPr>
            <w:r w:rsidRPr="00D948C1">
              <w:rPr>
                <w:szCs w:val="24"/>
              </w:rPr>
              <w:t>Headquarters</w:t>
            </w:r>
          </w:p>
        </w:tc>
        <w:tc>
          <w:tcPr>
            <w:tcW w:w="1560" w:type="dxa"/>
            <w:vAlign w:val="center"/>
          </w:tcPr>
          <w:p w14:paraId="038F6280" w14:textId="77777777"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c>
          <w:tcPr>
            <w:tcW w:w="1417" w:type="dxa"/>
            <w:vAlign w:val="center"/>
          </w:tcPr>
          <w:p w14:paraId="0455E0FF" w14:textId="00F9929E"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r>
      <w:tr w:rsidR="00174738" w:rsidRPr="00D948C1" w14:paraId="20428ED7" w14:textId="77777777" w:rsidTr="00372872">
        <w:trPr>
          <w:trHeight w:hRule="exact" w:val="300"/>
        </w:trPr>
        <w:tc>
          <w:tcPr>
            <w:tcW w:w="5625" w:type="dxa"/>
          </w:tcPr>
          <w:p w14:paraId="1F2ED7EA" w14:textId="77777777" w:rsidR="00174738" w:rsidRPr="00D948C1" w:rsidRDefault="00174738" w:rsidP="006C0086">
            <w:pPr>
              <w:pStyle w:val="Footer"/>
              <w:tabs>
                <w:tab w:val="clear" w:pos="4153"/>
                <w:tab w:val="clear" w:pos="8306"/>
              </w:tabs>
              <w:spacing w:line="276" w:lineRule="auto"/>
              <w:rPr>
                <w:szCs w:val="24"/>
              </w:rPr>
            </w:pPr>
            <w:r w:rsidRPr="00D948C1">
              <w:rPr>
                <w:szCs w:val="24"/>
              </w:rPr>
              <w:t>Fire Stations (including Area Headquarters)</w:t>
            </w:r>
          </w:p>
        </w:tc>
        <w:tc>
          <w:tcPr>
            <w:tcW w:w="1560" w:type="dxa"/>
            <w:vAlign w:val="center"/>
          </w:tcPr>
          <w:p w14:paraId="631DF450" w14:textId="77777777"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39</w:t>
            </w:r>
          </w:p>
        </w:tc>
        <w:tc>
          <w:tcPr>
            <w:tcW w:w="1417" w:type="dxa"/>
            <w:vAlign w:val="center"/>
          </w:tcPr>
          <w:p w14:paraId="79BFC4B4" w14:textId="017A5FCA"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39</w:t>
            </w:r>
          </w:p>
        </w:tc>
      </w:tr>
      <w:tr w:rsidR="00174738" w:rsidRPr="00D948C1" w14:paraId="3347464C" w14:textId="77777777" w:rsidTr="00372872">
        <w:trPr>
          <w:trHeight w:hRule="exact" w:val="300"/>
        </w:trPr>
        <w:tc>
          <w:tcPr>
            <w:tcW w:w="5625" w:type="dxa"/>
          </w:tcPr>
          <w:p w14:paraId="346E9164" w14:textId="77777777" w:rsidR="00174738" w:rsidRPr="00D948C1" w:rsidRDefault="00174738" w:rsidP="006C0086">
            <w:pPr>
              <w:spacing w:line="276" w:lineRule="auto"/>
              <w:rPr>
                <w:szCs w:val="24"/>
              </w:rPr>
            </w:pPr>
            <w:r w:rsidRPr="00D948C1">
              <w:rPr>
                <w:szCs w:val="24"/>
              </w:rPr>
              <w:t>Training School</w:t>
            </w:r>
          </w:p>
        </w:tc>
        <w:tc>
          <w:tcPr>
            <w:tcW w:w="1560" w:type="dxa"/>
          </w:tcPr>
          <w:p w14:paraId="10CC8784" w14:textId="77777777"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c>
          <w:tcPr>
            <w:tcW w:w="1417" w:type="dxa"/>
          </w:tcPr>
          <w:p w14:paraId="4D7F8200" w14:textId="4EB97830"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r>
      <w:tr w:rsidR="00174738" w:rsidRPr="00D948C1" w14:paraId="46695067" w14:textId="77777777" w:rsidTr="00372872">
        <w:trPr>
          <w:trHeight w:hRule="exact" w:val="300"/>
        </w:trPr>
        <w:tc>
          <w:tcPr>
            <w:tcW w:w="5625" w:type="dxa"/>
          </w:tcPr>
          <w:p w14:paraId="50608F33" w14:textId="77777777" w:rsidR="00174738" w:rsidRPr="00D948C1" w:rsidRDefault="00174738" w:rsidP="006C0086">
            <w:pPr>
              <w:spacing w:line="276" w:lineRule="auto"/>
              <w:rPr>
                <w:szCs w:val="24"/>
              </w:rPr>
            </w:pPr>
            <w:r w:rsidRPr="00D948C1">
              <w:rPr>
                <w:szCs w:val="24"/>
              </w:rPr>
              <w:t>Fire houses</w:t>
            </w:r>
          </w:p>
        </w:tc>
        <w:tc>
          <w:tcPr>
            <w:tcW w:w="1560" w:type="dxa"/>
          </w:tcPr>
          <w:p w14:paraId="23627D35" w14:textId="77777777"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c>
          <w:tcPr>
            <w:tcW w:w="1417" w:type="dxa"/>
          </w:tcPr>
          <w:p w14:paraId="53F67051" w14:textId="3C44AA6E" w:rsidR="00174738" w:rsidRPr="00D948C1" w:rsidRDefault="00174738" w:rsidP="006C0086">
            <w:pPr>
              <w:pStyle w:val="Footer"/>
              <w:tabs>
                <w:tab w:val="clear" w:pos="4153"/>
                <w:tab w:val="clear" w:pos="8306"/>
                <w:tab w:val="decimal" w:pos="979"/>
              </w:tabs>
              <w:spacing w:line="276" w:lineRule="auto"/>
              <w:jc w:val="right"/>
              <w:rPr>
                <w:szCs w:val="24"/>
              </w:rPr>
            </w:pPr>
            <w:r w:rsidRPr="00D948C1">
              <w:rPr>
                <w:szCs w:val="24"/>
              </w:rPr>
              <w:t>1</w:t>
            </w:r>
          </w:p>
        </w:tc>
      </w:tr>
    </w:tbl>
    <w:p w14:paraId="48165667" w14:textId="77777777" w:rsidR="00DF2B00" w:rsidRPr="00D948C1" w:rsidRDefault="00DF2B00" w:rsidP="006C0086">
      <w:pPr>
        <w:spacing w:line="276" w:lineRule="auto"/>
        <w:rPr>
          <w:b/>
          <w:szCs w:val="24"/>
        </w:rPr>
      </w:pPr>
      <w:bookmarkStart w:id="35" w:name="_Hlk140236889"/>
    </w:p>
    <w:p w14:paraId="61549ABD" w14:textId="51E2FB60" w:rsidR="00D90216" w:rsidRPr="00D948C1" w:rsidRDefault="00D90216" w:rsidP="006C0086">
      <w:pPr>
        <w:spacing w:line="276" w:lineRule="auto"/>
        <w:ind w:firstLine="720"/>
        <w:rPr>
          <w:b/>
          <w:bCs/>
        </w:rPr>
      </w:pPr>
      <w:r w:rsidRPr="00D948C1">
        <w:rPr>
          <w:b/>
          <w:bCs/>
        </w:rPr>
        <w:t xml:space="preserve">Capital Commitments </w:t>
      </w:r>
    </w:p>
    <w:p w14:paraId="05C13C40" w14:textId="77777777" w:rsidR="00D90216" w:rsidRPr="00D948C1" w:rsidRDefault="00D90216" w:rsidP="006C0086">
      <w:pPr>
        <w:spacing w:line="276" w:lineRule="auto"/>
        <w:ind w:left="720"/>
        <w:rPr>
          <w:szCs w:val="24"/>
        </w:rPr>
      </w:pPr>
    </w:p>
    <w:p w14:paraId="613112D4" w14:textId="5499742A" w:rsidR="00D90216" w:rsidRPr="00D948C1" w:rsidRDefault="00D90216" w:rsidP="006C0086">
      <w:pPr>
        <w:pStyle w:val="BodyTextIndent"/>
        <w:spacing w:line="276" w:lineRule="auto"/>
        <w:rPr>
          <w:szCs w:val="24"/>
          <w:lang w:val="en-GB"/>
        </w:rPr>
      </w:pPr>
      <w:r w:rsidRPr="00D948C1">
        <w:rPr>
          <w:szCs w:val="24"/>
        </w:rPr>
        <w:t xml:space="preserve">Capital projects often take several years to complete, which means that the Authority is committed to capital expenditure in following years arising from contracts </w:t>
      </w:r>
      <w:proofErr w:type="gramStart"/>
      <w:r w:rsidRPr="00D948C1">
        <w:rPr>
          <w:szCs w:val="24"/>
        </w:rPr>
        <w:t>entered into</w:t>
      </w:r>
      <w:proofErr w:type="gramEnd"/>
      <w:r w:rsidRPr="00D948C1">
        <w:rPr>
          <w:szCs w:val="24"/>
        </w:rPr>
        <w:t xml:space="preserve"> at the Balance Sheet date, but on which all or part of the capital work has yet to be undertaken.</w:t>
      </w:r>
      <w:r w:rsidR="0059581D" w:rsidRPr="00D948C1">
        <w:rPr>
          <w:szCs w:val="24"/>
        </w:rPr>
        <w:t xml:space="preserve"> </w:t>
      </w:r>
      <w:r w:rsidRPr="00D948C1">
        <w:rPr>
          <w:szCs w:val="24"/>
          <w:lang w:val="en-GB"/>
        </w:rPr>
        <w:t>The estimated capital expen</w:t>
      </w:r>
      <w:r w:rsidR="002A57D5" w:rsidRPr="00D948C1">
        <w:rPr>
          <w:szCs w:val="24"/>
          <w:lang w:val="en-GB"/>
        </w:rPr>
        <w:t xml:space="preserve">diture committed </w:t>
      </w:r>
      <w:proofErr w:type="gramStart"/>
      <w:r w:rsidR="002A57D5" w:rsidRPr="00D948C1">
        <w:rPr>
          <w:szCs w:val="24"/>
          <w:lang w:val="en-GB"/>
        </w:rPr>
        <w:t>at</w:t>
      </w:r>
      <w:proofErr w:type="gramEnd"/>
      <w:r w:rsidR="002A57D5" w:rsidRPr="00D948C1">
        <w:rPr>
          <w:szCs w:val="24"/>
          <w:lang w:val="en-GB"/>
        </w:rPr>
        <w:t xml:space="preserve"> 31 March 202</w:t>
      </w:r>
      <w:r w:rsidR="00C93FB3" w:rsidRPr="00D948C1">
        <w:rPr>
          <w:szCs w:val="24"/>
          <w:lang w:val="en-GB"/>
        </w:rPr>
        <w:t>4</w:t>
      </w:r>
      <w:r w:rsidRPr="00D948C1">
        <w:rPr>
          <w:szCs w:val="24"/>
          <w:lang w:val="en-GB"/>
        </w:rPr>
        <w:t xml:space="preserve"> is £</w:t>
      </w:r>
      <w:r w:rsidR="00414911" w:rsidRPr="00D948C1">
        <w:rPr>
          <w:szCs w:val="24"/>
          <w:lang w:val="en-GB"/>
        </w:rPr>
        <w:t>1.</w:t>
      </w:r>
      <w:r w:rsidR="009B03A8" w:rsidRPr="00D948C1">
        <w:rPr>
          <w:szCs w:val="24"/>
          <w:lang w:val="en-GB"/>
        </w:rPr>
        <w:t>554</w:t>
      </w:r>
      <w:r w:rsidR="00414911" w:rsidRPr="00D948C1">
        <w:rPr>
          <w:szCs w:val="24"/>
          <w:lang w:val="en-GB"/>
        </w:rPr>
        <w:t>m</w:t>
      </w:r>
      <w:r w:rsidRPr="00D948C1">
        <w:rPr>
          <w:szCs w:val="24"/>
          <w:lang w:val="en-GB"/>
        </w:rPr>
        <w:t xml:space="preserve"> (20</w:t>
      </w:r>
      <w:r w:rsidR="006B2155" w:rsidRPr="00D948C1">
        <w:rPr>
          <w:szCs w:val="24"/>
          <w:lang w:val="en-GB"/>
        </w:rPr>
        <w:t>2</w:t>
      </w:r>
      <w:r w:rsidR="00C93FB3" w:rsidRPr="00D948C1">
        <w:rPr>
          <w:szCs w:val="24"/>
          <w:lang w:val="en-GB"/>
        </w:rPr>
        <w:t>2/23</w:t>
      </w:r>
      <w:r w:rsidRPr="00D948C1">
        <w:rPr>
          <w:szCs w:val="24"/>
          <w:lang w:val="en-GB"/>
        </w:rPr>
        <w:t>: £</w:t>
      </w:r>
      <w:r w:rsidR="00C93FB3" w:rsidRPr="00D948C1">
        <w:rPr>
          <w:szCs w:val="24"/>
          <w:lang w:val="en-GB"/>
        </w:rPr>
        <w:t>4.704</w:t>
      </w:r>
      <w:r w:rsidR="003D6A01" w:rsidRPr="00D948C1">
        <w:rPr>
          <w:szCs w:val="24"/>
          <w:lang w:val="en-GB"/>
        </w:rPr>
        <w:t>m</w:t>
      </w:r>
      <w:r w:rsidRPr="00D948C1">
        <w:rPr>
          <w:szCs w:val="24"/>
          <w:lang w:val="en-GB"/>
        </w:rPr>
        <w:t>).</w:t>
      </w:r>
    </w:p>
    <w:bookmarkEnd w:id="35"/>
    <w:p w14:paraId="5D98DB8F" w14:textId="77777777" w:rsidR="00DF2B00" w:rsidRPr="00D948C1" w:rsidRDefault="00DF2B00" w:rsidP="006C0086">
      <w:pPr>
        <w:pStyle w:val="Footer"/>
        <w:tabs>
          <w:tab w:val="clear" w:pos="4153"/>
          <w:tab w:val="clear" w:pos="8306"/>
        </w:tabs>
        <w:spacing w:line="276" w:lineRule="auto"/>
        <w:rPr>
          <w:b/>
          <w:sz w:val="22"/>
        </w:rPr>
      </w:pPr>
    </w:p>
    <w:p w14:paraId="32AC35F8" w14:textId="5DAADC46" w:rsidR="00D90216" w:rsidRPr="00D948C1" w:rsidRDefault="007C6DCB" w:rsidP="006C0086">
      <w:pPr>
        <w:pStyle w:val="Heading2"/>
        <w:spacing w:line="276" w:lineRule="auto"/>
        <w:jc w:val="left"/>
        <w:rPr>
          <w:sz w:val="24"/>
          <w:szCs w:val="24"/>
        </w:rPr>
      </w:pPr>
      <w:bookmarkStart w:id="36" w:name="_Toc171068791"/>
      <w:r w:rsidRPr="00D948C1">
        <w:rPr>
          <w:sz w:val="24"/>
          <w:szCs w:val="24"/>
        </w:rPr>
        <w:t>7</w:t>
      </w:r>
      <w:r w:rsidR="00355430" w:rsidRPr="00D948C1">
        <w:rPr>
          <w:sz w:val="24"/>
          <w:szCs w:val="24"/>
        </w:rPr>
        <w:tab/>
      </w:r>
      <w:bookmarkStart w:id="37" w:name="N7"/>
      <w:bookmarkEnd w:id="37"/>
      <w:r w:rsidR="00D90216" w:rsidRPr="00D948C1">
        <w:rPr>
          <w:sz w:val="24"/>
          <w:szCs w:val="24"/>
        </w:rPr>
        <w:t>Intangible Assets</w:t>
      </w:r>
      <w:bookmarkEnd w:id="36"/>
    </w:p>
    <w:p w14:paraId="139F349A" w14:textId="77777777" w:rsidR="00D90216" w:rsidRPr="00D948C1" w:rsidRDefault="00D90216" w:rsidP="006C0086">
      <w:pPr>
        <w:pStyle w:val="BodyTextIndent"/>
        <w:spacing w:line="276" w:lineRule="auto"/>
        <w:rPr>
          <w:szCs w:val="24"/>
        </w:rPr>
      </w:pPr>
    </w:p>
    <w:p w14:paraId="0520F35E" w14:textId="728F7A93" w:rsidR="00495739" w:rsidRDefault="00D90216" w:rsidP="006C0086">
      <w:pPr>
        <w:pStyle w:val="BodyTextIndent"/>
        <w:spacing w:line="276" w:lineRule="auto"/>
        <w:rPr>
          <w:szCs w:val="24"/>
        </w:rPr>
      </w:pPr>
      <w:r w:rsidRPr="00D948C1">
        <w:rPr>
          <w:szCs w:val="24"/>
        </w:rPr>
        <w:t>The Authority accounts for its software as intangible assets. All software is given a finite useful life, based on assessments of the period that the software is expected to be of use to the Authority.</w:t>
      </w:r>
    </w:p>
    <w:p w14:paraId="055E5184" w14:textId="77777777" w:rsidR="00495739" w:rsidRDefault="00495739" w:rsidP="006C0086">
      <w:pPr>
        <w:spacing w:line="276" w:lineRule="auto"/>
        <w:rPr>
          <w:szCs w:val="24"/>
          <w:lang w:val="en-US"/>
        </w:rPr>
      </w:pPr>
      <w:r>
        <w:rPr>
          <w:szCs w:val="24"/>
        </w:rPr>
        <w:br w:type="page"/>
      </w: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C93FB3" w:rsidRPr="00D948C1" w14:paraId="72E251E9" w14:textId="77777777" w:rsidTr="00611673">
        <w:trPr>
          <w:trHeight w:val="255"/>
          <w:tblHeader/>
        </w:trPr>
        <w:tc>
          <w:tcPr>
            <w:tcW w:w="4111" w:type="dxa"/>
            <w:shd w:val="clear" w:color="auto" w:fill="BD2716"/>
            <w:noWrap/>
            <w:vAlign w:val="bottom"/>
          </w:tcPr>
          <w:p w14:paraId="5C250010" w14:textId="6969BDA3" w:rsidR="00C93FB3" w:rsidRPr="00D948C1" w:rsidRDefault="00C93FB3" w:rsidP="006C0086">
            <w:pPr>
              <w:spacing w:line="276" w:lineRule="auto"/>
              <w:ind w:firstLine="34"/>
              <w:rPr>
                <w:rFonts w:cs="Arial"/>
                <w:b/>
                <w:bCs/>
                <w:color w:val="FFFFFF" w:themeColor="background1"/>
                <w:szCs w:val="24"/>
                <w:lang w:eastAsia="en-GB"/>
              </w:rPr>
            </w:pPr>
          </w:p>
        </w:tc>
        <w:tc>
          <w:tcPr>
            <w:tcW w:w="1418" w:type="dxa"/>
            <w:shd w:val="clear" w:color="auto" w:fill="BD2716"/>
            <w:noWrap/>
            <w:vAlign w:val="center"/>
          </w:tcPr>
          <w:p w14:paraId="38925EF1" w14:textId="77777777"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12805862" w14:textId="625112F9"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418" w:type="dxa"/>
            <w:shd w:val="clear" w:color="auto" w:fill="BD2716"/>
            <w:vAlign w:val="center"/>
          </w:tcPr>
          <w:p w14:paraId="6B97F596" w14:textId="77777777"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236902F6" w14:textId="3FB5625E" w:rsidR="00C93FB3" w:rsidRPr="00D948C1" w:rsidRDefault="00C93FB3"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210760" w:rsidRPr="00D948C1" w14:paraId="22916A94" w14:textId="77777777" w:rsidTr="007641BA">
        <w:trPr>
          <w:trHeight w:val="255"/>
        </w:trPr>
        <w:tc>
          <w:tcPr>
            <w:tcW w:w="6947" w:type="dxa"/>
            <w:gridSpan w:val="3"/>
            <w:shd w:val="clear" w:color="auto" w:fill="D9D9D9" w:themeFill="background1" w:themeFillShade="D9"/>
            <w:noWrap/>
            <w:vAlign w:val="bottom"/>
          </w:tcPr>
          <w:p w14:paraId="11909244" w14:textId="00D66C29" w:rsidR="00210760" w:rsidRPr="00D948C1" w:rsidRDefault="00210760" w:rsidP="006C0086">
            <w:pPr>
              <w:spacing w:line="276" w:lineRule="auto"/>
              <w:rPr>
                <w:rFonts w:cs="Arial"/>
                <w:szCs w:val="24"/>
                <w:lang w:eastAsia="en-GB"/>
              </w:rPr>
            </w:pPr>
            <w:r w:rsidRPr="00D948C1">
              <w:rPr>
                <w:rFonts w:cs="Arial"/>
                <w:b/>
                <w:bCs/>
                <w:szCs w:val="24"/>
                <w:lang w:eastAsia="en-GB"/>
              </w:rPr>
              <w:t>Cost or valuation</w:t>
            </w:r>
          </w:p>
        </w:tc>
      </w:tr>
      <w:tr w:rsidR="00C93FB3" w:rsidRPr="00D948C1" w14:paraId="7FF84931" w14:textId="77777777" w:rsidTr="008B00BF">
        <w:trPr>
          <w:trHeight w:val="255"/>
        </w:trPr>
        <w:tc>
          <w:tcPr>
            <w:tcW w:w="4111" w:type="dxa"/>
            <w:shd w:val="clear" w:color="auto" w:fill="auto"/>
            <w:noWrap/>
            <w:vAlign w:val="bottom"/>
          </w:tcPr>
          <w:p w14:paraId="3FB26830" w14:textId="77777777" w:rsidR="00C93FB3" w:rsidRPr="00D948C1" w:rsidRDefault="00C93FB3" w:rsidP="006C0086">
            <w:pPr>
              <w:spacing w:line="276" w:lineRule="auto"/>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w:t>
            </w:r>
          </w:p>
        </w:tc>
        <w:tc>
          <w:tcPr>
            <w:tcW w:w="1418" w:type="dxa"/>
            <w:shd w:val="clear" w:color="auto" w:fill="auto"/>
            <w:noWrap/>
            <w:vAlign w:val="center"/>
          </w:tcPr>
          <w:p w14:paraId="3A53CAA9" w14:textId="787D9B33" w:rsidR="00C93FB3" w:rsidRPr="00D948C1" w:rsidRDefault="00C460EB" w:rsidP="006C0086">
            <w:pPr>
              <w:spacing w:line="276" w:lineRule="auto"/>
              <w:jc w:val="right"/>
              <w:rPr>
                <w:rFonts w:cs="Arial"/>
                <w:szCs w:val="24"/>
                <w:lang w:eastAsia="en-GB"/>
              </w:rPr>
            </w:pPr>
            <w:r w:rsidRPr="00D948C1">
              <w:rPr>
                <w:rFonts w:cs="Arial"/>
                <w:szCs w:val="24"/>
                <w:lang w:eastAsia="en-GB"/>
              </w:rPr>
              <w:t>2,899</w:t>
            </w:r>
          </w:p>
        </w:tc>
        <w:tc>
          <w:tcPr>
            <w:tcW w:w="1418" w:type="dxa"/>
            <w:shd w:val="clear" w:color="auto" w:fill="auto"/>
            <w:vAlign w:val="center"/>
          </w:tcPr>
          <w:p w14:paraId="4C38B001" w14:textId="40CEAED4" w:rsidR="00C93FB3" w:rsidRPr="00D948C1" w:rsidRDefault="00C93FB3" w:rsidP="006C0086">
            <w:pPr>
              <w:spacing w:line="276" w:lineRule="auto"/>
              <w:jc w:val="right"/>
              <w:rPr>
                <w:rFonts w:cs="Arial"/>
                <w:szCs w:val="24"/>
                <w:lang w:eastAsia="en-GB"/>
              </w:rPr>
            </w:pPr>
            <w:r w:rsidRPr="00D948C1">
              <w:rPr>
                <w:rFonts w:cs="Arial"/>
                <w:szCs w:val="24"/>
                <w:lang w:eastAsia="en-GB"/>
              </w:rPr>
              <w:t>2,422</w:t>
            </w:r>
          </w:p>
        </w:tc>
      </w:tr>
      <w:tr w:rsidR="002D5AF2" w:rsidRPr="00D948C1" w14:paraId="7D617ABB" w14:textId="77777777" w:rsidTr="008B00BF">
        <w:trPr>
          <w:trHeight w:val="255"/>
        </w:trPr>
        <w:tc>
          <w:tcPr>
            <w:tcW w:w="4111" w:type="dxa"/>
            <w:shd w:val="clear" w:color="auto" w:fill="auto"/>
            <w:noWrap/>
            <w:vAlign w:val="bottom"/>
          </w:tcPr>
          <w:p w14:paraId="1AC943D2" w14:textId="2582176F" w:rsidR="002D5AF2" w:rsidRPr="00D948C1" w:rsidRDefault="00B453E8" w:rsidP="006C0086">
            <w:pPr>
              <w:pStyle w:val="CommentText"/>
              <w:spacing w:line="276" w:lineRule="auto"/>
              <w:rPr>
                <w:rFonts w:cs="Arial"/>
                <w:sz w:val="24"/>
                <w:szCs w:val="24"/>
                <w:lang w:eastAsia="en-GB"/>
              </w:rPr>
            </w:pPr>
            <w:r w:rsidRPr="00B453E8">
              <w:rPr>
                <w:rFonts w:cs="Arial"/>
                <w:sz w:val="24"/>
                <w:szCs w:val="24"/>
                <w:lang w:eastAsia="en-GB"/>
              </w:rPr>
              <w:t>Adjustment to opening balance</w:t>
            </w:r>
          </w:p>
        </w:tc>
        <w:tc>
          <w:tcPr>
            <w:tcW w:w="1418" w:type="dxa"/>
            <w:shd w:val="clear" w:color="auto" w:fill="auto"/>
            <w:noWrap/>
            <w:vAlign w:val="center"/>
          </w:tcPr>
          <w:p w14:paraId="363B816B" w14:textId="0B351AA8" w:rsidR="002D5AF2" w:rsidRPr="00D948C1" w:rsidRDefault="00DA71B0" w:rsidP="006C0086">
            <w:pPr>
              <w:spacing w:line="276" w:lineRule="auto"/>
              <w:jc w:val="right"/>
              <w:rPr>
                <w:rFonts w:cs="Arial"/>
                <w:szCs w:val="24"/>
                <w:lang w:eastAsia="en-GB"/>
              </w:rPr>
            </w:pPr>
            <w:r>
              <w:rPr>
                <w:rFonts w:cs="Arial"/>
                <w:szCs w:val="24"/>
                <w:lang w:eastAsia="en-GB"/>
              </w:rPr>
              <w:t>(714)</w:t>
            </w:r>
          </w:p>
        </w:tc>
        <w:tc>
          <w:tcPr>
            <w:tcW w:w="1418" w:type="dxa"/>
            <w:shd w:val="clear" w:color="auto" w:fill="auto"/>
            <w:vAlign w:val="center"/>
          </w:tcPr>
          <w:p w14:paraId="23E0AD34" w14:textId="47F42790" w:rsidR="002D5AF2" w:rsidRPr="00D948C1" w:rsidRDefault="00DA71B0" w:rsidP="006C0086">
            <w:pPr>
              <w:spacing w:line="276" w:lineRule="auto"/>
              <w:jc w:val="right"/>
              <w:rPr>
                <w:rFonts w:cs="Arial"/>
                <w:szCs w:val="24"/>
                <w:lang w:eastAsia="en-GB"/>
              </w:rPr>
            </w:pPr>
            <w:r>
              <w:rPr>
                <w:rFonts w:cs="Arial"/>
                <w:szCs w:val="24"/>
                <w:lang w:eastAsia="en-GB"/>
              </w:rPr>
              <w:t>-</w:t>
            </w:r>
          </w:p>
        </w:tc>
      </w:tr>
      <w:tr w:rsidR="00C93FB3" w:rsidRPr="00D948C1" w14:paraId="7586522D" w14:textId="77777777" w:rsidTr="008B00BF">
        <w:trPr>
          <w:trHeight w:val="255"/>
        </w:trPr>
        <w:tc>
          <w:tcPr>
            <w:tcW w:w="4111" w:type="dxa"/>
            <w:shd w:val="clear" w:color="auto" w:fill="auto"/>
            <w:noWrap/>
            <w:vAlign w:val="bottom"/>
          </w:tcPr>
          <w:p w14:paraId="731CCCAA" w14:textId="77777777" w:rsidR="00C93FB3" w:rsidRPr="00D948C1" w:rsidRDefault="00C93FB3" w:rsidP="006C0086">
            <w:pPr>
              <w:pStyle w:val="CommentText"/>
              <w:spacing w:line="276" w:lineRule="auto"/>
              <w:rPr>
                <w:rFonts w:cs="Arial"/>
                <w:sz w:val="24"/>
                <w:szCs w:val="24"/>
                <w:lang w:eastAsia="en-GB"/>
              </w:rPr>
            </w:pPr>
            <w:r w:rsidRPr="00D948C1">
              <w:rPr>
                <w:rFonts w:cs="Arial"/>
                <w:sz w:val="24"/>
                <w:szCs w:val="24"/>
                <w:lang w:eastAsia="en-GB"/>
              </w:rPr>
              <w:t>Additions</w:t>
            </w:r>
          </w:p>
        </w:tc>
        <w:tc>
          <w:tcPr>
            <w:tcW w:w="1418" w:type="dxa"/>
            <w:shd w:val="clear" w:color="auto" w:fill="auto"/>
            <w:noWrap/>
            <w:vAlign w:val="center"/>
          </w:tcPr>
          <w:p w14:paraId="32E49D4E" w14:textId="08C98EEA" w:rsidR="00C93FB3" w:rsidRPr="00D948C1" w:rsidRDefault="00A21488" w:rsidP="006C0086">
            <w:pPr>
              <w:spacing w:line="276" w:lineRule="auto"/>
              <w:jc w:val="right"/>
              <w:rPr>
                <w:rFonts w:cs="Arial"/>
                <w:szCs w:val="24"/>
                <w:lang w:eastAsia="en-GB"/>
              </w:rPr>
            </w:pPr>
            <w:r>
              <w:rPr>
                <w:rFonts w:cs="Arial"/>
                <w:szCs w:val="24"/>
                <w:lang w:eastAsia="en-GB"/>
              </w:rPr>
              <w:t>193</w:t>
            </w:r>
          </w:p>
        </w:tc>
        <w:tc>
          <w:tcPr>
            <w:tcW w:w="1418" w:type="dxa"/>
            <w:shd w:val="clear" w:color="auto" w:fill="auto"/>
            <w:vAlign w:val="center"/>
          </w:tcPr>
          <w:p w14:paraId="5F3FCC90" w14:textId="6306F913" w:rsidR="00C93FB3" w:rsidRPr="00D948C1" w:rsidRDefault="00C93FB3" w:rsidP="006C0086">
            <w:pPr>
              <w:spacing w:line="276" w:lineRule="auto"/>
              <w:jc w:val="right"/>
              <w:rPr>
                <w:rFonts w:cs="Arial"/>
                <w:szCs w:val="24"/>
                <w:lang w:eastAsia="en-GB"/>
              </w:rPr>
            </w:pPr>
            <w:r w:rsidRPr="00D948C1">
              <w:rPr>
                <w:rFonts w:cs="Arial"/>
                <w:szCs w:val="24"/>
                <w:lang w:eastAsia="en-GB"/>
              </w:rPr>
              <w:t>477</w:t>
            </w:r>
          </w:p>
        </w:tc>
      </w:tr>
      <w:tr w:rsidR="004B58BE" w:rsidRPr="00D948C1" w14:paraId="357C36B5" w14:textId="77777777" w:rsidTr="008B00BF">
        <w:trPr>
          <w:trHeight w:val="255"/>
        </w:trPr>
        <w:tc>
          <w:tcPr>
            <w:tcW w:w="4111" w:type="dxa"/>
            <w:shd w:val="clear" w:color="auto" w:fill="auto"/>
            <w:noWrap/>
            <w:vAlign w:val="bottom"/>
          </w:tcPr>
          <w:p w14:paraId="6FFBAC4F" w14:textId="11C816E7" w:rsidR="004B58BE" w:rsidRPr="00D948C1" w:rsidRDefault="004B58BE" w:rsidP="006C0086">
            <w:pPr>
              <w:pStyle w:val="CommentText"/>
              <w:spacing w:line="276" w:lineRule="auto"/>
              <w:rPr>
                <w:rFonts w:cs="Arial"/>
                <w:sz w:val="24"/>
                <w:szCs w:val="24"/>
                <w:lang w:eastAsia="en-GB"/>
              </w:rPr>
            </w:pPr>
            <w:r w:rsidRPr="004B58BE">
              <w:rPr>
                <w:rFonts w:cs="Arial"/>
                <w:sz w:val="24"/>
                <w:szCs w:val="24"/>
                <w:lang w:eastAsia="en-GB"/>
              </w:rPr>
              <w:t>Disposals/De-recog</w:t>
            </w:r>
            <w:r>
              <w:rPr>
                <w:rFonts w:cs="Arial"/>
                <w:sz w:val="24"/>
                <w:szCs w:val="24"/>
                <w:lang w:eastAsia="en-GB"/>
              </w:rPr>
              <w:t>n</w:t>
            </w:r>
            <w:r w:rsidRPr="004B58BE">
              <w:rPr>
                <w:rFonts w:cs="Arial"/>
                <w:sz w:val="24"/>
                <w:szCs w:val="24"/>
                <w:lang w:eastAsia="en-GB"/>
              </w:rPr>
              <w:t>itions</w:t>
            </w:r>
          </w:p>
        </w:tc>
        <w:tc>
          <w:tcPr>
            <w:tcW w:w="1418" w:type="dxa"/>
            <w:shd w:val="clear" w:color="auto" w:fill="auto"/>
            <w:noWrap/>
            <w:vAlign w:val="center"/>
          </w:tcPr>
          <w:p w14:paraId="250E4AF6" w14:textId="7BE6A59F" w:rsidR="004B58BE" w:rsidRDefault="004B58BE" w:rsidP="006C0086">
            <w:pPr>
              <w:spacing w:line="276" w:lineRule="auto"/>
              <w:jc w:val="right"/>
              <w:rPr>
                <w:rFonts w:cs="Arial"/>
                <w:szCs w:val="24"/>
                <w:lang w:eastAsia="en-GB"/>
              </w:rPr>
            </w:pPr>
            <w:r>
              <w:rPr>
                <w:rFonts w:cs="Arial"/>
                <w:szCs w:val="24"/>
                <w:lang w:eastAsia="en-GB"/>
              </w:rPr>
              <w:t>(469)</w:t>
            </w:r>
          </w:p>
        </w:tc>
        <w:tc>
          <w:tcPr>
            <w:tcW w:w="1418" w:type="dxa"/>
            <w:shd w:val="clear" w:color="auto" w:fill="auto"/>
            <w:vAlign w:val="center"/>
          </w:tcPr>
          <w:p w14:paraId="305E8760" w14:textId="77777777" w:rsidR="004B58BE" w:rsidRPr="00D948C1" w:rsidRDefault="004B58BE" w:rsidP="006C0086">
            <w:pPr>
              <w:spacing w:line="276" w:lineRule="auto"/>
              <w:jc w:val="right"/>
              <w:rPr>
                <w:rFonts w:cs="Arial"/>
                <w:szCs w:val="24"/>
                <w:lang w:eastAsia="en-GB"/>
              </w:rPr>
            </w:pPr>
          </w:p>
        </w:tc>
      </w:tr>
      <w:tr w:rsidR="00C93FB3" w:rsidRPr="00D948C1" w14:paraId="4BF3ECE8" w14:textId="77777777" w:rsidTr="008B00BF">
        <w:trPr>
          <w:trHeight w:val="255"/>
        </w:trPr>
        <w:tc>
          <w:tcPr>
            <w:tcW w:w="4111" w:type="dxa"/>
            <w:shd w:val="clear" w:color="auto" w:fill="auto"/>
            <w:noWrap/>
            <w:vAlign w:val="bottom"/>
          </w:tcPr>
          <w:p w14:paraId="2C5E673A" w14:textId="77777777" w:rsidR="00C93FB3" w:rsidRPr="00D948C1" w:rsidRDefault="00C93FB3" w:rsidP="006C0086">
            <w:pPr>
              <w:spacing w:line="276" w:lineRule="auto"/>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w:t>
            </w:r>
          </w:p>
        </w:tc>
        <w:tc>
          <w:tcPr>
            <w:tcW w:w="1418" w:type="dxa"/>
            <w:shd w:val="clear" w:color="auto" w:fill="auto"/>
            <w:noWrap/>
            <w:vAlign w:val="center"/>
          </w:tcPr>
          <w:p w14:paraId="3CAAD444" w14:textId="402EF244" w:rsidR="00C93FB3" w:rsidRPr="00D948C1" w:rsidRDefault="004B58BE" w:rsidP="006C0086">
            <w:pPr>
              <w:spacing w:line="276" w:lineRule="auto"/>
              <w:jc w:val="right"/>
              <w:rPr>
                <w:rFonts w:cs="Arial"/>
                <w:szCs w:val="24"/>
                <w:lang w:eastAsia="en-GB"/>
              </w:rPr>
            </w:pPr>
            <w:r>
              <w:rPr>
                <w:rFonts w:cs="Arial"/>
                <w:szCs w:val="24"/>
                <w:lang w:eastAsia="en-GB"/>
              </w:rPr>
              <w:t>1,909</w:t>
            </w:r>
          </w:p>
        </w:tc>
        <w:tc>
          <w:tcPr>
            <w:tcW w:w="1418" w:type="dxa"/>
            <w:shd w:val="clear" w:color="auto" w:fill="auto"/>
            <w:vAlign w:val="center"/>
          </w:tcPr>
          <w:p w14:paraId="3C6C8525" w14:textId="76433FE5" w:rsidR="00C93FB3" w:rsidRPr="00D948C1" w:rsidRDefault="00C93FB3" w:rsidP="006C0086">
            <w:pPr>
              <w:spacing w:line="276" w:lineRule="auto"/>
              <w:jc w:val="right"/>
              <w:rPr>
                <w:rFonts w:cs="Arial"/>
                <w:szCs w:val="24"/>
                <w:lang w:eastAsia="en-GB"/>
              </w:rPr>
            </w:pPr>
            <w:r w:rsidRPr="00D948C1">
              <w:rPr>
                <w:rFonts w:cs="Arial"/>
                <w:szCs w:val="24"/>
                <w:lang w:eastAsia="en-GB"/>
              </w:rPr>
              <w:t>2,899</w:t>
            </w:r>
          </w:p>
        </w:tc>
      </w:tr>
    </w:tbl>
    <w:p w14:paraId="53A86BD4" w14:textId="77777777" w:rsidR="00372872" w:rsidRPr="00D948C1" w:rsidRDefault="00372872" w:rsidP="006C0086">
      <w:pPr>
        <w:spacing w:line="276" w:lineRule="auto"/>
      </w:pP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372872" w:rsidRPr="00D948C1" w14:paraId="65DE0E46" w14:textId="77777777" w:rsidTr="007641BA">
        <w:trPr>
          <w:trHeight w:val="255"/>
        </w:trPr>
        <w:tc>
          <w:tcPr>
            <w:tcW w:w="6947" w:type="dxa"/>
            <w:gridSpan w:val="3"/>
            <w:shd w:val="clear" w:color="auto" w:fill="D9D9D9" w:themeFill="background1" w:themeFillShade="D9"/>
            <w:noWrap/>
            <w:vAlign w:val="bottom"/>
          </w:tcPr>
          <w:p w14:paraId="6B227E24" w14:textId="6967F17E" w:rsidR="00372872" w:rsidRPr="00D948C1" w:rsidRDefault="00372872" w:rsidP="006C0086">
            <w:pPr>
              <w:spacing w:line="276" w:lineRule="auto"/>
              <w:rPr>
                <w:rFonts w:cs="Arial"/>
                <w:szCs w:val="24"/>
                <w:lang w:eastAsia="en-GB"/>
              </w:rPr>
            </w:pPr>
            <w:r w:rsidRPr="00D948C1">
              <w:rPr>
                <w:rFonts w:cs="Arial"/>
                <w:b/>
                <w:bCs/>
                <w:szCs w:val="24"/>
                <w:lang w:eastAsia="en-GB"/>
              </w:rPr>
              <w:t>Amortisation &amp; impairment</w:t>
            </w:r>
          </w:p>
        </w:tc>
      </w:tr>
      <w:tr w:rsidR="00C93FB3" w:rsidRPr="00D948C1" w14:paraId="79F33B88" w14:textId="77777777" w:rsidTr="008B00BF">
        <w:trPr>
          <w:trHeight w:val="255"/>
        </w:trPr>
        <w:tc>
          <w:tcPr>
            <w:tcW w:w="4111" w:type="dxa"/>
            <w:shd w:val="clear" w:color="auto" w:fill="auto"/>
            <w:noWrap/>
            <w:vAlign w:val="bottom"/>
          </w:tcPr>
          <w:p w14:paraId="12D692D0" w14:textId="3D0023CE" w:rsidR="00C93FB3" w:rsidRPr="00D948C1" w:rsidRDefault="00C93FB3" w:rsidP="006C0086">
            <w:pPr>
              <w:spacing w:line="276" w:lineRule="auto"/>
              <w:rPr>
                <w:rFonts w:cs="Arial"/>
                <w:szCs w:val="24"/>
                <w:lang w:eastAsia="en-GB"/>
              </w:rPr>
            </w:pPr>
            <w:proofErr w:type="gramStart"/>
            <w:r w:rsidRPr="00D948C1">
              <w:rPr>
                <w:rFonts w:cs="Arial"/>
                <w:szCs w:val="24"/>
                <w:lang w:eastAsia="en-GB"/>
              </w:rPr>
              <w:t>At</w:t>
            </w:r>
            <w:proofErr w:type="gramEnd"/>
            <w:r w:rsidRPr="00D948C1">
              <w:rPr>
                <w:rFonts w:cs="Arial"/>
                <w:szCs w:val="24"/>
                <w:lang w:eastAsia="en-GB"/>
              </w:rPr>
              <w:t xml:space="preserve"> 1 April </w:t>
            </w:r>
          </w:p>
        </w:tc>
        <w:tc>
          <w:tcPr>
            <w:tcW w:w="1418" w:type="dxa"/>
            <w:shd w:val="clear" w:color="auto" w:fill="auto"/>
            <w:noWrap/>
            <w:vAlign w:val="center"/>
          </w:tcPr>
          <w:p w14:paraId="4CCAE0F2" w14:textId="21C87E0D" w:rsidR="00C93FB3" w:rsidRPr="00D948C1" w:rsidRDefault="00C460EB" w:rsidP="006C0086">
            <w:pPr>
              <w:spacing w:line="276" w:lineRule="auto"/>
              <w:jc w:val="right"/>
              <w:rPr>
                <w:rFonts w:cs="Arial"/>
                <w:szCs w:val="24"/>
                <w:lang w:eastAsia="en-GB"/>
              </w:rPr>
            </w:pPr>
            <w:r w:rsidRPr="00D948C1">
              <w:rPr>
                <w:rFonts w:cs="Arial"/>
                <w:szCs w:val="24"/>
                <w:lang w:eastAsia="en-GB"/>
              </w:rPr>
              <w:t>(1,993</w:t>
            </w:r>
            <w:r w:rsidR="00C93FB3" w:rsidRPr="00D948C1">
              <w:rPr>
                <w:rFonts w:cs="Arial"/>
                <w:szCs w:val="24"/>
                <w:lang w:eastAsia="en-GB"/>
              </w:rPr>
              <w:t>)</w:t>
            </w:r>
          </w:p>
        </w:tc>
        <w:tc>
          <w:tcPr>
            <w:tcW w:w="1418" w:type="dxa"/>
            <w:shd w:val="clear" w:color="auto" w:fill="auto"/>
            <w:vAlign w:val="center"/>
          </w:tcPr>
          <w:p w14:paraId="3E3090E8" w14:textId="30FD7D87" w:rsidR="00C93FB3" w:rsidRPr="00D948C1" w:rsidRDefault="00C93FB3" w:rsidP="006C0086">
            <w:pPr>
              <w:spacing w:line="276" w:lineRule="auto"/>
              <w:jc w:val="right"/>
              <w:rPr>
                <w:rFonts w:cs="Arial"/>
                <w:szCs w:val="24"/>
                <w:lang w:eastAsia="en-GB"/>
              </w:rPr>
            </w:pPr>
            <w:r w:rsidRPr="00D948C1">
              <w:rPr>
                <w:rFonts w:cs="Arial"/>
                <w:szCs w:val="24"/>
                <w:lang w:eastAsia="en-GB"/>
              </w:rPr>
              <w:t>(1,899)</w:t>
            </w:r>
          </w:p>
        </w:tc>
      </w:tr>
      <w:tr w:rsidR="002D5AF2" w:rsidRPr="00D948C1" w14:paraId="662E540A" w14:textId="77777777" w:rsidTr="008B00BF">
        <w:trPr>
          <w:trHeight w:val="255"/>
        </w:trPr>
        <w:tc>
          <w:tcPr>
            <w:tcW w:w="4111" w:type="dxa"/>
            <w:shd w:val="clear" w:color="auto" w:fill="auto"/>
            <w:noWrap/>
            <w:vAlign w:val="bottom"/>
          </w:tcPr>
          <w:p w14:paraId="26CD5E8A" w14:textId="19AC8A87" w:rsidR="002D5AF2" w:rsidRPr="00D948C1" w:rsidRDefault="00B453E8" w:rsidP="006C0086">
            <w:pPr>
              <w:spacing w:line="276" w:lineRule="auto"/>
              <w:rPr>
                <w:rFonts w:cs="Arial"/>
                <w:szCs w:val="24"/>
                <w:lang w:eastAsia="en-GB"/>
              </w:rPr>
            </w:pPr>
            <w:r>
              <w:rPr>
                <w:rFonts w:cs="Arial"/>
                <w:szCs w:val="24"/>
                <w:lang w:eastAsia="en-GB"/>
              </w:rPr>
              <w:t>Adjustment to opening balance</w:t>
            </w:r>
          </w:p>
        </w:tc>
        <w:tc>
          <w:tcPr>
            <w:tcW w:w="1418" w:type="dxa"/>
            <w:shd w:val="clear" w:color="auto" w:fill="auto"/>
            <w:noWrap/>
            <w:vAlign w:val="center"/>
          </w:tcPr>
          <w:p w14:paraId="2FB09B04" w14:textId="2BBFD04A" w:rsidR="002D5AF2" w:rsidRPr="00D948C1" w:rsidRDefault="00A21488" w:rsidP="006C0086">
            <w:pPr>
              <w:spacing w:line="276" w:lineRule="auto"/>
              <w:jc w:val="right"/>
              <w:rPr>
                <w:rFonts w:cs="Arial"/>
                <w:szCs w:val="24"/>
                <w:lang w:eastAsia="en-GB"/>
              </w:rPr>
            </w:pPr>
            <w:r>
              <w:rPr>
                <w:rFonts w:cs="Arial"/>
                <w:szCs w:val="24"/>
                <w:lang w:eastAsia="en-GB"/>
              </w:rPr>
              <w:t>257</w:t>
            </w:r>
          </w:p>
        </w:tc>
        <w:tc>
          <w:tcPr>
            <w:tcW w:w="1418" w:type="dxa"/>
            <w:shd w:val="clear" w:color="auto" w:fill="auto"/>
            <w:vAlign w:val="center"/>
          </w:tcPr>
          <w:p w14:paraId="2537BBDA" w14:textId="78A65E2D" w:rsidR="002D5AF2" w:rsidRPr="00D948C1" w:rsidRDefault="00A21488" w:rsidP="006C0086">
            <w:pPr>
              <w:spacing w:line="276" w:lineRule="auto"/>
              <w:jc w:val="right"/>
              <w:rPr>
                <w:rFonts w:cs="Arial"/>
                <w:szCs w:val="24"/>
                <w:lang w:eastAsia="en-GB"/>
              </w:rPr>
            </w:pPr>
            <w:r>
              <w:rPr>
                <w:rFonts w:cs="Arial"/>
                <w:szCs w:val="24"/>
                <w:lang w:eastAsia="en-GB"/>
              </w:rPr>
              <w:t>-</w:t>
            </w:r>
          </w:p>
        </w:tc>
      </w:tr>
      <w:tr w:rsidR="00C93FB3" w:rsidRPr="00D948C1" w14:paraId="266CF08C" w14:textId="77777777" w:rsidTr="008B00BF">
        <w:trPr>
          <w:trHeight w:val="255"/>
        </w:trPr>
        <w:tc>
          <w:tcPr>
            <w:tcW w:w="4111" w:type="dxa"/>
            <w:shd w:val="clear" w:color="auto" w:fill="auto"/>
            <w:noWrap/>
            <w:vAlign w:val="bottom"/>
          </w:tcPr>
          <w:p w14:paraId="033FC2E7" w14:textId="77777777" w:rsidR="00C93FB3" w:rsidRPr="00D948C1" w:rsidRDefault="00C93FB3" w:rsidP="006C0086">
            <w:pPr>
              <w:spacing w:line="276" w:lineRule="auto"/>
              <w:rPr>
                <w:rFonts w:cs="Arial"/>
                <w:szCs w:val="24"/>
                <w:lang w:eastAsia="en-GB"/>
              </w:rPr>
            </w:pPr>
            <w:r w:rsidRPr="00D948C1">
              <w:rPr>
                <w:rFonts w:cs="Arial"/>
                <w:szCs w:val="24"/>
                <w:lang w:eastAsia="en-GB"/>
              </w:rPr>
              <w:t>Amortisation charge for the year</w:t>
            </w:r>
          </w:p>
        </w:tc>
        <w:tc>
          <w:tcPr>
            <w:tcW w:w="1418" w:type="dxa"/>
            <w:shd w:val="clear" w:color="auto" w:fill="auto"/>
            <w:noWrap/>
            <w:vAlign w:val="center"/>
          </w:tcPr>
          <w:p w14:paraId="4024BA03" w14:textId="6B0BBA79" w:rsidR="00C93FB3" w:rsidRPr="00D948C1" w:rsidRDefault="00C93FB3" w:rsidP="006C0086">
            <w:pPr>
              <w:spacing w:line="276" w:lineRule="auto"/>
              <w:jc w:val="right"/>
              <w:rPr>
                <w:rFonts w:cs="Arial"/>
                <w:szCs w:val="24"/>
                <w:lang w:eastAsia="en-GB"/>
              </w:rPr>
            </w:pPr>
            <w:r w:rsidRPr="00D948C1">
              <w:rPr>
                <w:rFonts w:cs="Arial"/>
                <w:szCs w:val="24"/>
                <w:lang w:eastAsia="en-GB"/>
              </w:rPr>
              <w:t>(</w:t>
            </w:r>
            <w:r w:rsidR="00A21488">
              <w:rPr>
                <w:rFonts w:cs="Arial"/>
                <w:szCs w:val="24"/>
                <w:lang w:eastAsia="en-GB"/>
              </w:rPr>
              <w:t>188</w:t>
            </w:r>
            <w:r w:rsidRPr="00D948C1">
              <w:rPr>
                <w:rFonts w:cs="Arial"/>
                <w:szCs w:val="24"/>
                <w:lang w:eastAsia="en-GB"/>
              </w:rPr>
              <w:t>)</w:t>
            </w:r>
          </w:p>
        </w:tc>
        <w:tc>
          <w:tcPr>
            <w:tcW w:w="1418" w:type="dxa"/>
            <w:shd w:val="clear" w:color="auto" w:fill="auto"/>
            <w:vAlign w:val="center"/>
          </w:tcPr>
          <w:p w14:paraId="2C1A833C" w14:textId="3B4ABD81" w:rsidR="00C93FB3" w:rsidRPr="00D948C1" w:rsidRDefault="00C93FB3" w:rsidP="006C0086">
            <w:pPr>
              <w:spacing w:line="276" w:lineRule="auto"/>
              <w:jc w:val="right"/>
              <w:rPr>
                <w:rFonts w:cs="Arial"/>
                <w:szCs w:val="24"/>
                <w:lang w:eastAsia="en-GB"/>
              </w:rPr>
            </w:pPr>
            <w:r w:rsidRPr="00D948C1">
              <w:rPr>
                <w:rFonts w:cs="Arial"/>
                <w:szCs w:val="24"/>
                <w:lang w:eastAsia="en-GB"/>
              </w:rPr>
              <w:t>(94)</w:t>
            </w:r>
          </w:p>
        </w:tc>
      </w:tr>
      <w:tr w:rsidR="004B58BE" w:rsidRPr="00D948C1" w14:paraId="65269B13" w14:textId="77777777" w:rsidTr="008B00BF">
        <w:trPr>
          <w:trHeight w:val="255"/>
        </w:trPr>
        <w:tc>
          <w:tcPr>
            <w:tcW w:w="4111" w:type="dxa"/>
            <w:shd w:val="clear" w:color="auto" w:fill="auto"/>
            <w:noWrap/>
            <w:vAlign w:val="bottom"/>
          </w:tcPr>
          <w:p w14:paraId="1D16FDFA" w14:textId="19F46401" w:rsidR="004B58BE" w:rsidRPr="00D948C1" w:rsidRDefault="004B58BE" w:rsidP="006C0086">
            <w:pPr>
              <w:spacing w:line="276" w:lineRule="auto"/>
              <w:rPr>
                <w:rFonts w:cs="Arial"/>
                <w:szCs w:val="24"/>
                <w:lang w:eastAsia="en-GB"/>
              </w:rPr>
            </w:pPr>
            <w:r w:rsidRPr="004B58BE">
              <w:rPr>
                <w:rFonts w:cs="Arial"/>
                <w:szCs w:val="24"/>
                <w:lang w:eastAsia="en-GB"/>
              </w:rPr>
              <w:t>Disposals/De-recog</w:t>
            </w:r>
            <w:r>
              <w:rPr>
                <w:rFonts w:cs="Arial"/>
                <w:szCs w:val="24"/>
                <w:lang w:eastAsia="en-GB"/>
              </w:rPr>
              <w:t>n</w:t>
            </w:r>
            <w:r w:rsidRPr="004B58BE">
              <w:rPr>
                <w:rFonts w:cs="Arial"/>
                <w:szCs w:val="24"/>
                <w:lang w:eastAsia="en-GB"/>
              </w:rPr>
              <w:t>itions</w:t>
            </w:r>
          </w:p>
        </w:tc>
        <w:tc>
          <w:tcPr>
            <w:tcW w:w="1418" w:type="dxa"/>
            <w:shd w:val="clear" w:color="auto" w:fill="auto"/>
            <w:noWrap/>
            <w:vAlign w:val="center"/>
          </w:tcPr>
          <w:p w14:paraId="161A3325" w14:textId="7A0B439D" w:rsidR="004B58BE" w:rsidRPr="00D948C1" w:rsidRDefault="004B58BE" w:rsidP="006C0086">
            <w:pPr>
              <w:spacing w:line="276" w:lineRule="auto"/>
              <w:jc w:val="right"/>
              <w:rPr>
                <w:rFonts w:cs="Arial"/>
                <w:szCs w:val="24"/>
                <w:lang w:eastAsia="en-GB"/>
              </w:rPr>
            </w:pPr>
            <w:r>
              <w:rPr>
                <w:rFonts w:cs="Arial"/>
                <w:szCs w:val="24"/>
                <w:lang w:eastAsia="en-GB"/>
              </w:rPr>
              <w:t>469</w:t>
            </w:r>
          </w:p>
        </w:tc>
        <w:tc>
          <w:tcPr>
            <w:tcW w:w="1418" w:type="dxa"/>
            <w:shd w:val="clear" w:color="auto" w:fill="auto"/>
            <w:vAlign w:val="center"/>
          </w:tcPr>
          <w:p w14:paraId="0628C552" w14:textId="77777777" w:rsidR="004B58BE" w:rsidRPr="00D948C1" w:rsidRDefault="004B58BE" w:rsidP="006C0086">
            <w:pPr>
              <w:spacing w:line="276" w:lineRule="auto"/>
              <w:jc w:val="right"/>
              <w:rPr>
                <w:rFonts w:cs="Arial"/>
                <w:szCs w:val="24"/>
                <w:lang w:eastAsia="en-GB"/>
              </w:rPr>
            </w:pPr>
          </w:p>
        </w:tc>
      </w:tr>
      <w:tr w:rsidR="00C93FB3" w:rsidRPr="00D948C1" w14:paraId="7571EBC6" w14:textId="77777777" w:rsidTr="008B00BF">
        <w:trPr>
          <w:trHeight w:val="255"/>
        </w:trPr>
        <w:tc>
          <w:tcPr>
            <w:tcW w:w="4111" w:type="dxa"/>
            <w:shd w:val="clear" w:color="auto" w:fill="auto"/>
            <w:noWrap/>
            <w:vAlign w:val="bottom"/>
          </w:tcPr>
          <w:p w14:paraId="23A68DD0" w14:textId="77777777" w:rsidR="00C93FB3" w:rsidRPr="00D948C1" w:rsidRDefault="00C93FB3" w:rsidP="006C0086">
            <w:pPr>
              <w:spacing w:line="276" w:lineRule="auto"/>
              <w:rPr>
                <w:rFonts w:cs="Arial"/>
                <w:szCs w:val="24"/>
                <w:lang w:eastAsia="en-GB"/>
              </w:rPr>
            </w:pPr>
            <w:r w:rsidRPr="00D948C1">
              <w:rPr>
                <w:rFonts w:cs="Arial"/>
                <w:szCs w:val="24"/>
                <w:lang w:eastAsia="en-GB"/>
              </w:rPr>
              <w:t xml:space="preserve">As </w:t>
            </w:r>
            <w:proofErr w:type="gramStart"/>
            <w:r w:rsidRPr="00D948C1">
              <w:rPr>
                <w:rFonts w:cs="Arial"/>
                <w:szCs w:val="24"/>
                <w:lang w:eastAsia="en-GB"/>
              </w:rPr>
              <w:t>at</w:t>
            </w:r>
            <w:proofErr w:type="gramEnd"/>
            <w:r w:rsidRPr="00D948C1">
              <w:rPr>
                <w:rFonts w:cs="Arial"/>
                <w:szCs w:val="24"/>
                <w:lang w:eastAsia="en-GB"/>
              </w:rPr>
              <w:t xml:space="preserve"> 31 March </w:t>
            </w:r>
          </w:p>
        </w:tc>
        <w:tc>
          <w:tcPr>
            <w:tcW w:w="1418" w:type="dxa"/>
            <w:shd w:val="clear" w:color="auto" w:fill="auto"/>
            <w:noWrap/>
            <w:vAlign w:val="center"/>
          </w:tcPr>
          <w:p w14:paraId="479B23A7" w14:textId="13A45AB4" w:rsidR="00C93FB3" w:rsidRPr="00D948C1" w:rsidRDefault="00C93FB3" w:rsidP="006C0086">
            <w:pPr>
              <w:spacing w:line="276" w:lineRule="auto"/>
              <w:jc w:val="right"/>
              <w:rPr>
                <w:rFonts w:cs="Arial"/>
                <w:szCs w:val="24"/>
                <w:lang w:eastAsia="en-GB"/>
              </w:rPr>
            </w:pPr>
            <w:r w:rsidRPr="00D948C1">
              <w:rPr>
                <w:rFonts w:cs="Arial"/>
                <w:szCs w:val="24"/>
                <w:lang w:eastAsia="en-GB"/>
              </w:rPr>
              <w:t>(</w:t>
            </w:r>
            <w:r w:rsidR="004B58BE">
              <w:rPr>
                <w:rFonts w:cs="Arial"/>
                <w:szCs w:val="24"/>
                <w:lang w:eastAsia="en-GB"/>
              </w:rPr>
              <w:t>1,456</w:t>
            </w:r>
            <w:r w:rsidRPr="00D948C1">
              <w:rPr>
                <w:rFonts w:cs="Arial"/>
                <w:szCs w:val="24"/>
                <w:lang w:eastAsia="en-GB"/>
              </w:rPr>
              <w:t>)</w:t>
            </w:r>
          </w:p>
        </w:tc>
        <w:tc>
          <w:tcPr>
            <w:tcW w:w="1418" w:type="dxa"/>
            <w:shd w:val="clear" w:color="auto" w:fill="auto"/>
            <w:vAlign w:val="center"/>
          </w:tcPr>
          <w:p w14:paraId="6655C5AF" w14:textId="77FE476D" w:rsidR="00C93FB3" w:rsidRPr="00D948C1" w:rsidRDefault="00C93FB3" w:rsidP="006C0086">
            <w:pPr>
              <w:spacing w:line="276" w:lineRule="auto"/>
              <w:jc w:val="right"/>
              <w:rPr>
                <w:rFonts w:cs="Arial"/>
                <w:szCs w:val="24"/>
                <w:lang w:eastAsia="en-GB"/>
              </w:rPr>
            </w:pPr>
            <w:r w:rsidRPr="00D948C1">
              <w:rPr>
                <w:rFonts w:cs="Arial"/>
                <w:szCs w:val="24"/>
                <w:lang w:eastAsia="en-GB"/>
              </w:rPr>
              <w:t>(1,993)</w:t>
            </w:r>
          </w:p>
        </w:tc>
      </w:tr>
      <w:tr w:rsidR="00C93FB3" w:rsidRPr="00D948C1" w14:paraId="236EF7C9" w14:textId="77777777" w:rsidTr="008B00BF">
        <w:trPr>
          <w:trHeight w:val="80"/>
        </w:trPr>
        <w:tc>
          <w:tcPr>
            <w:tcW w:w="4111" w:type="dxa"/>
            <w:shd w:val="clear" w:color="auto" w:fill="auto"/>
            <w:noWrap/>
            <w:vAlign w:val="bottom"/>
          </w:tcPr>
          <w:p w14:paraId="2AE3FF41" w14:textId="24EA91B4" w:rsidR="00C93FB3" w:rsidRPr="00D948C1" w:rsidRDefault="00C93FB3" w:rsidP="006C0086">
            <w:pPr>
              <w:spacing w:line="276" w:lineRule="auto"/>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2024</w:t>
            </w:r>
          </w:p>
        </w:tc>
        <w:tc>
          <w:tcPr>
            <w:tcW w:w="1418" w:type="dxa"/>
            <w:shd w:val="clear" w:color="auto" w:fill="auto"/>
            <w:noWrap/>
            <w:vAlign w:val="center"/>
          </w:tcPr>
          <w:p w14:paraId="07C42088" w14:textId="20D52559" w:rsidR="00C93FB3" w:rsidRPr="00D948C1" w:rsidRDefault="00F70902" w:rsidP="006C0086">
            <w:pPr>
              <w:spacing w:line="276" w:lineRule="auto"/>
              <w:jc w:val="right"/>
              <w:rPr>
                <w:rFonts w:cs="Arial"/>
                <w:szCs w:val="24"/>
                <w:lang w:eastAsia="en-GB"/>
              </w:rPr>
            </w:pPr>
            <w:r>
              <w:rPr>
                <w:rFonts w:cs="Arial"/>
                <w:szCs w:val="24"/>
                <w:lang w:eastAsia="en-GB"/>
              </w:rPr>
              <w:t>453</w:t>
            </w:r>
          </w:p>
        </w:tc>
        <w:tc>
          <w:tcPr>
            <w:tcW w:w="1418" w:type="dxa"/>
            <w:shd w:val="clear" w:color="auto" w:fill="auto"/>
            <w:vAlign w:val="center"/>
          </w:tcPr>
          <w:p w14:paraId="1FD5E99F" w14:textId="37CD3DE1" w:rsidR="00C93FB3" w:rsidRPr="00D948C1" w:rsidRDefault="00C93FB3" w:rsidP="006C0086">
            <w:pPr>
              <w:spacing w:line="276" w:lineRule="auto"/>
              <w:jc w:val="right"/>
              <w:rPr>
                <w:rFonts w:cs="Arial"/>
                <w:szCs w:val="24"/>
                <w:lang w:eastAsia="en-GB"/>
              </w:rPr>
            </w:pPr>
            <w:r w:rsidRPr="00D948C1">
              <w:rPr>
                <w:rFonts w:cs="Arial"/>
                <w:szCs w:val="24"/>
                <w:lang w:eastAsia="en-GB"/>
              </w:rPr>
              <w:t>906</w:t>
            </w:r>
          </w:p>
        </w:tc>
      </w:tr>
      <w:tr w:rsidR="00C93FB3" w:rsidRPr="00D948C1" w14:paraId="3D7B5732" w14:textId="77777777" w:rsidTr="008B00BF">
        <w:trPr>
          <w:trHeight w:val="255"/>
        </w:trPr>
        <w:tc>
          <w:tcPr>
            <w:tcW w:w="4111" w:type="dxa"/>
            <w:shd w:val="clear" w:color="auto" w:fill="auto"/>
            <w:noWrap/>
            <w:vAlign w:val="bottom"/>
          </w:tcPr>
          <w:p w14:paraId="5429776B" w14:textId="36BF8FA5" w:rsidR="00C93FB3" w:rsidRPr="00D948C1" w:rsidRDefault="00C93FB3" w:rsidP="006C0086">
            <w:pPr>
              <w:spacing w:line="276" w:lineRule="auto"/>
              <w:rPr>
                <w:rFonts w:cs="Arial"/>
                <w:szCs w:val="24"/>
                <w:lang w:eastAsia="en-GB"/>
              </w:rPr>
            </w:pPr>
            <w:r w:rsidRPr="00D948C1">
              <w:rPr>
                <w:rFonts w:cs="Arial"/>
                <w:szCs w:val="24"/>
                <w:lang w:eastAsia="en-GB"/>
              </w:rPr>
              <w:t xml:space="preserve">Balance sheet </w:t>
            </w:r>
            <w:proofErr w:type="gramStart"/>
            <w:r w:rsidRPr="00D948C1">
              <w:rPr>
                <w:rFonts w:cs="Arial"/>
                <w:szCs w:val="24"/>
                <w:lang w:eastAsia="en-GB"/>
              </w:rPr>
              <w:t>at</w:t>
            </w:r>
            <w:proofErr w:type="gramEnd"/>
            <w:r w:rsidRPr="00D948C1">
              <w:rPr>
                <w:rFonts w:cs="Arial"/>
                <w:szCs w:val="24"/>
                <w:lang w:eastAsia="en-GB"/>
              </w:rPr>
              <w:t xml:space="preserve"> 31 March 2023</w:t>
            </w:r>
          </w:p>
        </w:tc>
        <w:tc>
          <w:tcPr>
            <w:tcW w:w="1418" w:type="dxa"/>
            <w:shd w:val="clear" w:color="auto" w:fill="auto"/>
            <w:noWrap/>
            <w:vAlign w:val="center"/>
          </w:tcPr>
          <w:p w14:paraId="55D72188" w14:textId="6CD3CB6B" w:rsidR="00C93FB3" w:rsidRPr="00D948C1" w:rsidRDefault="00F70902" w:rsidP="006C0086">
            <w:pPr>
              <w:spacing w:line="276" w:lineRule="auto"/>
              <w:jc w:val="right"/>
              <w:rPr>
                <w:rFonts w:cs="Arial"/>
                <w:szCs w:val="24"/>
                <w:lang w:eastAsia="en-GB"/>
              </w:rPr>
            </w:pPr>
            <w:r>
              <w:rPr>
                <w:rFonts w:cs="Arial"/>
                <w:szCs w:val="24"/>
                <w:lang w:eastAsia="en-GB"/>
              </w:rPr>
              <w:t>906</w:t>
            </w:r>
          </w:p>
        </w:tc>
        <w:tc>
          <w:tcPr>
            <w:tcW w:w="1418" w:type="dxa"/>
            <w:shd w:val="clear" w:color="auto" w:fill="auto"/>
            <w:vAlign w:val="center"/>
          </w:tcPr>
          <w:p w14:paraId="0F629A7E" w14:textId="3AE1B28C" w:rsidR="00C93FB3" w:rsidRPr="00D948C1" w:rsidRDefault="00C93FB3" w:rsidP="006C0086">
            <w:pPr>
              <w:spacing w:line="276" w:lineRule="auto"/>
              <w:jc w:val="right"/>
              <w:rPr>
                <w:rFonts w:cs="Arial"/>
                <w:szCs w:val="24"/>
                <w:lang w:eastAsia="en-GB"/>
              </w:rPr>
            </w:pPr>
            <w:r w:rsidRPr="00D948C1">
              <w:rPr>
                <w:rFonts w:cs="Arial"/>
                <w:szCs w:val="24"/>
                <w:lang w:eastAsia="en-GB"/>
              </w:rPr>
              <w:t>523</w:t>
            </w:r>
          </w:p>
        </w:tc>
      </w:tr>
    </w:tbl>
    <w:p w14:paraId="35B2B21A" w14:textId="77777777" w:rsidR="00CA025A" w:rsidRPr="004B58BE" w:rsidRDefault="00CA025A" w:rsidP="006C0086">
      <w:pPr>
        <w:pStyle w:val="BodyTextIndent"/>
        <w:spacing w:line="276" w:lineRule="auto"/>
        <w:jc w:val="both"/>
        <w:rPr>
          <w:szCs w:val="24"/>
        </w:rPr>
      </w:pPr>
    </w:p>
    <w:p w14:paraId="1C701A62" w14:textId="22B56D44" w:rsidR="004B58BE" w:rsidRPr="00D948C1" w:rsidRDefault="004B58BE" w:rsidP="006C0086">
      <w:pPr>
        <w:pStyle w:val="BodyTextIndent"/>
        <w:spacing w:line="276" w:lineRule="auto"/>
        <w:ind w:left="709" w:right="425"/>
        <w:rPr>
          <w:szCs w:val="24"/>
          <w:lang w:val="en-GB"/>
        </w:rPr>
      </w:pPr>
      <w:r>
        <w:rPr>
          <w:szCs w:val="24"/>
          <w:lang w:val="en-GB"/>
        </w:rPr>
        <w:t xml:space="preserve">The </w:t>
      </w:r>
      <w:r w:rsidRPr="00D948C1">
        <w:rPr>
          <w:szCs w:val="24"/>
          <w:lang w:val="en-GB"/>
        </w:rPr>
        <w:t>disposal</w:t>
      </w:r>
      <w:r>
        <w:rPr>
          <w:szCs w:val="24"/>
          <w:lang w:val="en-GB"/>
        </w:rPr>
        <w:t>/de-recognition</w:t>
      </w:r>
      <w:r w:rsidRPr="00D948C1">
        <w:rPr>
          <w:szCs w:val="24"/>
          <w:lang w:val="en-GB"/>
        </w:rPr>
        <w:t xml:space="preserve"> figures in the above table, include 2022/23 </w:t>
      </w:r>
      <w:r>
        <w:rPr>
          <w:szCs w:val="24"/>
          <w:lang w:val="en-GB"/>
        </w:rPr>
        <w:t>de-recognitions</w:t>
      </w:r>
      <w:r w:rsidRPr="00D948C1">
        <w:rPr>
          <w:szCs w:val="24"/>
          <w:lang w:val="en-GB"/>
        </w:rPr>
        <w:t xml:space="preserve"> not previously recognised.</w:t>
      </w:r>
    </w:p>
    <w:p w14:paraId="6205C6CD" w14:textId="77777777" w:rsidR="004B58BE" w:rsidRPr="004B58BE" w:rsidRDefault="004B58BE" w:rsidP="006C0086">
      <w:pPr>
        <w:pStyle w:val="BodyTextIndent"/>
        <w:spacing w:line="276" w:lineRule="auto"/>
        <w:jc w:val="both"/>
        <w:rPr>
          <w:szCs w:val="24"/>
        </w:rPr>
      </w:pPr>
    </w:p>
    <w:p w14:paraId="236772BA" w14:textId="512F3FED" w:rsidR="00D90216" w:rsidRPr="00D948C1" w:rsidRDefault="007C6DCB" w:rsidP="006C0086">
      <w:pPr>
        <w:pStyle w:val="Heading2"/>
        <w:spacing w:line="276" w:lineRule="auto"/>
        <w:jc w:val="left"/>
        <w:rPr>
          <w:sz w:val="24"/>
          <w:szCs w:val="24"/>
        </w:rPr>
      </w:pPr>
      <w:bookmarkStart w:id="38" w:name="_Toc171068792"/>
      <w:r w:rsidRPr="00D948C1">
        <w:rPr>
          <w:sz w:val="24"/>
          <w:szCs w:val="24"/>
        </w:rPr>
        <w:t>8</w:t>
      </w:r>
      <w:r w:rsidR="00D90216" w:rsidRPr="00D948C1">
        <w:rPr>
          <w:sz w:val="24"/>
          <w:szCs w:val="24"/>
        </w:rPr>
        <w:tab/>
      </w:r>
      <w:bookmarkStart w:id="39" w:name="N8"/>
      <w:bookmarkEnd w:id="39"/>
      <w:r w:rsidR="00D90216" w:rsidRPr="00D948C1">
        <w:rPr>
          <w:sz w:val="24"/>
          <w:szCs w:val="24"/>
        </w:rPr>
        <w:t>Financial Instruments</w:t>
      </w:r>
      <w:bookmarkEnd w:id="38"/>
    </w:p>
    <w:p w14:paraId="52A916E5" w14:textId="77777777" w:rsidR="00D90216" w:rsidRPr="00D948C1" w:rsidRDefault="00D90216" w:rsidP="006C0086">
      <w:pPr>
        <w:spacing w:line="276" w:lineRule="auto"/>
        <w:ind w:left="720"/>
        <w:rPr>
          <w:szCs w:val="24"/>
        </w:rPr>
      </w:pPr>
    </w:p>
    <w:p w14:paraId="3BE03A6A" w14:textId="689DDDDD" w:rsidR="000D5322" w:rsidRPr="00D948C1" w:rsidRDefault="00D90216" w:rsidP="006C0086">
      <w:pPr>
        <w:spacing w:line="276" w:lineRule="auto"/>
        <w:ind w:left="709" w:hanging="709"/>
        <w:rPr>
          <w:szCs w:val="24"/>
        </w:rPr>
      </w:pPr>
      <w:r w:rsidRPr="00D948C1">
        <w:rPr>
          <w:szCs w:val="24"/>
        </w:rPr>
        <w:tab/>
      </w:r>
      <w:r w:rsidR="000D5322" w:rsidRPr="00D948C1">
        <w:rPr>
          <w:szCs w:val="24"/>
        </w:rPr>
        <w:t xml:space="preserve">A financial instrument is a contract which gives rise to a financial asset of one entity and a financial liability or equity instrument of another entity. No-exchange transactions such as those relating to taxes and government grants do not give rise to financial instruments. </w:t>
      </w:r>
    </w:p>
    <w:p w14:paraId="242DCB94" w14:textId="77777777" w:rsidR="000D5322" w:rsidRPr="00D948C1" w:rsidRDefault="000D5322" w:rsidP="006C0086">
      <w:pPr>
        <w:spacing w:line="276" w:lineRule="auto"/>
        <w:ind w:left="709" w:hanging="709"/>
        <w:rPr>
          <w:szCs w:val="24"/>
        </w:rPr>
      </w:pPr>
    </w:p>
    <w:p w14:paraId="0BE7A2CB" w14:textId="02C96F10" w:rsidR="000D5322" w:rsidRPr="00D948C1" w:rsidRDefault="000D5322" w:rsidP="006C0086">
      <w:pPr>
        <w:spacing w:line="276" w:lineRule="auto"/>
        <w:ind w:firstLine="702"/>
        <w:rPr>
          <w:b/>
          <w:bCs/>
        </w:rPr>
      </w:pPr>
      <w:r w:rsidRPr="00D948C1">
        <w:rPr>
          <w:b/>
          <w:bCs/>
        </w:rPr>
        <w:t>Financial assets – balances</w:t>
      </w:r>
    </w:p>
    <w:p w14:paraId="505CF7CC" w14:textId="77777777" w:rsidR="000D5322" w:rsidRPr="00D948C1" w:rsidRDefault="000D5322" w:rsidP="006C0086">
      <w:pPr>
        <w:spacing w:line="276" w:lineRule="auto"/>
        <w:ind w:left="1411" w:hanging="709"/>
        <w:rPr>
          <w:b/>
          <w:szCs w:val="24"/>
        </w:rPr>
      </w:pPr>
    </w:p>
    <w:p w14:paraId="199B33D7" w14:textId="0B55445A" w:rsidR="000D5322" w:rsidRPr="00D948C1" w:rsidRDefault="000D5322" w:rsidP="006C0086">
      <w:pPr>
        <w:spacing w:line="276" w:lineRule="auto"/>
        <w:ind w:left="709" w:hanging="7"/>
        <w:rPr>
          <w:szCs w:val="24"/>
        </w:rPr>
      </w:pPr>
      <w:r w:rsidRPr="00D948C1">
        <w:rPr>
          <w:szCs w:val="24"/>
        </w:rPr>
        <w:t xml:space="preserve">A financial asset is a right to future economic benefits </w:t>
      </w:r>
      <w:r w:rsidR="00B817F8" w:rsidRPr="00D948C1">
        <w:rPr>
          <w:szCs w:val="24"/>
        </w:rPr>
        <w:t xml:space="preserve">controlled by the Authority that is represented by cash, equity instruments or a contractual right to receive cash or other financial assets or a right to exchange financial assets and liabilities with another entity that is potentially favourable to the Authority. The financial assets held by the Authority during the year are </w:t>
      </w:r>
      <w:r w:rsidR="00704891" w:rsidRPr="00D948C1">
        <w:rPr>
          <w:szCs w:val="24"/>
        </w:rPr>
        <w:t xml:space="preserve">all </w:t>
      </w:r>
      <w:r w:rsidR="00B817F8" w:rsidRPr="00D948C1">
        <w:rPr>
          <w:szCs w:val="24"/>
        </w:rPr>
        <w:t>accounted for under the amortised cost, comprising:</w:t>
      </w:r>
    </w:p>
    <w:p w14:paraId="722073B4" w14:textId="338B72DD" w:rsidR="00B817F8" w:rsidRPr="00D948C1" w:rsidRDefault="00B817F8" w:rsidP="006C0086">
      <w:pPr>
        <w:pStyle w:val="ListParagraph"/>
        <w:numPr>
          <w:ilvl w:val="1"/>
          <w:numId w:val="32"/>
        </w:numPr>
        <w:spacing w:line="276" w:lineRule="auto"/>
        <w:rPr>
          <w:szCs w:val="24"/>
        </w:rPr>
      </w:pPr>
      <w:r w:rsidRPr="00D948C1">
        <w:rPr>
          <w:szCs w:val="24"/>
        </w:rPr>
        <w:t>Investments, which are loans to other local authorities</w:t>
      </w:r>
      <w:r w:rsidR="000A40E3" w:rsidRPr="00D948C1">
        <w:rPr>
          <w:szCs w:val="24"/>
        </w:rPr>
        <w:t>.</w:t>
      </w:r>
    </w:p>
    <w:p w14:paraId="6203ADDC" w14:textId="07C25F21" w:rsidR="00B817F8" w:rsidRPr="00D948C1" w:rsidRDefault="00B817F8" w:rsidP="006C0086">
      <w:pPr>
        <w:pStyle w:val="ListParagraph"/>
        <w:numPr>
          <w:ilvl w:val="1"/>
          <w:numId w:val="32"/>
        </w:numPr>
        <w:spacing w:line="276" w:lineRule="auto"/>
        <w:rPr>
          <w:szCs w:val="24"/>
        </w:rPr>
      </w:pPr>
      <w:r w:rsidRPr="00D948C1">
        <w:rPr>
          <w:szCs w:val="24"/>
        </w:rPr>
        <w:t>Cash in hand and bank current and deposit accounts</w:t>
      </w:r>
      <w:r w:rsidR="000A40E3" w:rsidRPr="00D948C1">
        <w:rPr>
          <w:szCs w:val="24"/>
        </w:rPr>
        <w:t>.</w:t>
      </w:r>
    </w:p>
    <w:p w14:paraId="37A98BA3" w14:textId="1C7F4AC8" w:rsidR="00F74E7D" w:rsidRPr="00D948C1" w:rsidRDefault="00B817F8" w:rsidP="006C0086">
      <w:pPr>
        <w:pStyle w:val="ListParagraph"/>
        <w:numPr>
          <w:ilvl w:val="1"/>
          <w:numId w:val="32"/>
        </w:numPr>
        <w:spacing w:line="276" w:lineRule="auto"/>
        <w:rPr>
          <w:szCs w:val="24"/>
        </w:rPr>
      </w:pPr>
      <w:r w:rsidRPr="00D948C1">
        <w:rPr>
          <w:szCs w:val="24"/>
        </w:rPr>
        <w:t>Trade receivables for goods and services provided</w:t>
      </w:r>
      <w:r w:rsidR="000A40E3" w:rsidRPr="00D948C1">
        <w:rPr>
          <w:szCs w:val="24"/>
        </w:rPr>
        <w:t>.</w:t>
      </w:r>
    </w:p>
    <w:p w14:paraId="75FAE1C1" w14:textId="2BD2E75D" w:rsidR="00372872" w:rsidRPr="00D948C1" w:rsidRDefault="00372872" w:rsidP="006C0086">
      <w:pPr>
        <w:spacing w:line="276" w:lineRule="auto"/>
        <w:rPr>
          <w:szCs w:val="24"/>
        </w:rPr>
      </w:pPr>
    </w:p>
    <w:p w14:paraId="41BED5C5" w14:textId="7F3D83EC" w:rsidR="00B817F8" w:rsidRPr="00D948C1" w:rsidRDefault="00B817F8" w:rsidP="006C0086">
      <w:pPr>
        <w:spacing w:line="276" w:lineRule="auto"/>
        <w:ind w:left="702"/>
        <w:rPr>
          <w:szCs w:val="24"/>
        </w:rPr>
      </w:pPr>
      <w:r w:rsidRPr="00D948C1">
        <w:rPr>
          <w:szCs w:val="24"/>
        </w:rPr>
        <w:t>The financial assets disclosed in the Balance Sheet are analysed across the following categories:</w:t>
      </w:r>
    </w:p>
    <w:p w14:paraId="511BB0BF" w14:textId="77777777" w:rsidR="00D90216" w:rsidRPr="00D948C1" w:rsidRDefault="00D90216" w:rsidP="006C0086">
      <w:pPr>
        <w:spacing w:line="276" w:lineRule="auto"/>
        <w:rPr>
          <w:sz w:val="22"/>
          <w:szCs w:val="22"/>
        </w:rPr>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89"/>
        <w:gridCol w:w="1189"/>
        <w:gridCol w:w="1189"/>
        <w:gridCol w:w="1189"/>
      </w:tblGrid>
      <w:tr w:rsidR="002C07CF" w:rsidRPr="00D948C1" w14:paraId="1A16677D" w14:textId="77777777" w:rsidTr="007641BA">
        <w:trPr>
          <w:cantSplit/>
          <w:trHeight w:val="283"/>
          <w:tblHeader/>
        </w:trPr>
        <w:tc>
          <w:tcPr>
            <w:tcW w:w="4032" w:type="dxa"/>
            <w:shd w:val="clear" w:color="auto" w:fill="BD2716"/>
          </w:tcPr>
          <w:p w14:paraId="2E58627C" w14:textId="77777777" w:rsidR="002C07CF" w:rsidRPr="00D948C1" w:rsidRDefault="002C07CF" w:rsidP="006C0086">
            <w:pPr>
              <w:spacing w:line="276" w:lineRule="auto"/>
              <w:rPr>
                <w:color w:val="FFFFFF" w:themeColor="background1"/>
                <w:szCs w:val="24"/>
              </w:rPr>
            </w:pPr>
          </w:p>
        </w:tc>
        <w:tc>
          <w:tcPr>
            <w:tcW w:w="2378" w:type="dxa"/>
            <w:gridSpan w:val="2"/>
            <w:shd w:val="clear" w:color="auto" w:fill="BD2716"/>
            <w:vAlign w:val="center"/>
          </w:tcPr>
          <w:p w14:paraId="0FC6F362" w14:textId="2DFCB224" w:rsidR="002C07CF" w:rsidRPr="00D948C1" w:rsidRDefault="002C07CF" w:rsidP="006C0086">
            <w:pPr>
              <w:spacing w:line="276" w:lineRule="auto"/>
              <w:jc w:val="center"/>
              <w:rPr>
                <w:color w:val="FFFFFF" w:themeColor="background1"/>
                <w:szCs w:val="24"/>
              </w:rPr>
            </w:pPr>
            <w:r w:rsidRPr="00D948C1">
              <w:rPr>
                <w:color w:val="FFFFFF" w:themeColor="background1"/>
                <w:szCs w:val="24"/>
              </w:rPr>
              <w:t>Long-Term</w:t>
            </w:r>
          </w:p>
        </w:tc>
        <w:tc>
          <w:tcPr>
            <w:tcW w:w="2378" w:type="dxa"/>
            <w:gridSpan w:val="2"/>
            <w:shd w:val="clear" w:color="auto" w:fill="BD2716"/>
            <w:vAlign w:val="center"/>
          </w:tcPr>
          <w:p w14:paraId="5E73C340" w14:textId="610606B2" w:rsidR="002C07CF" w:rsidRPr="00D948C1" w:rsidRDefault="002C07CF" w:rsidP="006C0086">
            <w:pPr>
              <w:spacing w:line="276" w:lineRule="auto"/>
              <w:jc w:val="center"/>
              <w:rPr>
                <w:color w:val="FFFFFF" w:themeColor="background1"/>
                <w:szCs w:val="24"/>
              </w:rPr>
            </w:pPr>
            <w:r w:rsidRPr="00D948C1">
              <w:rPr>
                <w:color w:val="FFFFFF" w:themeColor="background1"/>
                <w:szCs w:val="24"/>
              </w:rPr>
              <w:t>Current</w:t>
            </w:r>
          </w:p>
        </w:tc>
      </w:tr>
      <w:tr w:rsidR="000960DE" w:rsidRPr="00D948C1" w14:paraId="7BC2AD3F" w14:textId="77777777" w:rsidTr="00611673">
        <w:trPr>
          <w:cantSplit/>
          <w:trHeight w:val="536"/>
          <w:tblHeader/>
        </w:trPr>
        <w:tc>
          <w:tcPr>
            <w:tcW w:w="4032" w:type="dxa"/>
            <w:shd w:val="clear" w:color="auto" w:fill="BD2716"/>
          </w:tcPr>
          <w:p w14:paraId="688CD5D6" w14:textId="77777777" w:rsidR="000960DE" w:rsidRPr="00D948C1" w:rsidRDefault="000960DE" w:rsidP="006C0086">
            <w:pPr>
              <w:spacing w:line="276" w:lineRule="auto"/>
              <w:rPr>
                <w:color w:val="FFFFFF" w:themeColor="background1"/>
                <w:szCs w:val="24"/>
              </w:rPr>
            </w:pPr>
          </w:p>
        </w:tc>
        <w:tc>
          <w:tcPr>
            <w:tcW w:w="1189" w:type="dxa"/>
            <w:shd w:val="clear" w:color="auto" w:fill="BD2716"/>
            <w:vAlign w:val="center"/>
          </w:tcPr>
          <w:p w14:paraId="4D8EFC4A" w14:textId="6B4FF066" w:rsidR="000960DE" w:rsidRPr="00D948C1" w:rsidRDefault="000960DE" w:rsidP="006C0086">
            <w:pPr>
              <w:spacing w:line="276" w:lineRule="auto"/>
              <w:jc w:val="right"/>
              <w:rPr>
                <w:color w:val="FFFFFF" w:themeColor="background1"/>
                <w:szCs w:val="24"/>
              </w:rPr>
            </w:pPr>
            <w:r w:rsidRPr="00D948C1">
              <w:rPr>
                <w:color w:val="FFFFFF" w:themeColor="background1"/>
                <w:szCs w:val="24"/>
              </w:rPr>
              <w:t>31 March 202</w:t>
            </w:r>
            <w:r w:rsidR="00C93FB3" w:rsidRPr="00D948C1">
              <w:rPr>
                <w:color w:val="FFFFFF" w:themeColor="background1"/>
                <w:szCs w:val="24"/>
              </w:rPr>
              <w:t>4</w:t>
            </w:r>
          </w:p>
          <w:p w14:paraId="7DF4721E" w14:textId="2B70C135"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5C77C3EC" w14:textId="7B43C072" w:rsidR="000960DE" w:rsidRPr="00D948C1" w:rsidRDefault="000960DE" w:rsidP="006C0086">
            <w:pPr>
              <w:spacing w:line="276" w:lineRule="auto"/>
              <w:jc w:val="right"/>
              <w:rPr>
                <w:color w:val="FFFFFF" w:themeColor="background1"/>
                <w:szCs w:val="24"/>
              </w:rPr>
            </w:pPr>
            <w:r w:rsidRPr="00D948C1">
              <w:rPr>
                <w:color w:val="FFFFFF" w:themeColor="background1"/>
                <w:szCs w:val="24"/>
              </w:rPr>
              <w:t>31 March 202</w:t>
            </w:r>
            <w:r w:rsidR="00C93FB3" w:rsidRPr="00D948C1">
              <w:rPr>
                <w:color w:val="FFFFFF" w:themeColor="background1"/>
                <w:szCs w:val="24"/>
              </w:rPr>
              <w:t>3</w:t>
            </w:r>
          </w:p>
          <w:p w14:paraId="25CAE103" w14:textId="25E939EE"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25EB3A08" w14:textId="5A089743" w:rsidR="000960DE" w:rsidRPr="00D948C1" w:rsidRDefault="000960DE" w:rsidP="006C0086">
            <w:pPr>
              <w:spacing w:line="276" w:lineRule="auto"/>
              <w:jc w:val="right"/>
              <w:rPr>
                <w:color w:val="FFFFFF" w:themeColor="background1"/>
                <w:szCs w:val="24"/>
              </w:rPr>
            </w:pPr>
            <w:r w:rsidRPr="00D948C1">
              <w:rPr>
                <w:color w:val="FFFFFF" w:themeColor="background1"/>
                <w:szCs w:val="24"/>
              </w:rPr>
              <w:t>31 March 202</w:t>
            </w:r>
            <w:r w:rsidR="00C93FB3" w:rsidRPr="00D948C1">
              <w:rPr>
                <w:color w:val="FFFFFF" w:themeColor="background1"/>
                <w:szCs w:val="24"/>
              </w:rPr>
              <w:t>4</w:t>
            </w:r>
          </w:p>
          <w:p w14:paraId="7326EA28" w14:textId="79A08BA2"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189" w:type="dxa"/>
            <w:shd w:val="clear" w:color="auto" w:fill="BD2716"/>
            <w:vAlign w:val="center"/>
          </w:tcPr>
          <w:p w14:paraId="37380238" w14:textId="09A6F730" w:rsidR="000960DE" w:rsidRPr="00D948C1" w:rsidRDefault="000960DE" w:rsidP="006C0086">
            <w:pPr>
              <w:spacing w:line="276" w:lineRule="auto"/>
              <w:jc w:val="right"/>
              <w:rPr>
                <w:color w:val="FFFFFF" w:themeColor="background1"/>
                <w:szCs w:val="24"/>
              </w:rPr>
            </w:pPr>
            <w:r w:rsidRPr="00D948C1">
              <w:rPr>
                <w:color w:val="FFFFFF" w:themeColor="background1"/>
                <w:szCs w:val="24"/>
              </w:rPr>
              <w:t>31 March 202</w:t>
            </w:r>
            <w:r w:rsidR="00C93FB3" w:rsidRPr="00D948C1">
              <w:rPr>
                <w:color w:val="FFFFFF" w:themeColor="background1"/>
                <w:szCs w:val="24"/>
              </w:rPr>
              <w:t>3</w:t>
            </w:r>
          </w:p>
          <w:p w14:paraId="36F1F7F8" w14:textId="47FEAD25"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r>
      <w:tr w:rsidR="001318F9" w:rsidRPr="00D948C1" w14:paraId="694A310C" w14:textId="77777777" w:rsidTr="006637EE">
        <w:trPr>
          <w:cantSplit/>
          <w:trHeight w:val="278"/>
        </w:trPr>
        <w:tc>
          <w:tcPr>
            <w:tcW w:w="4032" w:type="dxa"/>
            <w:vAlign w:val="center"/>
          </w:tcPr>
          <w:p w14:paraId="39AC845D" w14:textId="77777777" w:rsidR="001318F9" w:rsidRPr="00D948C1" w:rsidRDefault="001318F9" w:rsidP="006C0086">
            <w:pPr>
              <w:spacing w:line="276" w:lineRule="auto"/>
              <w:rPr>
                <w:szCs w:val="24"/>
              </w:rPr>
            </w:pPr>
            <w:r w:rsidRPr="00D948C1">
              <w:rPr>
                <w:szCs w:val="24"/>
              </w:rPr>
              <w:t>Investments</w:t>
            </w:r>
          </w:p>
        </w:tc>
        <w:tc>
          <w:tcPr>
            <w:tcW w:w="1189" w:type="dxa"/>
            <w:vAlign w:val="center"/>
          </w:tcPr>
          <w:p w14:paraId="2A5EBC5A" w14:textId="7036E9B8"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0F6C9700" w14:textId="70524707"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53E9875B" w14:textId="652DE260" w:rsidR="001318F9" w:rsidRPr="00D948C1" w:rsidRDefault="00797087" w:rsidP="006C0086">
            <w:pPr>
              <w:pStyle w:val="Footer"/>
              <w:tabs>
                <w:tab w:val="clear" w:pos="4153"/>
                <w:tab w:val="clear" w:pos="8306"/>
                <w:tab w:val="decimal" w:pos="576"/>
                <w:tab w:val="decimal" w:pos="1012"/>
              </w:tabs>
              <w:spacing w:line="276" w:lineRule="auto"/>
              <w:jc w:val="right"/>
              <w:rPr>
                <w:szCs w:val="24"/>
              </w:rPr>
            </w:pPr>
            <w:r w:rsidRPr="00D948C1">
              <w:rPr>
                <w:szCs w:val="24"/>
              </w:rPr>
              <w:t>23,500</w:t>
            </w:r>
          </w:p>
        </w:tc>
        <w:tc>
          <w:tcPr>
            <w:tcW w:w="1189" w:type="dxa"/>
            <w:shd w:val="clear" w:color="00FFFF" w:fill="auto"/>
            <w:vAlign w:val="center"/>
          </w:tcPr>
          <w:p w14:paraId="40FA9C47" w14:textId="776FBD1B" w:rsidR="001318F9" w:rsidRPr="00D948C1" w:rsidRDefault="001318F9" w:rsidP="006C0086">
            <w:pPr>
              <w:pStyle w:val="Footer"/>
              <w:tabs>
                <w:tab w:val="clear" w:pos="4153"/>
                <w:tab w:val="clear" w:pos="8306"/>
                <w:tab w:val="decimal" w:pos="576"/>
                <w:tab w:val="decimal" w:pos="1012"/>
              </w:tabs>
              <w:spacing w:line="276" w:lineRule="auto"/>
              <w:jc w:val="right"/>
              <w:rPr>
                <w:szCs w:val="24"/>
              </w:rPr>
            </w:pPr>
            <w:r w:rsidRPr="00D948C1">
              <w:rPr>
                <w:szCs w:val="24"/>
              </w:rPr>
              <w:t>15,000</w:t>
            </w:r>
          </w:p>
        </w:tc>
      </w:tr>
      <w:tr w:rsidR="001318F9" w:rsidRPr="00D948C1" w14:paraId="0815085C" w14:textId="77777777" w:rsidTr="006637EE">
        <w:trPr>
          <w:cantSplit/>
          <w:trHeight w:val="278"/>
        </w:trPr>
        <w:tc>
          <w:tcPr>
            <w:tcW w:w="4032" w:type="dxa"/>
            <w:vAlign w:val="center"/>
          </w:tcPr>
          <w:p w14:paraId="5E4890B8" w14:textId="77777777" w:rsidR="001318F9" w:rsidRPr="00D948C1" w:rsidDel="00075251" w:rsidRDefault="001318F9" w:rsidP="006C0086">
            <w:pPr>
              <w:spacing w:line="276" w:lineRule="auto"/>
              <w:rPr>
                <w:szCs w:val="24"/>
              </w:rPr>
            </w:pPr>
            <w:r w:rsidRPr="00D948C1">
              <w:rPr>
                <w:szCs w:val="24"/>
              </w:rPr>
              <w:t>Cash &amp; cash equivalents</w:t>
            </w:r>
          </w:p>
        </w:tc>
        <w:tc>
          <w:tcPr>
            <w:tcW w:w="1189" w:type="dxa"/>
            <w:vAlign w:val="center"/>
          </w:tcPr>
          <w:p w14:paraId="20E4CA3F" w14:textId="77777777"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042F9FD8" w14:textId="52FBDFAF"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3213C37D" w14:textId="4481D4A2" w:rsidR="001318F9" w:rsidRPr="00D948C1" w:rsidRDefault="008F1BC0" w:rsidP="006C0086">
            <w:pPr>
              <w:pStyle w:val="Footer"/>
              <w:tabs>
                <w:tab w:val="clear" w:pos="4153"/>
                <w:tab w:val="clear" w:pos="8306"/>
                <w:tab w:val="decimal" w:pos="576"/>
                <w:tab w:val="decimal" w:pos="1012"/>
              </w:tabs>
              <w:spacing w:line="276" w:lineRule="auto"/>
              <w:jc w:val="right"/>
              <w:rPr>
                <w:szCs w:val="24"/>
              </w:rPr>
            </w:pPr>
            <w:r w:rsidRPr="00D948C1">
              <w:rPr>
                <w:szCs w:val="24"/>
              </w:rPr>
              <w:t>4,297</w:t>
            </w:r>
          </w:p>
        </w:tc>
        <w:tc>
          <w:tcPr>
            <w:tcW w:w="1189" w:type="dxa"/>
            <w:shd w:val="clear" w:color="00FFFF" w:fill="auto"/>
            <w:vAlign w:val="center"/>
          </w:tcPr>
          <w:p w14:paraId="3B3F57B8" w14:textId="3DEC810D" w:rsidR="001318F9" w:rsidRPr="00D948C1" w:rsidRDefault="001318F9" w:rsidP="006C0086">
            <w:pPr>
              <w:pStyle w:val="Footer"/>
              <w:tabs>
                <w:tab w:val="clear" w:pos="4153"/>
                <w:tab w:val="clear" w:pos="8306"/>
                <w:tab w:val="decimal" w:pos="576"/>
                <w:tab w:val="decimal" w:pos="1012"/>
              </w:tabs>
              <w:spacing w:line="276" w:lineRule="auto"/>
              <w:jc w:val="right"/>
              <w:rPr>
                <w:szCs w:val="24"/>
              </w:rPr>
            </w:pPr>
            <w:r w:rsidRPr="00D948C1">
              <w:rPr>
                <w:szCs w:val="24"/>
              </w:rPr>
              <w:t>16,317</w:t>
            </w:r>
          </w:p>
        </w:tc>
      </w:tr>
      <w:tr w:rsidR="00797087" w:rsidRPr="00D948C1" w14:paraId="0EA97390" w14:textId="77777777" w:rsidTr="006637EE">
        <w:trPr>
          <w:cantSplit/>
          <w:trHeight w:val="278"/>
        </w:trPr>
        <w:tc>
          <w:tcPr>
            <w:tcW w:w="4032" w:type="dxa"/>
            <w:vAlign w:val="center"/>
          </w:tcPr>
          <w:p w14:paraId="02D9F20E" w14:textId="3EC9A736" w:rsidR="00797087" w:rsidRPr="00D948C1" w:rsidRDefault="00FA6F1C" w:rsidP="006C0086">
            <w:pPr>
              <w:spacing w:line="276" w:lineRule="auto"/>
              <w:rPr>
                <w:szCs w:val="24"/>
              </w:rPr>
            </w:pPr>
            <w:r w:rsidRPr="00D948C1">
              <w:rPr>
                <w:szCs w:val="24"/>
              </w:rPr>
              <w:t>Other trade receivables</w:t>
            </w:r>
          </w:p>
        </w:tc>
        <w:tc>
          <w:tcPr>
            <w:tcW w:w="1189" w:type="dxa"/>
            <w:vAlign w:val="center"/>
          </w:tcPr>
          <w:p w14:paraId="7E27B9C8" w14:textId="4942F471" w:rsidR="00797087" w:rsidRPr="00D948C1" w:rsidRDefault="00FA6F1C"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550F1E6D" w14:textId="28A869AB" w:rsidR="00797087" w:rsidRPr="00D948C1" w:rsidRDefault="00FA6F1C" w:rsidP="006C0086">
            <w:pPr>
              <w:pStyle w:val="Footer"/>
              <w:tabs>
                <w:tab w:val="clear" w:pos="4153"/>
                <w:tab w:val="clear" w:pos="8306"/>
                <w:tab w:val="decimal" w:pos="468"/>
              </w:tabs>
              <w:spacing w:line="276" w:lineRule="auto"/>
              <w:jc w:val="right"/>
              <w:rPr>
                <w:szCs w:val="24"/>
              </w:rPr>
            </w:pPr>
            <w:r w:rsidRPr="00D948C1">
              <w:rPr>
                <w:szCs w:val="24"/>
              </w:rPr>
              <w:t>-</w:t>
            </w:r>
          </w:p>
        </w:tc>
        <w:tc>
          <w:tcPr>
            <w:tcW w:w="1189" w:type="dxa"/>
            <w:shd w:val="clear" w:color="00FFFF" w:fill="auto"/>
            <w:vAlign w:val="center"/>
          </w:tcPr>
          <w:p w14:paraId="400F143D" w14:textId="6E6BE6AC" w:rsidR="00797087" w:rsidRPr="00D948C1" w:rsidRDefault="00FA6F1C" w:rsidP="006C0086">
            <w:pPr>
              <w:pStyle w:val="Footer"/>
              <w:tabs>
                <w:tab w:val="clear" w:pos="4153"/>
                <w:tab w:val="clear" w:pos="8306"/>
                <w:tab w:val="decimal" w:pos="576"/>
                <w:tab w:val="decimal" w:pos="1012"/>
              </w:tabs>
              <w:spacing w:line="276" w:lineRule="auto"/>
              <w:jc w:val="right"/>
              <w:rPr>
                <w:szCs w:val="24"/>
              </w:rPr>
            </w:pPr>
            <w:r w:rsidRPr="00D948C1">
              <w:rPr>
                <w:szCs w:val="24"/>
              </w:rPr>
              <w:t>1,</w:t>
            </w:r>
            <w:r w:rsidR="00B244AB" w:rsidRPr="00D948C1">
              <w:rPr>
                <w:szCs w:val="24"/>
              </w:rPr>
              <w:t>286</w:t>
            </w:r>
          </w:p>
        </w:tc>
        <w:tc>
          <w:tcPr>
            <w:tcW w:w="1189" w:type="dxa"/>
            <w:shd w:val="clear" w:color="00FFFF" w:fill="auto"/>
            <w:vAlign w:val="center"/>
          </w:tcPr>
          <w:p w14:paraId="1D883D6E" w14:textId="7D6D0D91" w:rsidR="00797087" w:rsidRPr="00D948C1" w:rsidRDefault="00FA6F1C" w:rsidP="006C0086">
            <w:pPr>
              <w:pStyle w:val="Footer"/>
              <w:tabs>
                <w:tab w:val="clear" w:pos="4153"/>
                <w:tab w:val="clear" w:pos="8306"/>
                <w:tab w:val="decimal" w:pos="576"/>
                <w:tab w:val="decimal" w:pos="1012"/>
              </w:tabs>
              <w:spacing w:line="276" w:lineRule="auto"/>
              <w:jc w:val="right"/>
              <w:rPr>
                <w:szCs w:val="24"/>
              </w:rPr>
            </w:pPr>
            <w:r w:rsidRPr="00D948C1">
              <w:rPr>
                <w:szCs w:val="24"/>
              </w:rPr>
              <w:t>1,555</w:t>
            </w:r>
          </w:p>
        </w:tc>
      </w:tr>
      <w:tr w:rsidR="00F06846" w:rsidRPr="00D948C1" w14:paraId="4E9232DC" w14:textId="77777777" w:rsidTr="006637EE">
        <w:trPr>
          <w:cantSplit/>
          <w:trHeight w:val="278"/>
        </w:trPr>
        <w:tc>
          <w:tcPr>
            <w:tcW w:w="4032" w:type="dxa"/>
            <w:vAlign w:val="center"/>
          </w:tcPr>
          <w:p w14:paraId="71E74DF9" w14:textId="62EA2546" w:rsidR="00F06846" w:rsidRPr="00D948C1" w:rsidRDefault="00F06846" w:rsidP="006C0086">
            <w:pPr>
              <w:spacing w:line="276" w:lineRule="auto"/>
              <w:rPr>
                <w:szCs w:val="24"/>
              </w:rPr>
            </w:pPr>
            <w:r>
              <w:rPr>
                <w:szCs w:val="24"/>
              </w:rPr>
              <w:t>Assets not defined as financial instruments</w:t>
            </w:r>
          </w:p>
        </w:tc>
        <w:tc>
          <w:tcPr>
            <w:tcW w:w="1189" w:type="dxa"/>
            <w:vAlign w:val="center"/>
          </w:tcPr>
          <w:p w14:paraId="51A73940" w14:textId="33CDC361" w:rsidR="00F06846" w:rsidRPr="00D948C1" w:rsidRDefault="00F06846" w:rsidP="006C0086">
            <w:pPr>
              <w:pStyle w:val="Footer"/>
              <w:tabs>
                <w:tab w:val="clear" w:pos="4153"/>
                <w:tab w:val="clear" w:pos="8306"/>
                <w:tab w:val="decimal" w:pos="468"/>
              </w:tabs>
              <w:spacing w:line="276" w:lineRule="auto"/>
              <w:jc w:val="right"/>
              <w:rPr>
                <w:szCs w:val="24"/>
              </w:rPr>
            </w:pPr>
            <w:r>
              <w:rPr>
                <w:szCs w:val="24"/>
              </w:rPr>
              <w:t>-</w:t>
            </w:r>
          </w:p>
        </w:tc>
        <w:tc>
          <w:tcPr>
            <w:tcW w:w="1189" w:type="dxa"/>
            <w:shd w:val="clear" w:color="00FFFF" w:fill="auto"/>
            <w:vAlign w:val="center"/>
          </w:tcPr>
          <w:p w14:paraId="174C2664" w14:textId="77CD3CD9" w:rsidR="00F06846" w:rsidRPr="00D948C1" w:rsidRDefault="00F06846" w:rsidP="006C0086">
            <w:pPr>
              <w:pStyle w:val="Footer"/>
              <w:tabs>
                <w:tab w:val="clear" w:pos="4153"/>
                <w:tab w:val="clear" w:pos="8306"/>
                <w:tab w:val="decimal" w:pos="468"/>
              </w:tabs>
              <w:spacing w:line="276" w:lineRule="auto"/>
              <w:jc w:val="right"/>
              <w:rPr>
                <w:szCs w:val="24"/>
              </w:rPr>
            </w:pPr>
            <w:r>
              <w:rPr>
                <w:szCs w:val="24"/>
              </w:rPr>
              <w:t>-</w:t>
            </w:r>
          </w:p>
        </w:tc>
        <w:tc>
          <w:tcPr>
            <w:tcW w:w="1189" w:type="dxa"/>
            <w:shd w:val="clear" w:color="00FFFF" w:fill="auto"/>
            <w:vAlign w:val="center"/>
          </w:tcPr>
          <w:p w14:paraId="5F699182" w14:textId="0287F1B6" w:rsidR="00F06846" w:rsidRPr="00D948C1" w:rsidRDefault="00F06846" w:rsidP="006C0086">
            <w:pPr>
              <w:pStyle w:val="Footer"/>
              <w:tabs>
                <w:tab w:val="clear" w:pos="4153"/>
                <w:tab w:val="clear" w:pos="8306"/>
                <w:tab w:val="decimal" w:pos="576"/>
                <w:tab w:val="decimal" w:pos="1012"/>
              </w:tabs>
              <w:spacing w:line="276" w:lineRule="auto"/>
              <w:jc w:val="right"/>
              <w:rPr>
                <w:szCs w:val="24"/>
              </w:rPr>
            </w:pPr>
            <w:r>
              <w:rPr>
                <w:szCs w:val="24"/>
              </w:rPr>
              <w:t>17,651</w:t>
            </w:r>
          </w:p>
        </w:tc>
        <w:tc>
          <w:tcPr>
            <w:tcW w:w="1189" w:type="dxa"/>
            <w:shd w:val="clear" w:color="00FFFF" w:fill="auto"/>
            <w:vAlign w:val="center"/>
          </w:tcPr>
          <w:p w14:paraId="7000177E" w14:textId="60A19DE6" w:rsidR="00F06846" w:rsidRPr="00D948C1" w:rsidRDefault="00F06846" w:rsidP="006C0086">
            <w:pPr>
              <w:pStyle w:val="Footer"/>
              <w:tabs>
                <w:tab w:val="clear" w:pos="4153"/>
                <w:tab w:val="clear" w:pos="8306"/>
                <w:tab w:val="decimal" w:pos="576"/>
                <w:tab w:val="decimal" w:pos="1012"/>
              </w:tabs>
              <w:spacing w:line="276" w:lineRule="auto"/>
              <w:jc w:val="right"/>
              <w:rPr>
                <w:szCs w:val="24"/>
              </w:rPr>
            </w:pPr>
            <w:r>
              <w:rPr>
                <w:szCs w:val="24"/>
              </w:rPr>
              <w:t>15,518</w:t>
            </w:r>
          </w:p>
        </w:tc>
      </w:tr>
    </w:tbl>
    <w:p w14:paraId="6EC974AE" w14:textId="34B38E0B" w:rsidR="003278CF" w:rsidRPr="00D948C1" w:rsidRDefault="003278CF" w:rsidP="006C0086">
      <w:pPr>
        <w:spacing w:line="276" w:lineRule="auto"/>
        <w:rPr>
          <w:b/>
          <w:bCs/>
        </w:rPr>
      </w:pPr>
    </w:p>
    <w:p w14:paraId="4FC83F89" w14:textId="624E3EBB" w:rsidR="00075251" w:rsidRPr="00D948C1" w:rsidRDefault="00075251" w:rsidP="006C0086">
      <w:pPr>
        <w:spacing w:line="276" w:lineRule="auto"/>
        <w:rPr>
          <w:b/>
          <w:bCs/>
        </w:rPr>
      </w:pPr>
      <w:r w:rsidRPr="00D948C1">
        <w:rPr>
          <w:b/>
          <w:bCs/>
        </w:rPr>
        <w:t>Financial liabilities – balances</w:t>
      </w:r>
    </w:p>
    <w:p w14:paraId="503A395E" w14:textId="77777777" w:rsidR="00075251" w:rsidRPr="00D948C1" w:rsidRDefault="00075251" w:rsidP="006C0086">
      <w:pPr>
        <w:spacing w:line="276" w:lineRule="auto"/>
        <w:ind w:left="720"/>
        <w:rPr>
          <w:szCs w:val="24"/>
        </w:rPr>
      </w:pPr>
    </w:p>
    <w:p w14:paraId="64B7B9BE" w14:textId="77777777" w:rsidR="00704891" w:rsidRPr="00D948C1" w:rsidRDefault="00075251" w:rsidP="006C0086">
      <w:pPr>
        <w:spacing w:line="276" w:lineRule="auto"/>
        <w:ind w:left="720"/>
        <w:rPr>
          <w:szCs w:val="24"/>
        </w:rPr>
      </w:pPr>
      <w:r w:rsidRPr="00D948C1">
        <w:rPr>
          <w:szCs w:val="24"/>
        </w:rPr>
        <w:t xml:space="preserve">A financial liability is an obligation to transfer economic benefits controlled by the Authority and can be represented by a contractual obligation to deliver cash or financial assets or an obligation to exchange financial assets and liabilities </w:t>
      </w:r>
      <w:r w:rsidR="00704891" w:rsidRPr="00D948C1">
        <w:rPr>
          <w:szCs w:val="24"/>
        </w:rPr>
        <w:t>with another entity that is potentially unfavourable to the Authority.</w:t>
      </w:r>
    </w:p>
    <w:p w14:paraId="775D8BC1" w14:textId="77777777" w:rsidR="00704891" w:rsidRPr="00D948C1" w:rsidRDefault="00704891" w:rsidP="006C0086">
      <w:pPr>
        <w:spacing w:line="276" w:lineRule="auto"/>
        <w:ind w:left="720"/>
        <w:rPr>
          <w:szCs w:val="24"/>
        </w:rPr>
      </w:pPr>
    </w:p>
    <w:p w14:paraId="5AC7743B" w14:textId="1E0B933D" w:rsidR="00DE45AC" w:rsidRPr="00D948C1" w:rsidRDefault="006B123C" w:rsidP="006C0086">
      <w:pPr>
        <w:spacing w:line="276" w:lineRule="auto"/>
        <w:ind w:left="720"/>
        <w:rPr>
          <w:szCs w:val="24"/>
        </w:rPr>
      </w:pPr>
      <w:r w:rsidRPr="00D948C1">
        <w:rPr>
          <w:szCs w:val="24"/>
        </w:rPr>
        <w:t>All</w:t>
      </w:r>
      <w:r w:rsidR="00704891" w:rsidRPr="00D948C1">
        <w:rPr>
          <w:szCs w:val="24"/>
        </w:rPr>
        <w:t xml:space="preserve"> the </w:t>
      </w:r>
      <w:r w:rsidR="00DE45AC" w:rsidRPr="00D948C1">
        <w:rPr>
          <w:szCs w:val="24"/>
        </w:rPr>
        <w:t>Authority’s financial liabilities held during the year are measured at amortised cost, and comprise:</w:t>
      </w:r>
    </w:p>
    <w:p w14:paraId="30C2E4DC" w14:textId="093EE955" w:rsidR="00075251" w:rsidRPr="00D948C1" w:rsidRDefault="00DE45AC" w:rsidP="006C0086">
      <w:pPr>
        <w:pStyle w:val="ListParagraph"/>
        <w:numPr>
          <w:ilvl w:val="1"/>
          <w:numId w:val="32"/>
        </w:numPr>
        <w:spacing w:line="276" w:lineRule="auto"/>
        <w:rPr>
          <w:szCs w:val="24"/>
        </w:rPr>
      </w:pPr>
      <w:r w:rsidRPr="00D948C1">
        <w:rPr>
          <w:szCs w:val="24"/>
        </w:rPr>
        <w:t>Long</w:t>
      </w:r>
      <w:r w:rsidR="00A16368" w:rsidRPr="00D948C1">
        <w:rPr>
          <w:szCs w:val="24"/>
        </w:rPr>
        <w:t>-</w:t>
      </w:r>
      <w:r w:rsidRPr="00D948C1">
        <w:rPr>
          <w:szCs w:val="24"/>
        </w:rPr>
        <w:t>term loans from the Public Work Loans Board</w:t>
      </w:r>
      <w:r w:rsidR="00E1098A">
        <w:rPr>
          <w:szCs w:val="24"/>
        </w:rPr>
        <w:t xml:space="preserve"> (PWLB).</w:t>
      </w:r>
    </w:p>
    <w:p w14:paraId="3FD29534" w14:textId="67A3467A" w:rsidR="00DE45AC" w:rsidRPr="00D948C1" w:rsidRDefault="00DE45AC" w:rsidP="006C0086">
      <w:pPr>
        <w:pStyle w:val="ListParagraph"/>
        <w:numPr>
          <w:ilvl w:val="1"/>
          <w:numId w:val="32"/>
        </w:numPr>
        <w:spacing w:line="276" w:lineRule="auto"/>
        <w:rPr>
          <w:szCs w:val="24"/>
        </w:rPr>
      </w:pPr>
      <w:r w:rsidRPr="00D948C1">
        <w:rPr>
          <w:szCs w:val="24"/>
        </w:rPr>
        <w:t xml:space="preserve">Private Finance Initiative (PFI) contracts, detailed in </w:t>
      </w:r>
      <w:hyperlink w:anchor="N14" w:history="1">
        <w:r w:rsidR="007C0372" w:rsidRPr="00D948C1">
          <w:rPr>
            <w:rStyle w:val="Hyperlink"/>
            <w:szCs w:val="24"/>
          </w:rPr>
          <w:t>N</w:t>
        </w:r>
        <w:r w:rsidRPr="00D948C1">
          <w:rPr>
            <w:rStyle w:val="Hyperlink"/>
            <w:szCs w:val="24"/>
          </w:rPr>
          <w:t>ote 14</w:t>
        </w:r>
      </w:hyperlink>
      <w:r w:rsidR="000A40E3" w:rsidRPr="00D948C1">
        <w:rPr>
          <w:szCs w:val="24"/>
        </w:rPr>
        <w:t>.</w:t>
      </w:r>
    </w:p>
    <w:p w14:paraId="0CB2B819" w14:textId="62E27CB2" w:rsidR="00DE45AC" w:rsidRPr="00D948C1" w:rsidRDefault="00DE45AC" w:rsidP="006C0086">
      <w:pPr>
        <w:pStyle w:val="ListParagraph"/>
        <w:numPr>
          <w:ilvl w:val="1"/>
          <w:numId w:val="32"/>
        </w:numPr>
        <w:spacing w:line="276" w:lineRule="auto"/>
        <w:rPr>
          <w:szCs w:val="24"/>
        </w:rPr>
      </w:pPr>
      <w:r w:rsidRPr="00D948C1">
        <w:rPr>
          <w:szCs w:val="24"/>
        </w:rPr>
        <w:t>Lease payables</w:t>
      </w:r>
      <w:r w:rsidR="000A40E3" w:rsidRPr="00D948C1">
        <w:rPr>
          <w:szCs w:val="24"/>
        </w:rPr>
        <w:t>.</w:t>
      </w:r>
    </w:p>
    <w:p w14:paraId="3F4D4025" w14:textId="25D69128" w:rsidR="00DE45AC" w:rsidRPr="00D948C1" w:rsidRDefault="00DE45AC" w:rsidP="006C0086">
      <w:pPr>
        <w:pStyle w:val="ListParagraph"/>
        <w:numPr>
          <w:ilvl w:val="1"/>
          <w:numId w:val="32"/>
        </w:numPr>
        <w:spacing w:line="276" w:lineRule="auto"/>
        <w:rPr>
          <w:szCs w:val="24"/>
        </w:rPr>
      </w:pPr>
      <w:r w:rsidRPr="00D948C1">
        <w:rPr>
          <w:szCs w:val="24"/>
        </w:rPr>
        <w:t>Trade payables for goods and services received</w:t>
      </w:r>
      <w:r w:rsidR="000A40E3" w:rsidRPr="00D948C1">
        <w:rPr>
          <w:szCs w:val="24"/>
        </w:rPr>
        <w:t>.</w:t>
      </w:r>
    </w:p>
    <w:p w14:paraId="11A2939A" w14:textId="77777777" w:rsidR="00075251" w:rsidRPr="00D948C1" w:rsidRDefault="00075251" w:rsidP="006C0086">
      <w:pPr>
        <w:spacing w:line="276" w:lineRule="auto"/>
        <w:ind w:left="720"/>
        <w:jc w:val="both"/>
        <w:rPr>
          <w:sz w:val="22"/>
          <w:szCs w:val="22"/>
        </w:rPr>
      </w:pPr>
    </w:p>
    <w:tbl>
      <w:tblPr>
        <w:tblW w:w="86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134"/>
        <w:gridCol w:w="1134"/>
        <w:gridCol w:w="1134"/>
        <w:gridCol w:w="1134"/>
      </w:tblGrid>
      <w:tr w:rsidR="00300384" w:rsidRPr="00D948C1" w14:paraId="6756AB65" w14:textId="77777777" w:rsidTr="007641BA">
        <w:trPr>
          <w:cantSplit/>
          <w:trHeight w:val="382"/>
          <w:tblHeader/>
        </w:trPr>
        <w:tc>
          <w:tcPr>
            <w:tcW w:w="4110" w:type="dxa"/>
            <w:shd w:val="clear" w:color="auto" w:fill="BD2716"/>
            <w:vAlign w:val="center"/>
          </w:tcPr>
          <w:p w14:paraId="25052B5A" w14:textId="77777777" w:rsidR="00300384" w:rsidRPr="00D948C1" w:rsidRDefault="00300384" w:rsidP="006C0086">
            <w:pPr>
              <w:tabs>
                <w:tab w:val="left" w:pos="0"/>
              </w:tabs>
              <w:spacing w:line="276" w:lineRule="auto"/>
              <w:rPr>
                <w:color w:val="FFFFFF" w:themeColor="background1"/>
                <w:szCs w:val="24"/>
              </w:rPr>
            </w:pPr>
          </w:p>
        </w:tc>
        <w:tc>
          <w:tcPr>
            <w:tcW w:w="2268" w:type="dxa"/>
            <w:gridSpan w:val="2"/>
            <w:shd w:val="clear" w:color="auto" w:fill="BD2716"/>
            <w:vAlign w:val="center"/>
          </w:tcPr>
          <w:p w14:paraId="559779A8" w14:textId="6CD7161B" w:rsidR="00300384" w:rsidRPr="00D948C1" w:rsidRDefault="00300384" w:rsidP="006C0086">
            <w:pPr>
              <w:pStyle w:val="Footer"/>
              <w:tabs>
                <w:tab w:val="clear" w:pos="4153"/>
                <w:tab w:val="clear" w:pos="8306"/>
                <w:tab w:val="decimal" w:pos="468"/>
              </w:tabs>
              <w:spacing w:line="276" w:lineRule="auto"/>
              <w:jc w:val="center"/>
              <w:rPr>
                <w:color w:val="FFFFFF" w:themeColor="background1"/>
                <w:szCs w:val="24"/>
              </w:rPr>
            </w:pPr>
            <w:r w:rsidRPr="00D948C1">
              <w:rPr>
                <w:color w:val="FFFFFF" w:themeColor="background1"/>
                <w:szCs w:val="24"/>
              </w:rPr>
              <w:t>Long-Term</w:t>
            </w:r>
          </w:p>
        </w:tc>
        <w:tc>
          <w:tcPr>
            <w:tcW w:w="2268" w:type="dxa"/>
            <w:gridSpan w:val="2"/>
            <w:shd w:val="clear" w:color="auto" w:fill="BD2716"/>
            <w:vAlign w:val="center"/>
          </w:tcPr>
          <w:p w14:paraId="4F78C627" w14:textId="7F47C8C9" w:rsidR="00300384" w:rsidRPr="00D948C1" w:rsidRDefault="00300384" w:rsidP="006C0086">
            <w:pPr>
              <w:pStyle w:val="Footer"/>
              <w:tabs>
                <w:tab w:val="clear" w:pos="4153"/>
                <w:tab w:val="clear" w:pos="8306"/>
                <w:tab w:val="decimal" w:pos="468"/>
              </w:tabs>
              <w:spacing w:line="276" w:lineRule="auto"/>
              <w:jc w:val="center"/>
              <w:rPr>
                <w:color w:val="FFFFFF" w:themeColor="background1"/>
                <w:szCs w:val="24"/>
              </w:rPr>
            </w:pPr>
            <w:r w:rsidRPr="00D948C1">
              <w:rPr>
                <w:color w:val="FFFFFF" w:themeColor="background1"/>
                <w:szCs w:val="24"/>
              </w:rPr>
              <w:t>Current</w:t>
            </w:r>
          </w:p>
        </w:tc>
      </w:tr>
      <w:tr w:rsidR="001318F9" w:rsidRPr="00D948C1" w14:paraId="311D1C2B" w14:textId="77777777" w:rsidTr="00611673">
        <w:trPr>
          <w:cantSplit/>
          <w:trHeight w:val="382"/>
          <w:tblHeader/>
        </w:trPr>
        <w:tc>
          <w:tcPr>
            <w:tcW w:w="4110" w:type="dxa"/>
            <w:shd w:val="clear" w:color="auto" w:fill="BD2716"/>
            <w:vAlign w:val="center"/>
          </w:tcPr>
          <w:p w14:paraId="02FA2ABF" w14:textId="77777777" w:rsidR="001318F9" w:rsidRPr="00D948C1" w:rsidRDefault="001318F9" w:rsidP="006C0086">
            <w:pPr>
              <w:tabs>
                <w:tab w:val="left" w:pos="0"/>
              </w:tabs>
              <w:spacing w:line="276" w:lineRule="auto"/>
              <w:rPr>
                <w:color w:val="FFFFFF" w:themeColor="background1"/>
                <w:szCs w:val="24"/>
              </w:rPr>
            </w:pPr>
          </w:p>
        </w:tc>
        <w:tc>
          <w:tcPr>
            <w:tcW w:w="1134" w:type="dxa"/>
            <w:shd w:val="clear" w:color="auto" w:fill="BD2716"/>
            <w:vAlign w:val="center"/>
          </w:tcPr>
          <w:p w14:paraId="4842D51E" w14:textId="77777777" w:rsidR="001318F9" w:rsidRPr="00D948C1" w:rsidRDefault="001318F9" w:rsidP="006C0086">
            <w:pPr>
              <w:spacing w:line="276" w:lineRule="auto"/>
              <w:jc w:val="right"/>
              <w:rPr>
                <w:color w:val="FFFFFF" w:themeColor="background1"/>
                <w:szCs w:val="24"/>
              </w:rPr>
            </w:pPr>
            <w:r w:rsidRPr="00D948C1">
              <w:rPr>
                <w:color w:val="FFFFFF" w:themeColor="background1"/>
                <w:szCs w:val="24"/>
              </w:rPr>
              <w:t>31 March 2024</w:t>
            </w:r>
          </w:p>
          <w:p w14:paraId="524687D3" w14:textId="46F6CE31" w:rsidR="001318F9" w:rsidRPr="00D948C1" w:rsidRDefault="001318F9"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12C6D76C" w14:textId="77777777" w:rsidR="001318F9" w:rsidRPr="00D948C1" w:rsidRDefault="001318F9" w:rsidP="006C0086">
            <w:pPr>
              <w:spacing w:line="276" w:lineRule="auto"/>
              <w:jc w:val="right"/>
              <w:rPr>
                <w:color w:val="FFFFFF" w:themeColor="background1"/>
                <w:szCs w:val="24"/>
              </w:rPr>
            </w:pPr>
            <w:r w:rsidRPr="00D948C1">
              <w:rPr>
                <w:color w:val="FFFFFF" w:themeColor="background1"/>
                <w:szCs w:val="24"/>
              </w:rPr>
              <w:t>31 March 2023</w:t>
            </w:r>
          </w:p>
          <w:p w14:paraId="76D58A76" w14:textId="71430BA5" w:rsidR="001318F9" w:rsidRPr="00D948C1" w:rsidRDefault="001318F9"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0B00E70" w14:textId="77777777" w:rsidR="001318F9" w:rsidRPr="00D948C1" w:rsidRDefault="001318F9" w:rsidP="006C0086">
            <w:pPr>
              <w:spacing w:line="276" w:lineRule="auto"/>
              <w:jc w:val="right"/>
              <w:rPr>
                <w:color w:val="FFFFFF" w:themeColor="background1"/>
                <w:szCs w:val="24"/>
              </w:rPr>
            </w:pPr>
            <w:r w:rsidRPr="00D948C1">
              <w:rPr>
                <w:color w:val="FFFFFF" w:themeColor="background1"/>
                <w:szCs w:val="24"/>
              </w:rPr>
              <w:t>31 March 2024</w:t>
            </w:r>
          </w:p>
          <w:p w14:paraId="792DB56B" w14:textId="6D26A5DE" w:rsidR="001318F9" w:rsidRPr="00D948C1" w:rsidRDefault="001318F9"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2CB31B2C" w14:textId="77777777" w:rsidR="001318F9" w:rsidRPr="00D948C1" w:rsidRDefault="001318F9" w:rsidP="006C0086">
            <w:pPr>
              <w:spacing w:line="276" w:lineRule="auto"/>
              <w:jc w:val="right"/>
              <w:rPr>
                <w:color w:val="FFFFFF" w:themeColor="background1"/>
                <w:szCs w:val="24"/>
              </w:rPr>
            </w:pPr>
            <w:r w:rsidRPr="00D948C1">
              <w:rPr>
                <w:color w:val="FFFFFF" w:themeColor="background1"/>
                <w:szCs w:val="24"/>
              </w:rPr>
              <w:t>31 March 2023</w:t>
            </w:r>
          </w:p>
          <w:p w14:paraId="6995C114" w14:textId="6E262BB1" w:rsidR="001318F9" w:rsidRPr="00D948C1" w:rsidRDefault="001318F9" w:rsidP="006C0086">
            <w:pPr>
              <w:spacing w:line="276" w:lineRule="auto"/>
              <w:jc w:val="right"/>
              <w:rPr>
                <w:color w:val="FFFFFF" w:themeColor="background1"/>
                <w:szCs w:val="24"/>
              </w:rPr>
            </w:pPr>
            <w:r w:rsidRPr="00D948C1">
              <w:rPr>
                <w:color w:val="FFFFFF" w:themeColor="background1"/>
                <w:szCs w:val="24"/>
              </w:rPr>
              <w:t>£000</w:t>
            </w:r>
          </w:p>
        </w:tc>
      </w:tr>
      <w:tr w:rsidR="001318F9" w:rsidRPr="00D948C1" w14:paraId="24F64002" w14:textId="77777777" w:rsidTr="006637EE">
        <w:trPr>
          <w:cantSplit/>
          <w:trHeight w:val="278"/>
        </w:trPr>
        <w:tc>
          <w:tcPr>
            <w:tcW w:w="4110" w:type="dxa"/>
            <w:vAlign w:val="center"/>
          </w:tcPr>
          <w:p w14:paraId="6DA354B3" w14:textId="77777777" w:rsidR="001318F9" w:rsidRPr="00D948C1" w:rsidRDefault="001318F9" w:rsidP="006C0086">
            <w:pPr>
              <w:tabs>
                <w:tab w:val="left" w:pos="0"/>
              </w:tabs>
              <w:spacing w:line="276" w:lineRule="auto"/>
              <w:rPr>
                <w:szCs w:val="24"/>
              </w:rPr>
            </w:pPr>
            <w:r w:rsidRPr="00D948C1">
              <w:rPr>
                <w:szCs w:val="24"/>
              </w:rPr>
              <w:t>Borrowings</w:t>
            </w:r>
          </w:p>
        </w:tc>
        <w:tc>
          <w:tcPr>
            <w:tcW w:w="1134" w:type="dxa"/>
            <w:vAlign w:val="center"/>
          </w:tcPr>
          <w:p w14:paraId="2DF5495F" w14:textId="74D969D0"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2,000</w:t>
            </w:r>
          </w:p>
        </w:tc>
        <w:tc>
          <w:tcPr>
            <w:tcW w:w="1134" w:type="dxa"/>
            <w:vAlign w:val="center"/>
          </w:tcPr>
          <w:p w14:paraId="360C7C2E" w14:textId="467E7DF1"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2,000</w:t>
            </w:r>
          </w:p>
        </w:tc>
        <w:tc>
          <w:tcPr>
            <w:tcW w:w="1134" w:type="dxa"/>
            <w:shd w:val="clear" w:color="00FFFF" w:fill="auto"/>
            <w:vAlign w:val="center"/>
          </w:tcPr>
          <w:p w14:paraId="1804D32B" w14:textId="50B50E9D"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22</w:t>
            </w:r>
          </w:p>
        </w:tc>
        <w:tc>
          <w:tcPr>
            <w:tcW w:w="1134" w:type="dxa"/>
            <w:shd w:val="clear" w:color="00FFFF" w:fill="auto"/>
            <w:vAlign w:val="center"/>
          </w:tcPr>
          <w:p w14:paraId="0C25E607" w14:textId="52B12549" w:rsidR="001318F9" w:rsidRPr="00D948C1" w:rsidRDefault="001318F9" w:rsidP="006C0086">
            <w:pPr>
              <w:pStyle w:val="Footer"/>
              <w:tabs>
                <w:tab w:val="clear" w:pos="4153"/>
                <w:tab w:val="clear" w:pos="8306"/>
                <w:tab w:val="decimal" w:pos="468"/>
              </w:tabs>
              <w:spacing w:line="276" w:lineRule="auto"/>
              <w:jc w:val="right"/>
              <w:rPr>
                <w:szCs w:val="24"/>
              </w:rPr>
            </w:pPr>
            <w:r w:rsidRPr="00D948C1">
              <w:rPr>
                <w:szCs w:val="24"/>
              </w:rPr>
              <w:t>22</w:t>
            </w:r>
          </w:p>
        </w:tc>
      </w:tr>
      <w:tr w:rsidR="001318F9" w:rsidRPr="00D948C1" w14:paraId="62911E66" w14:textId="77777777" w:rsidTr="006637EE">
        <w:trPr>
          <w:cantSplit/>
          <w:trHeight w:val="278"/>
        </w:trPr>
        <w:tc>
          <w:tcPr>
            <w:tcW w:w="4110" w:type="dxa"/>
            <w:vAlign w:val="center"/>
          </w:tcPr>
          <w:p w14:paraId="741D263E" w14:textId="3F72E394" w:rsidR="001318F9" w:rsidRPr="00D948C1" w:rsidRDefault="0076078A" w:rsidP="006C0086">
            <w:pPr>
              <w:spacing w:line="276" w:lineRule="auto"/>
              <w:rPr>
                <w:szCs w:val="24"/>
              </w:rPr>
            </w:pPr>
            <w:r>
              <w:rPr>
                <w:szCs w:val="24"/>
              </w:rPr>
              <w:t xml:space="preserve">Private Finance Initiative </w:t>
            </w:r>
            <w:r w:rsidR="001318F9" w:rsidRPr="00D948C1">
              <w:rPr>
                <w:szCs w:val="24"/>
              </w:rPr>
              <w:t>and finance lease arrangements</w:t>
            </w:r>
          </w:p>
        </w:tc>
        <w:tc>
          <w:tcPr>
            <w:tcW w:w="1134" w:type="dxa"/>
            <w:vAlign w:val="center"/>
          </w:tcPr>
          <w:p w14:paraId="1D5113C8" w14:textId="1B9DBAE8" w:rsidR="001318F9" w:rsidRPr="00D948C1" w:rsidRDefault="001318F9" w:rsidP="006C0086">
            <w:pPr>
              <w:pStyle w:val="Footer"/>
              <w:tabs>
                <w:tab w:val="clear" w:pos="4153"/>
                <w:tab w:val="clear" w:pos="8306"/>
                <w:tab w:val="decimal" w:pos="435"/>
              </w:tabs>
              <w:spacing w:line="276" w:lineRule="auto"/>
              <w:jc w:val="right"/>
              <w:rPr>
                <w:szCs w:val="24"/>
              </w:rPr>
            </w:pPr>
            <w:r w:rsidRPr="00D948C1">
              <w:rPr>
                <w:szCs w:val="24"/>
              </w:rPr>
              <w:t>11,</w:t>
            </w:r>
            <w:r w:rsidR="00800A5C" w:rsidRPr="00D948C1">
              <w:rPr>
                <w:szCs w:val="24"/>
              </w:rPr>
              <w:t>379</w:t>
            </w:r>
          </w:p>
        </w:tc>
        <w:tc>
          <w:tcPr>
            <w:tcW w:w="1134" w:type="dxa"/>
            <w:vAlign w:val="center"/>
          </w:tcPr>
          <w:p w14:paraId="4A70B1DA" w14:textId="417033BF"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11,913</w:t>
            </w:r>
          </w:p>
        </w:tc>
        <w:tc>
          <w:tcPr>
            <w:tcW w:w="1134" w:type="dxa"/>
            <w:shd w:val="clear" w:color="00FFFF" w:fill="auto"/>
            <w:vAlign w:val="center"/>
          </w:tcPr>
          <w:p w14:paraId="6063DC00" w14:textId="6F2AD53A" w:rsidR="00296673" w:rsidRPr="00D948C1" w:rsidRDefault="001318F9" w:rsidP="006C0086">
            <w:pPr>
              <w:pStyle w:val="Footer"/>
              <w:tabs>
                <w:tab w:val="clear" w:pos="4153"/>
                <w:tab w:val="clear" w:pos="8306"/>
                <w:tab w:val="decimal" w:pos="435"/>
              </w:tabs>
              <w:spacing w:line="276" w:lineRule="auto"/>
              <w:jc w:val="right"/>
              <w:rPr>
                <w:szCs w:val="24"/>
              </w:rPr>
            </w:pPr>
            <w:r w:rsidRPr="00D948C1">
              <w:rPr>
                <w:szCs w:val="24"/>
              </w:rPr>
              <w:t>5</w:t>
            </w:r>
            <w:r w:rsidR="00296673" w:rsidRPr="00D948C1">
              <w:rPr>
                <w:szCs w:val="24"/>
              </w:rPr>
              <w:t>33</w:t>
            </w:r>
          </w:p>
        </w:tc>
        <w:tc>
          <w:tcPr>
            <w:tcW w:w="1134" w:type="dxa"/>
            <w:shd w:val="clear" w:color="00FFFF" w:fill="auto"/>
            <w:vAlign w:val="center"/>
          </w:tcPr>
          <w:p w14:paraId="71FBC3BD" w14:textId="4D5E105B" w:rsidR="001318F9" w:rsidRPr="00D948C1" w:rsidRDefault="001318F9" w:rsidP="006C0086">
            <w:pPr>
              <w:pStyle w:val="Footer"/>
              <w:tabs>
                <w:tab w:val="clear" w:pos="4153"/>
                <w:tab w:val="clear" w:pos="8306"/>
                <w:tab w:val="decimal" w:pos="435"/>
              </w:tabs>
              <w:spacing w:line="276" w:lineRule="auto"/>
              <w:jc w:val="right"/>
              <w:rPr>
                <w:szCs w:val="24"/>
              </w:rPr>
            </w:pPr>
            <w:r w:rsidRPr="00D948C1">
              <w:rPr>
                <w:szCs w:val="24"/>
              </w:rPr>
              <w:t>522</w:t>
            </w:r>
          </w:p>
        </w:tc>
      </w:tr>
      <w:tr w:rsidR="001318F9" w:rsidRPr="00D948C1" w14:paraId="12E05914" w14:textId="77777777" w:rsidTr="006637EE">
        <w:trPr>
          <w:cantSplit/>
          <w:trHeight w:val="278"/>
        </w:trPr>
        <w:tc>
          <w:tcPr>
            <w:tcW w:w="4110" w:type="dxa"/>
            <w:vAlign w:val="center"/>
          </w:tcPr>
          <w:p w14:paraId="0A8A0ADE" w14:textId="77777777" w:rsidR="001318F9" w:rsidRPr="00D948C1" w:rsidRDefault="001318F9" w:rsidP="006C0086">
            <w:pPr>
              <w:spacing w:line="276" w:lineRule="auto"/>
              <w:rPr>
                <w:szCs w:val="24"/>
              </w:rPr>
            </w:pPr>
            <w:r w:rsidRPr="00D948C1">
              <w:rPr>
                <w:szCs w:val="24"/>
              </w:rPr>
              <w:t>Trade payables</w:t>
            </w:r>
          </w:p>
        </w:tc>
        <w:tc>
          <w:tcPr>
            <w:tcW w:w="1134" w:type="dxa"/>
            <w:vAlign w:val="center"/>
          </w:tcPr>
          <w:p w14:paraId="6CCF99D2" w14:textId="77777777" w:rsidR="001318F9" w:rsidRPr="00D948C1" w:rsidRDefault="001318F9" w:rsidP="006C0086">
            <w:pPr>
              <w:pStyle w:val="Footer"/>
              <w:tabs>
                <w:tab w:val="clear" w:pos="4153"/>
                <w:tab w:val="clear" w:pos="8306"/>
                <w:tab w:val="decimal" w:pos="435"/>
              </w:tabs>
              <w:spacing w:line="276" w:lineRule="auto"/>
              <w:jc w:val="right"/>
              <w:rPr>
                <w:szCs w:val="24"/>
              </w:rPr>
            </w:pPr>
            <w:r w:rsidRPr="00D948C1">
              <w:rPr>
                <w:szCs w:val="24"/>
              </w:rPr>
              <w:t>-</w:t>
            </w:r>
          </w:p>
        </w:tc>
        <w:tc>
          <w:tcPr>
            <w:tcW w:w="1134" w:type="dxa"/>
            <w:vAlign w:val="center"/>
          </w:tcPr>
          <w:p w14:paraId="734D0FD0" w14:textId="65E9B695"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w:t>
            </w:r>
          </w:p>
        </w:tc>
        <w:tc>
          <w:tcPr>
            <w:tcW w:w="1134" w:type="dxa"/>
            <w:shd w:val="clear" w:color="00FFFF" w:fill="auto"/>
            <w:vAlign w:val="center"/>
          </w:tcPr>
          <w:p w14:paraId="6E648895" w14:textId="16E8497D" w:rsidR="001318F9" w:rsidRPr="00D948C1" w:rsidRDefault="00296673" w:rsidP="006C0086">
            <w:pPr>
              <w:pStyle w:val="Footer"/>
              <w:tabs>
                <w:tab w:val="clear" w:pos="4153"/>
                <w:tab w:val="clear" w:pos="8306"/>
                <w:tab w:val="decimal" w:pos="435"/>
              </w:tabs>
              <w:spacing w:line="276" w:lineRule="auto"/>
              <w:jc w:val="right"/>
              <w:rPr>
                <w:szCs w:val="24"/>
              </w:rPr>
            </w:pPr>
            <w:r w:rsidRPr="00D948C1">
              <w:rPr>
                <w:szCs w:val="24"/>
              </w:rPr>
              <w:t>3,</w:t>
            </w:r>
            <w:r w:rsidR="00C04BC5">
              <w:rPr>
                <w:szCs w:val="24"/>
              </w:rPr>
              <w:t>778</w:t>
            </w:r>
          </w:p>
        </w:tc>
        <w:tc>
          <w:tcPr>
            <w:tcW w:w="1134" w:type="dxa"/>
            <w:shd w:val="clear" w:color="00FFFF" w:fill="auto"/>
            <w:vAlign w:val="center"/>
          </w:tcPr>
          <w:p w14:paraId="21D8BD3C" w14:textId="06677C9F" w:rsidR="001318F9" w:rsidRPr="00D948C1" w:rsidRDefault="001318F9" w:rsidP="006C0086">
            <w:pPr>
              <w:pStyle w:val="Footer"/>
              <w:tabs>
                <w:tab w:val="clear" w:pos="4153"/>
                <w:tab w:val="clear" w:pos="8306"/>
                <w:tab w:val="decimal" w:pos="435"/>
              </w:tabs>
              <w:spacing w:line="276" w:lineRule="auto"/>
              <w:jc w:val="right"/>
              <w:rPr>
                <w:szCs w:val="24"/>
              </w:rPr>
            </w:pPr>
            <w:r w:rsidRPr="00D948C1">
              <w:rPr>
                <w:szCs w:val="24"/>
              </w:rPr>
              <w:t>3,891</w:t>
            </w:r>
          </w:p>
        </w:tc>
      </w:tr>
      <w:tr w:rsidR="00F06846" w:rsidRPr="00D948C1" w14:paraId="28F8685A" w14:textId="77777777" w:rsidTr="006637EE">
        <w:trPr>
          <w:cantSplit/>
          <w:trHeight w:val="278"/>
        </w:trPr>
        <w:tc>
          <w:tcPr>
            <w:tcW w:w="4110" w:type="dxa"/>
            <w:vAlign w:val="center"/>
          </w:tcPr>
          <w:p w14:paraId="14DA4F51" w14:textId="1F7EF4DF" w:rsidR="00F06846" w:rsidRPr="00D948C1" w:rsidRDefault="00F06846" w:rsidP="006C0086">
            <w:pPr>
              <w:spacing w:line="276" w:lineRule="auto"/>
              <w:rPr>
                <w:szCs w:val="24"/>
              </w:rPr>
            </w:pPr>
            <w:r>
              <w:rPr>
                <w:szCs w:val="24"/>
              </w:rPr>
              <w:t>Liabilities not defined as financial instruments</w:t>
            </w:r>
          </w:p>
        </w:tc>
        <w:tc>
          <w:tcPr>
            <w:tcW w:w="1134" w:type="dxa"/>
            <w:vAlign w:val="center"/>
          </w:tcPr>
          <w:p w14:paraId="162198BD" w14:textId="5F743DD4" w:rsidR="00F06846" w:rsidRPr="00D948C1" w:rsidRDefault="002D5AF2" w:rsidP="006C0086">
            <w:pPr>
              <w:pStyle w:val="Footer"/>
              <w:tabs>
                <w:tab w:val="clear" w:pos="4153"/>
                <w:tab w:val="clear" w:pos="8306"/>
                <w:tab w:val="decimal" w:pos="435"/>
              </w:tabs>
              <w:spacing w:line="276" w:lineRule="auto"/>
              <w:jc w:val="right"/>
              <w:rPr>
                <w:szCs w:val="24"/>
              </w:rPr>
            </w:pPr>
            <w:r>
              <w:rPr>
                <w:szCs w:val="24"/>
              </w:rPr>
              <w:t>653,150</w:t>
            </w:r>
          </w:p>
        </w:tc>
        <w:tc>
          <w:tcPr>
            <w:tcW w:w="1134" w:type="dxa"/>
            <w:vAlign w:val="center"/>
          </w:tcPr>
          <w:p w14:paraId="21ED5AFC" w14:textId="542418BE" w:rsidR="00F06846" w:rsidRPr="00D948C1" w:rsidRDefault="002D5AF2" w:rsidP="006C0086">
            <w:pPr>
              <w:pStyle w:val="Footer"/>
              <w:tabs>
                <w:tab w:val="clear" w:pos="4153"/>
                <w:tab w:val="clear" w:pos="8306"/>
                <w:tab w:val="decimal" w:pos="326"/>
              </w:tabs>
              <w:spacing w:line="276" w:lineRule="auto"/>
              <w:jc w:val="right"/>
              <w:rPr>
                <w:szCs w:val="24"/>
              </w:rPr>
            </w:pPr>
            <w:r>
              <w:rPr>
                <w:szCs w:val="24"/>
              </w:rPr>
              <w:t>652,775</w:t>
            </w:r>
          </w:p>
        </w:tc>
        <w:tc>
          <w:tcPr>
            <w:tcW w:w="1134" w:type="dxa"/>
            <w:shd w:val="clear" w:color="00FFFF" w:fill="auto"/>
            <w:vAlign w:val="center"/>
          </w:tcPr>
          <w:p w14:paraId="29C84499" w14:textId="671725FB" w:rsidR="00F06846" w:rsidRPr="00D948C1" w:rsidRDefault="002D5AF2" w:rsidP="006C0086">
            <w:pPr>
              <w:pStyle w:val="Footer"/>
              <w:tabs>
                <w:tab w:val="clear" w:pos="4153"/>
                <w:tab w:val="clear" w:pos="8306"/>
                <w:tab w:val="decimal" w:pos="435"/>
              </w:tabs>
              <w:spacing w:line="276" w:lineRule="auto"/>
              <w:jc w:val="right"/>
              <w:rPr>
                <w:szCs w:val="24"/>
              </w:rPr>
            </w:pPr>
            <w:r>
              <w:rPr>
                <w:szCs w:val="24"/>
              </w:rPr>
              <w:t>6,626</w:t>
            </w:r>
          </w:p>
        </w:tc>
        <w:tc>
          <w:tcPr>
            <w:tcW w:w="1134" w:type="dxa"/>
            <w:shd w:val="clear" w:color="00FFFF" w:fill="auto"/>
            <w:vAlign w:val="center"/>
          </w:tcPr>
          <w:p w14:paraId="02FC6D43" w14:textId="001BF270" w:rsidR="00F06846" w:rsidRPr="00D948C1" w:rsidRDefault="002D5AF2" w:rsidP="006C0086">
            <w:pPr>
              <w:pStyle w:val="Footer"/>
              <w:tabs>
                <w:tab w:val="clear" w:pos="4153"/>
                <w:tab w:val="clear" w:pos="8306"/>
                <w:tab w:val="decimal" w:pos="435"/>
              </w:tabs>
              <w:spacing w:line="276" w:lineRule="auto"/>
              <w:jc w:val="right"/>
              <w:rPr>
                <w:szCs w:val="24"/>
              </w:rPr>
            </w:pPr>
            <w:r>
              <w:rPr>
                <w:szCs w:val="24"/>
              </w:rPr>
              <w:t>6,381</w:t>
            </w:r>
          </w:p>
        </w:tc>
      </w:tr>
    </w:tbl>
    <w:p w14:paraId="5F6959AA" w14:textId="0162FC10" w:rsidR="00300384" w:rsidRPr="00D948C1" w:rsidRDefault="00300384" w:rsidP="006C0086">
      <w:pPr>
        <w:spacing w:line="276" w:lineRule="auto"/>
        <w:rPr>
          <w:b/>
          <w:bCs/>
        </w:rPr>
      </w:pPr>
    </w:p>
    <w:p w14:paraId="1E747D96" w14:textId="473BE267" w:rsidR="00D90216" w:rsidRPr="00D948C1" w:rsidRDefault="00DE45AC" w:rsidP="006C0086">
      <w:pPr>
        <w:spacing w:line="276" w:lineRule="auto"/>
        <w:ind w:firstLine="709"/>
        <w:rPr>
          <w:b/>
          <w:bCs/>
        </w:rPr>
      </w:pPr>
      <w:r w:rsidRPr="00D948C1">
        <w:rPr>
          <w:b/>
          <w:bCs/>
        </w:rPr>
        <w:t>Financial Instruments -</w:t>
      </w:r>
      <w:r w:rsidR="00D90216" w:rsidRPr="00D948C1">
        <w:rPr>
          <w:b/>
          <w:bCs/>
        </w:rPr>
        <w:t xml:space="preserve"> Gains and Losses</w:t>
      </w:r>
    </w:p>
    <w:p w14:paraId="7602ABB8" w14:textId="77777777" w:rsidR="00D90216" w:rsidRPr="00D948C1" w:rsidRDefault="00D90216" w:rsidP="006C0086">
      <w:pPr>
        <w:spacing w:line="276" w:lineRule="auto"/>
        <w:rPr>
          <w:szCs w:val="24"/>
        </w:rPr>
      </w:pPr>
    </w:p>
    <w:p w14:paraId="5F82B5F1" w14:textId="77777777" w:rsidR="00DE45AC" w:rsidRPr="00D948C1" w:rsidRDefault="00DE45AC" w:rsidP="006C0086">
      <w:pPr>
        <w:spacing w:line="276" w:lineRule="auto"/>
        <w:ind w:left="709"/>
        <w:rPr>
          <w:szCs w:val="24"/>
        </w:rPr>
      </w:pPr>
      <w:r w:rsidRPr="00D948C1">
        <w:rPr>
          <w:szCs w:val="24"/>
        </w:rPr>
        <w:t>The gains and losses recognised in the Comprehensive Income and Expenditure Statement in relation to financial instruments consist of the following:</w:t>
      </w:r>
    </w:p>
    <w:p w14:paraId="348AC162" w14:textId="77777777" w:rsidR="00DE45AC" w:rsidRPr="00D948C1" w:rsidRDefault="00DE45AC" w:rsidP="006C0086">
      <w:pPr>
        <w:spacing w:line="276" w:lineRule="auto"/>
        <w:ind w:left="709"/>
        <w:jc w:val="both"/>
        <w:rPr>
          <w:sz w:val="22"/>
          <w:szCs w:val="22"/>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1318F9" w:rsidRPr="00D948C1" w14:paraId="30E13C6B" w14:textId="77777777" w:rsidTr="00611673">
        <w:trPr>
          <w:cantSplit/>
          <w:trHeight w:val="237"/>
          <w:tblHeader/>
        </w:trPr>
        <w:tc>
          <w:tcPr>
            <w:tcW w:w="6271" w:type="dxa"/>
            <w:shd w:val="clear" w:color="auto" w:fill="BD2716"/>
          </w:tcPr>
          <w:p w14:paraId="4A29967B" w14:textId="77777777" w:rsidR="001318F9" w:rsidRPr="00D948C1" w:rsidRDefault="001318F9" w:rsidP="006C0086">
            <w:pPr>
              <w:spacing w:line="276" w:lineRule="auto"/>
              <w:rPr>
                <w:color w:val="FFFFFF" w:themeColor="background1"/>
                <w:szCs w:val="24"/>
              </w:rPr>
            </w:pPr>
          </w:p>
        </w:tc>
        <w:tc>
          <w:tcPr>
            <w:tcW w:w="1276" w:type="dxa"/>
            <w:shd w:val="clear" w:color="auto" w:fill="BD2716"/>
            <w:vAlign w:val="center"/>
          </w:tcPr>
          <w:p w14:paraId="70CA0641"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387ECA45" w14:textId="115ECFB8"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275" w:type="dxa"/>
            <w:shd w:val="clear" w:color="auto" w:fill="BD2716"/>
            <w:vAlign w:val="center"/>
          </w:tcPr>
          <w:p w14:paraId="0A3EE3FA"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1898647B" w14:textId="29BCA2CC"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DC7A16" w:rsidRPr="00D948C1" w14:paraId="7BBAF906" w14:textId="77777777" w:rsidTr="007641BA">
        <w:trPr>
          <w:cantSplit/>
          <w:trHeight w:val="275"/>
        </w:trPr>
        <w:tc>
          <w:tcPr>
            <w:tcW w:w="8822" w:type="dxa"/>
            <w:gridSpan w:val="3"/>
            <w:shd w:val="clear" w:color="auto" w:fill="D9D9D9" w:themeFill="background1" w:themeFillShade="D9"/>
          </w:tcPr>
          <w:p w14:paraId="060AA4FA" w14:textId="23F08CE7" w:rsidR="00DC7A16" w:rsidRPr="00D948C1" w:rsidRDefault="00DC7A16" w:rsidP="006C0086">
            <w:pPr>
              <w:spacing w:line="276" w:lineRule="auto"/>
              <w:rPr>
                <w:szCs w:val="24"/>
              </w:rPr>
            </w:pPr>
            <w:r w:rsidRPr="00D948C1">
              <w:rPr>
                <w:b/>
                <w:szCs w:val="24"/>
              </w:rPr>
              <w:t>Financial Liabilities at amortised cost</w:t>
            </w:r>
          </w:p>
        </w:tc>
      </w:tr>
      <w:tr w:rsidR="001318F9" w:rsidRPr="00D948C1" w14:paraId="26C0A624" w14:textId="77777777" w:rsidTr="00480E4B">
        <w:trPr>
          <w:cantSplit/>
          <w:trHeight w:val="278"/>
        </w:trPr>
        <w:tc>
          <w:tcPr>
            <w:tcW w:w="6271" w:type="dxa"/>
            <w:vAlign w:val="center"/>
          </w:tcPr>
          <w:p w14:paraId="4EF05E61" w14:textId="3E52A61C" w:rsidR="001318F9" w:rsidRPr="00D948C1" w:rsidRDefault="001318F9" w:rsidP="006C0086">
            <w:pPr>
              <w:tabs>
                <w:tab w:val="left" w:pos="0"/>
              </w:tabs>
              <w:spacing w:line="276" w:lineRule="auto"/>
              <w:rPr>
                <w:szCs w:val="24"/>
              </w:rPr>
            </w:pPr>
            <w:r w:rsidRPr="00D948C1">
              <w:rPr>
                <w:szCs w:val="24"/>
              </w:rPr>
              <w:t xml:space="preserve">Interest payable relating to </w:t>
            </w:r>
            <w:r w:rsidR="0076078A">
              <w:rPr>
                <w:szCs w:val="24"/>
              </w:rPr>
              <w:t>Private Finance Initiative</w:t>
            </w:r>
          </w:p>
        </w:tc>
        <w:tc>
          <w:tcPr>
            <w:tcW w:w="1276" w:type="dxa"/>
            <w:vAlign w:val="center"/>
          </w:tcPr>
          <w:p w14:paraId="76618B2C" w14:textId="34259A33"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1,2</w:t>
            </w:r>
            <w:r w:rsidR="00296673" w:rsidRPr="00D948C1">
              <w:rPr>
                <w:szCs w:val="24"/>
              </w:rPr>
              <w:t>69</w:t>
            </w:r>
          </w:p>
        </w:tc>
        <w:tc>
          <w:tcPr>
            <w:tcW w:w="1275" w:type="dxa"/>
            <w:vAlign w:val="center"/>
          </w:tcPr>
          <w:p w14:paraId="669CDD04" w14:textId="6CAC8DED"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1,294</w:t>
            </w:r>
          </w:p>
        </w:tc>
      </w:tr>
      <w:tr w:rsidR="001318F9" w:rsidRPr="00D948C1" w14:paraId="29FA07CF" w14:textId="77777777" w:rsidTr="00480E4B">
        <w:trPr>
          <w:cantSplit/>
          <w:trHeight w:val="278"/>
        </w:trPr>
        <w:tc>
          <w:tcPr>
            <w:tcW w:w="6271" w:type="dxa"/>
            <w:vAlign w:val="center"/>
          </w:tcPr>
          <w:p w14:paraId="47B27E4E" w14:textId="77777777" w:rsidR="001318F9" w:rsidRPr="00D948C1" w:rsidRDefault="001318F9" w:rsidP="006C0086">
            <w:pPr>
              <w:tabs>
                <w:tab w:val="left" w:pos="0"/>
              </w:tabs>
              <w:spacing w:line="276" w:lineRule="auto"/>
              <w:rPr>
                <w:szCs w:val="24"/>
              </w:rPr>
            </w:pPr>
            <w:r w:rsidRPr="00D948C1">
              <w:rPr>
                <w:szCs w:val="24"/>
              </w:rPr>
              <w:t>Interest payable relating to Borrowing</w:t>
            </w:r>
          </w:p>
        </w:tc>
        <w:tc>
          <w:tcPr>
            <w:tcW w:w="1276" w:type="dxa"/>
            <w:vAlign w:val="center"/>
          </w:tcPr>
          <w:p w14:paraId="25A45E43" w14:textId="672397E7"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9</w:t>
            </w:r>
            <w:r w:rsidR="00296673" w:rsidRPr="00D948C1">
              <w:rPr>
                <w:szCs w:val="24"/>
              </w:rPr>
              <w:t>5</w:t>
            </w:r>
          </w:p>
        </w:tc>
        <w:tc>
          <w:tcPr>
            <w:tcW w:w="1275" w:type="dxa"/>
            <w:vAlign w:val="center"/>
          </w:tcPr>
          <w:p w14:paraId="3644A288" w14:textId="16D06828"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90</w:t>
            </w:r>
          </w:p>
        </w:tc>
      </w:tr>
      <w:tr w:rsidR="001318F9" w:rsidRPr="00D948C1" w14:paraId="57DC91BA" w14:textId="77777777" w:rsidTr="008F6F5D">
        <w:trPr>
          <w:cantSplit/>
          <w:trHeight w:val="278"/>
        </w:trPr>
        <w:tc>
          <w:tcPr>
            <w:tcW w:w="6271" w:type="dxa"/>
            <w:tcBorders>
              <w:bottom w:val="single" w:sz="4" w:space="0" w:color="auto"/>
            </w:tcBorders>
            <w:vAlign w:val="center"/>
          </w:tcPr>
          <w:p w14:paraId="780A5D13" w14:textId="77777777" w:rsidR="001318F9" w:rsidRPr="00D948C1" w:rsidRDefault="001318F9" w:rsidP="006C0086">
            <w:pPr>
              <w:tabs>
                <w:tab w:val="left" w:pos="0"/>
              </w:tabs>
              <w:spacing w:line="276" w:lineRule="auto"/>
              <w:rPr>
                <w:szCs w:val="24"/>
              </w:rPr>
            </w:pPr>
            <w:r w:rsidRPr="00D948C1">
              <w:rPr>
                <w:szCs w:val="24"/>
              </w:rPr>
              <w:t>Interest payable relating to finance leases</w:t>
            </w:r>
          </w:p>
        </w:tc>
        <w:tc>
          <w:tcPr>
            <w:tcW w:w="1276" w:type="dxa"/>
            <w:tcBorders>
              <w:bottom w:val="single" w:sz="4" w:space="0" w:color="auto"/>
            </w:tcBorders>
            <w:vAlign w:val="center"/>
          </w:tcPr>
          <w:p w14:paraId="40A189AE" w14:textId="71C3AB0B" w:rsidR="001318F9" w:rsidRPr="00D948C1" w:rsidRDefault="00296673" w:rsidP="006C0086">
            <w:pPr>
              <w:pStyle w:val="Footer"/>
              <w:tabs>
                <w:tab w:val="clear" w:pos="4153"/>
                <w:tab w:val="clear" w:pos="8306"/>
                <w:tab w:val="decimal" w:pos="601"/>
              </w:tabs>
              <w:spacing w:line="276" w:lineRule="auto"/>
              <w:jc w:val="right"/>
              <w:rPr>
                <w:szCs w:val="24"/>
              </w:rPr>
            </w:pPr>
            <w:r w:rsidRPr="00D948C1">
              <w:rPr>
                <w:szCs w:val="24"/>
              </w:rPr>
              <w:t>2</w:t>
            </w:r>
          </w:p>
        </w:tc>
        <w:tc>
          <w:tcPr>
            <w:tcW w:w="1275" w:type="dxa"/>
            <w:tcBorders>
              <w:bottom w:val="single" w:sz="4" w:space="0" w:color="auto"/>
            </w:tcBorders>
            <w:vAlign w:val="center"/>
          </w:tcPr>
          <w:p w14:paraId="0B48197A" w14:textId="1925A870"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4</w:t>
            </w:r>
          </w:p>
        </w:tc>
      </w:tr>
      <w:tr w:rsidR="001318F9" w:rsidRPr="00D948C1" w14:paraId="052C9278" w14:textId="77777777" w:rsidTr="008F6F5D">
        <w:trPr>
          <w:cantSplit/>
          <w:trHeight w:val="278"/>
        </w:trPr>
        <w:tc>
          <w:tcPr>
            <w:tcW w:w="6271" w:type="dxa"/>
            <w:tcBorders>
              <w:bottom w:val="single" w:sz="4" w:space="0" w:color="auto"/>
            </w:tcBorders>
            <w:vAlign w:val="center"/>
          </w:tcPr>
          <w:p w14:paraId="43CF5FD1" w14:textId="77777777" w:rsidR="001318F9" w:rsidRPr="00D948C1" w:rsidRDefault="001318F9" w:rsidP="006C0086">
            <w:pPr>
              <w:spacing w:line="276" w:lineRule="auto"/>
              <w:rPr>
                <w:szCs w:val="24"/>
              </w:rPr>
            </w:pPr>
            <w:r w:rsidRPr="00D948C1">
              <w:rPr>
                <w:szCs w:val="24"/>
              </w:rPr>
              <w:t>Total expense in Deficit on the Provision of Services</w:t>
            </w:r>
          </w:p>
        </w:tc>
        <w:tc>
          <w:tcPr>
            <w:tcW w:w="1276" w:type="dxa"/>
            <w:tcBorders>
              <w:bottom w:val="single" w:sz="4" w:space="0" w:color="auto"/>
            </w:tcBorders>
            <w:vAlign w:val="center"/>
          </w:tcPr>
          <w:p w14:paraId="059BA733" w14:textId="30E1F33E"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1,3</w:t>
            </w:r>
            <w:r w:rsidR="00296673" w:rsidRPr="00D948C1">
              <w:rPr>
                <w:szCs w:val="24"/>
              </w:rPr>
              <w:t>66</w:t>
            </w:r>
          </w:p>
        </w:tc>
        <w:tc>
          <w:tcPr>
            <w:tcW w:w="1275" w:type="dxa"/>
            <w:tcBorders>
              <w:bottom w:val="single" w:sz="4" w:space="0" w:color="auto"/>
            </w:tcBorders>
            <w:vAlign w:val="center"/>
          </w:tcPr>
          <w:p w14:paraId="498064A4" w14:textId="0CEAAD5B"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1,388</w:t>
            </w:r>
          </w:p>
        </w:tc>
      </w:tr>
    </w:tbl>
    <w:p w14:paraId="5E6039A9" w14:textId="77777777" w:rsidR="00300384" w:rsidRPr="00D948C1" w:rsidRDefault="00300384" w:rsidP="006C0086">
      <w:pPr>
        <w:spacing w:line="276" w:lineRule="auto"/>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300384" w:rsidRPr="00D948C1" w14:paraId="053ABD45" w14:textId="77777777" w:rsidTr="008F1BC0">
        <w:trPr>
          <w:cantSplit/>
          <w:trHeight w:val="278"/>
        </w:trPr>
        <w:tc>
          <w:tcPr>
            <w:tcW w:w="8822" w:type="dxa"/>
            <w:gridSpan w:val="3"/>
            <w:shd w:val="clear" w:color="auto" w:fill="D9D9D9" w:themeFill="background1" w:themeFillShade="D9"/>
            <w:vAlign w:val="bottom"/>
          </w:tcPr>
          <w:p w14:paraId="20976247" w14:textId="3CAD45EC" w:rsidR="00300384" w:rsidRPr="00D948C1" w:rsidRDefault="00300384" w:rsidP="006C0086">
            <w:pPr>
              <w:spacing w:line="276" w:lineRule="auto"/>
              <w:ind w:left="720" w:hanging="720"/>
              <w:rPr>
                <w:szCs w:val="24"/>
              </w:rPr>
            </w:pPr>
            <w:r w:rsidRPr="00D948C1">
              <w:rPr>
                <w:b/>
                <w:szCs w:val="24"/>
              </w:rPr>
              <w:t>Financial Assets at amortised cost</w:t>
            </w:r>
          </w:p>
        </w:tc>
      </w:tr>
      <w:tr w:rsidR="001318F9" w:rsidRPr="00D948C1" w14:paraId="0853C146" w14:textId="77777777" w:rsidTr="00480E4B">
        <w:trPr>
          <w:cantSplit/>
          <w:trHeight w:val="278"/>
        </w:trPr>
        <w:tc>
          <w:tcPr>
            <w:tcW w:w="6271" w:type="dxa"/>
            <w:vAlign w:val="center"/>
          </w:tcPr>
          <w:p w14:paraId="397BA30F" w14:textId="77777777" w:rsidR="001318F9" w:rsidRPr="00D948C1" w:rsidRDefault="001318F9" w:rsidP="006C0086">
            <w:pPr>
              <w:tabs>
                <w:tab w:val="left" w:pos="0"/>
              </w:tabs>
              <w:spacing w:line="276" w:lineRule="auto"/>
              <w:rPr>
                <w:szCs w:val="24"/>
              </w:rPr>
            </w:pPr>
            <w:r w:rsidRPr="00D948C1">
              <w:rPr>
                <w:szCs w:val="24"/>
              </w:rPr>
              <w:t>Interest income</w:t>
            </w:r>
          </w:p>
        </w:tc>
        <w:tc>
          <w:tcPr>
            <w:tcW w:w="1276" w:type="dxa"/>
            <w:vAlign w:val="center"/>
          </w:tcPr>
          <w:p w14:paraId="572B499E" w14:textId="233B9116"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w:t>
            </w:r>
            <w:r w:rsidR="00296673" w:rsidRPr="00D948C1">
              <w:rPr>
                <w:szCs w:val="24"/>
              </w:rPr>
              <w:t>1,574</w:t>
            </w:r>
            <w:r w:rsidRPr="00D948C1">
              <w:rPr>
                <w:szCs w:val="24"/>
              </w:rPr>
              <w:t>)</w:t>
            </w:r>
          </w:p>
        </w:tc>
        <w:tc>
          <w:tcPr>
            <w:tcW w:w="1275" w:type="dxa"/>
            <w:vAlign w:val="center"/>
          </w:tcPr>
          <w:p w14:paraId="66E499DC" w14:textId="7C92F4F1"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(837)</w:t>
            </w:r>
          </w:p>
        </w:tc>
      </w:tr>
      <w:tr w:rsidR="001318F9" w:rsidRPr="00D948C1" w14:paraId="7A0C61A3" w14:textId="77777777" w:rsidTr="00480E4B">
        <w:trPr>
          <w:cantSplit/>
          <w:trHeight w:val="278"/>
        </w:trPr>
        <w:tc>
          <w:tcPr>
            <w:tcW w:w="6271" w:type="dxa"/>
            <w:vAlign w:val="center"/>
          </w:tcPr>
          <w:p w14:paraId="102A5ED8" w14:textId="77777777" w:rsidR="001318F9" w:rsidRPr="00D948C1" w:rsidRDefault="001318F9" w:rsidP="006C0086">
            <w:pPr>
              <w:spacing w:line="276" w:lineRule="auto"/>
              <w:ind w:left="-37"/>
              <w:rPr>
                <w:szCs w:val="24"/>
              </w:rPr>
            </w:pPr>
            <w:r w:rsidRPr="00D948C1">
              <w:rPr>
                <w:szCs w:val="24"/>
              </w:rPr>
              <w:t>Total income in Deficit on the Provision of Services</w:t>
            </w:r>
          </w:p>
        </w:tc>
        <w:tc>
          <w:tcPr>
            <w:tcW w:w="1276" w:type="dxa"/>
            <w:vAlign w:val="center"/>
          </w:tcPr>
          <w:p w14:paraId="44D17B52" w14:textId="263BC5FE" w:rsidR="001318F9" w:rsidRPr="00D948C1" w:rsidRDefault="00296673" w:rsidP="006C0086">
            <w:pPr>
              <w:pStyle w:val="Footer"/>
              <w:tabs>
                <w:tab w:val="clear" w:pos="4153"/>
                <w:tab w:val="clear" w:pos="8306"/>
                <w:tab w:val="decimal" w:pos="326"/>
              </w:tabs>
              <w:spacing w:line="276" w:lineRule="auto"/>
              <w:jc w:val="right"/>
              <w:rPr>
                <w:szCs w:val="24"/>
              </w:rPr>
            </w:pPr>
            <w:r w:rsidRPr="00D948C1">
              <w:rPr>
                <w:szCs w:val="24"/>
              </w:rPr>
              <w:t>(1,574</w:t>
            </w:r>
            <w:r w:rsidR="001318F9" w:rsidRPr="00D948C1">
              <w:rPr>
                <w:szCs w:val="24"/>
              </w:rPr>
              <w:t>)</w:t>
            </w:r>
          </w:p>
        </w:tc>
        <w:tc>
          <w:tcPr>
            <w:tcW w:w="1275" w:type="dxa"/>
            <w:vAlign w:val="center"/>
          </w:tcPr>
          <w:p w14:paraId="7EB8E7D3" w14:textId="579CA18F"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(837)</w:t>
            </w:r>
          </w:p>
        </w:tc>
      </w:tr>
      <w:tr w:rsidR="001318F9" w:rsidRPr="00D948C1" w14:paraId="4A4340DE" w14:textId="77777777" w:rsidTr="00480E4B">
        <w:trPr>
          <w:cantSplit/>
          <w:trHeight w:val="278"/>
        </w:trPr>
        <w:tc>
          <w:tcPr>
            <w:tcW w:w="6271" w:type="dxa"/>
            <w:vAlign w:val="center"/>
          </w:tcPr>
          <w:p w14:paraId="480AA266" w14:textId="511E69D2" w:rsidR="001318F9" w:rsidRPr="00D948C1" w:rsidRDefault="001318F9" w:rsidP="006C0086">
            <w:pPr>
              <w:spacing w:line="276" w:lineRule="auto"/>
              <w:ind w:left="33"/>
              <w:rPr>
                <w:szCs w:val="24"/>
              </w:rPr>
            </w:pPr>
            <w:r w:rsidRPr="00D948C1">
              <w:rPr>
                <w:szCs w:val="24"/>
              </w:rPr>
              <w:t xml:space="preserve">Net </w:t>
            </w:r>
            <w:r w:rsidR="00296673" w:rsidRPr="00D948C1">
              <w:rPr>
                <w:szCs w:val="24"/>
              </w:rPr>
              <w:t>(</w:t>
            </w:r>
            <w:r w:rsidRPr="00D948C1">
              <w:rPr>
                <w:szCs w:val="24"/>
              </w:rPr>
              <w:t>gain</w:t>
            </w:r>
            <w:r w:rsidR="00296673" w:rsidRPr="00D948C1">
              <w:rPr>
                <w:szCs w:val="24"/>
              </w:rPr>
              <w:t>)</w:t>
            </w:r>
            <w:r w:rsidRPr="00D948C1">
              <w:rPr>
                <w:szCs w:val="24"/>
              </w:rPr>
              <w:t>/</w:t>
            </w:r>
            <w:r w:rsidR="00296673" w:rsidRPr="00D948C1">
              <w:rPr>
                <w:szCs w:val="24"/>
              </w:rPr>
              <w:t>l</w:t>
            </w:r>
            <w:r w:rsidRPr="00D948C1">
              <w:rPr>
                <w:szCs w:val="24"/>
              </w:rPr>
              <w:t>oss for the year</w:t>
            </w:r>
          </w:p>
        </w:tc>
        <w:tc>
          <w:tcPr>
            <w:tcW w:w="1276" w:type="dxa"/>
            <w:vAlign w:val="center"/>
          </w:tcPr>
          <w:p w14:paraId="6B6C1795" w14:textId="7EC57980" w:rsidR="001318F9" w:rsidRPr="00D948C1" w:rsidRDefault="00296673" w:rsidP="006C0086">
            <w:pPr>
              <w:pStyle w:val="Footer"/>
              <w:tabs>
                <w:tab w:val="clear" w:pos="4153"/>
                <w:tab w:val="clear" w:pos="8306"/>
                <w:tab w:val="decimal" w:pos="601"/>
              </w:tabs>
              <w:spacing w:line="276" w:lineRule="auto"/>
              <w:jc w:val="right"/>
              <w:rPr>
                <w:szCs w:val="24"/>
              </w:rPr>
            </w:pPr>
            <w:r w:rsidRPr="00D948C1">
              <w:rPr>
                <w:szCs w:val="24"/>
              </w:rPr>
              <w:t>(208)</w:t>
            </w:r>
          </w:p>
        </w:tc>
        <w:tc>
          <w:tcPr>
            <w:tcW w:w="1275" w:type="dxa"/>
            <w:vAlign w:val="center"/>
          </w:tcPr>
          <w:p w14:paraId="7552DF82" w14:textId="351B10DB" w:rsidR="001318F9" w:rsidRPr="00D948C1" w:rsidRDefault="001318F9" w:rsidP="006C0086">
            <w:pPr>
              <w:pStyle w:val="Footer"/>
              <w:tabs>
                <w:tab w:val="clear" w:pos="4153"/>
                <w:tab w:val="clear" w:pos="8306"/>
                <w:tab w:val="decimal" w:pos="601"/>
              </w:tabs>
              <w:spacing w:line="276" w:lineRule="auto"/>
              <w:jc w:val="right"/>
              <w:rPr>
                <w:szCs w:val="24"/>
              </w:rPr>
            </w:pPr>
            <w:r w:rsidRPr="00D948C1">
              <w:rPr>
                <w:szCs w:val="24"/>
              </w:rPr>
              <w:t>551</w:t>
            </w:r>
          </w:p>
        </w:tc>
      </w:tr>
    </w:tbl>
    <w:p w14:paraId="111C5D2E" w14:textId="77777777" w:rsidR="00BF24AC" w:rsidRPr="00D948C1" w:rsidRDefault="00BF24AC" w:rsidP="006C0086">
      <w:pPr>
        <w:spacing w:line="276" w:lineRule="auto"/>
        <w:rPr>
          <w:b/>
          <w:sz w:val="22"/>
          <w:szCs w:val="22"/>
        </w:rPr>
      </w:pPr>
    </w:p>
    <w:p w14:paraId="082F6550" w14:textId="0CAEA635" w:rsidR="00D90216" w:rsidRPr="00D948C1" w:rsidRDefault="00F004B0" w:rsidP="006C0086">
      <w:pPr>
        <w:spacing w:line="276" w:lineRule="auto"/>
        <w:ind w:firstLine="709"/>
        <w:rPr>
          <w:b/>
          <w:bCs/>
        </w:rPr>
      </w:pPr>
      <w:r w:rsidRPr="00D948C1">
        <w:rPr>
          <w:b/>
          <w:bCs/>
        </w:rPr>
        <w:t xml:space="preserve">Fair Values of </w:t>
      </w:r>
      <w:r w:rsidR="00450D6E" w:rsidRPr="00D948C1">
        <w:rPr>
          <w:b/>
          <w:bCs/>
        </w:rPr>
        <w:t>Financial Instruments</w:t>
      </w:r>
    </w:p>
    <w:p w14:paraId="1D4E5900" w14:textId="77777777" w:rsidR="00D90216" w:rsidRPr="00D948C1" w:rsidRDefault="00D90216" w:rsidP="006C0086">
      <w:pPr>
        <w:spacing w:line="276" w:lineRule="auto"/>
        <w:ind w:firstLine="709"/>
        <w:rPr>
          <w:b/>
          <w:sz w:val="22"/>
          <w:szCs w:val="22"/>
        </w:rPr>
      </w:pPr>
    </w:p>
    <w:p w14:paraId="61B90B8C" w14:textId="711BF96B" w:rsidR="00D90216" w:rsidRPr="00D948C1" w:rsidRDefault="008841C4" w:rsidP="006C0086">
      <w:pPr>
        <w:spacing w:line="276" w:lineRule="auto"/>
        <w:ind w:left="709"/>
        <w:rPr>
          <w:szCs w:val="24"/>
        </w:rPr>
      </w:pPr>
      <w:r w:rsidRPr="00D948C1">
        <w:rPr>
          <w:szCs w:val="24"/>
        </w:rPr>
        <w:t xml:space="preserve">In accordance with </w:t>
      </w:r>
      <w:r w:rsidR="00760249" w:rsidRPr="00D948C1">
        <w:rPr>
          <w:szCs w:val="24"/>
        </w:rPr>
        <w:t>International Financial Reporting Standards</w:t>
      </w:r>
      <w:r w:rsidRPr="00D948C1">
        <w:rPr>
          <w:szCs w:val="24"/>
        </w:rPr>
        <w:t xml:space="preserve"> 9, f</w:t>
      </w:r>
      <w:r w:rsidR="00D90216" w:rsidRPr="00D948C1">
        <w:rPr>
          <w:szCs w:val="24"/>
        </w:rPr>
        <w:t xml:space="preserve">inancial liabilities, financial assets represented by </w:t>
      </w:r>
      <w:r w:rsidR="00DF770E" w:rsidRPr="00D948C1">
        <w:rPr>
          <w:szCs w:val="24"/>
        </w:rPr>
        <w:t>investments</w:t>
      </w:r>
      <w:r w:rsidR="00D90216" w:rsidRPr="00D948C1">
        <w:rPr>
          <w:szCs w:val="24"/>
        </w:rPr>
        <w:t xml:space="preserve"> and </w:t>
      </w:r>
      <w:r w:rsidR="005436A9" w:rsidRPr="00D948C1">
        <w:rPr>
          <w:szCs w:val="24"/>
        </w:rPr>
        <w:t>long-term</w:t>
      </w:r>
      <w:r w:rsidR="00D90216" w:rsidRPr="00D948C1">
        <w:rPr>
          <w:szCs w:val="24"/>
        </w:rPr>
        <w:t xml:space="preserve"> creditors, are carried in the Balance Sheet at amortised cost. Their fair value can be assessed by calculating the present value of the cash flows that will take place over the remaining term of the instruments, using the following assumptions:</w:t>
      </w:r>
    </w:p>
    <w:p w14:paraId="12FCDCB1" w14:textId="336C29D7" w:rsidR="00D90216" w:rsidRPr="00D948C1" w:rsidRDefault="00D90216" w:rsidP="006C0086">
      <w:pPr>
        <w:numPr>
          <w:ilvl w:val="0"/>
          <w:numId w:val="15"/>
        </w:numPr>
        <w:spacing w:line="276" w:lineRule="auto"/>
        <w:rPr>
          <w:szCs w:val="24"/>
        </w:rPr>
      </w:pPr>
      <w:r w:rsidRPr="00D948C1">
        <w:rPr>
          <w:szCs w:val="24"/>
        </w:rPr>
        <w:t xml:space="preserve">Estimated ranges of interest rates </w:t>
      </w:r>
      <w:proofErr w:type="gramStart"/>
      <w:r w:rsidRPr="00D948C1">
        <w:rPr>
          <w:szCs w:val="24"/>
        </w:rPr>
        <w:t>at</w:t>
      </w:r>
      <w:proofErr w:type="gramEnd"/>
      <w:r w:rsidRPr="00D948C1">
        <w:rPr>
          <w:szCs w:val="24"/>
        </w:rPr>
        <w:t xml:space="preserve"> 31 March 20</w:t>
      </w:r>
      <w:r w:rsidR="00CC6AF3" w:rsidRPr="00D948C1">
        <w:rPr>
          <w:szCs w:val="24"/>
        </w:rPr>
        <w:t>2</w:t>
      </w:r>
      <w:r w:rsidR="00B21C80" w:rsidRPr="00D948C1">
        <w:rPr>
          <w:szCs w:val="24"/>
        </w:rPr>
        <w:t>4</w:t>
      </w:r>
      <w:r w:rsidRPr="00D948C1">
        <w:rPr>
          <w:szCs w:val="24"/>
        </w:rPr>
        <w:t xml:space="preserve"> of </w:t>
      </w:r>
      <w:r w:rsidR="00104FD1" w:rsidRPr="00D948C1">
        <w:rPr>
          <w:szCs w:val="24"/>
        </w:rPr>
        <w:t>4.</w:t>
      </w:r>
      <w:r w:rsidR="00C95614" w:rsidRPr="00D948C1">
        <w:rPr>
          <w:szCs w:val="24"/>
        </w:rPr>
        <w:t>48</w:t>
      </w:r>
      <w:r w:rsidRPr="00D948C1">
        <w:rPr>
          <w:szCs w:val="24"/>
        </w:rPr>
        <w:t xml:space="preserve">% to </w:t>
      </w:r>
      <w:r w:rsidR="00E034A4" w:rsidRPr="00D948C1">
        <w:rPr>
          <w:szCs w:val="24"/>
        </w:rPr>
        <w:t>4.</w:t>
      </w:r>
      <w:r w:rsidR="00C95614" w:rsidRPr="00D948C1">
        <w:rPr>
          <w:szCs w:val="24"/>
        </w:rPr>
        <w:t>49</w:t>
      </w:r>
      <w:r w:rsidRPr="00D948C1">
        <w:rPr>
          <w:szCs w:val="24"/>
        </w:rPr>
        <w:t>% for loans from the PWLB</w:t>
      </w:r>
      <w:r w:rsidR="005436A9" w:rsidRPr="00D948C1">
        <w:rPr>
          <w:szCs w:val="24"/>
        </w:rPr>
        <w:t>.</w:t>
      </w:r>
    </w:p>
    <w:p w14:paraId="09AB3C2F" w14:textId="70DA88ED" w:rsidR="00D90216" w:rsidRPr="00D948C1" w:rsidRDefault="00C40917" w:rsidP="006C0086">
      <w:pPr>
        <w:numPr>
          <w:ilvl w:val="0"/>
          <w:numId w:val="15"/>
        </w:numPr>
        <w:spacing w:line="276" w:lineRule="auto"/>
        <w:rPr>
          <w:szCs w:val="24"/>
        </w:rPr>
      </w:pPr>
      <w:r w:rsidRPr="00D948C1">
        <w:rPr>
          <w:szCs w:val="24"/>
        </w:rPr>
        <w:t xml:space="preserve">The fair values of PWLB loans have been discounted at the market rates for similar instruments with similar remaining terms to </w:t>
      </w:r>
      <w:r w:rsidR="005436A9" w:rsidRPr="00D948C1">
        <w:rPr>
          <w:szCs w:val="24"/>
        </w:rPr>
        <w:t>maturity.</w:t>
      </w:r>
    </w:p>
    <w:p w14:paraId="09308E4D" w14:textId="16E5F366" w:rsidR="00D90216" w:rsidRPr="00D948C1" w:rsidRDefault="00D90216" w:rsidP="006C0086">
      <w:pPr>
        <w:numPr>
          <w:ilvl w:val="0"/>
          <w:numId w:val="15"/>
        </w:numPr>
        <w:spacing w:line="276" w:lineRule="auto"/>
        <w:rPr>
          <w:szCs w:val="24"/>
        </w:rPr>
      </w:pPr>
      <w:r w:rsidRPr="00D948C1">
        <w:rPr>
          <w:szCs w:val="24"/>
        </w:rPr>
        <w:t>Where an instrument will mature in the next 12 months, carrying amount is assumed to approximate to fair value</w:t>
      </w:r>
      <w:r w:rsidR="005436A9" w:rsidRPr="00D948C1">
        <w:rPr>
          <w:szCs w:val="24"/>
        </w:rPr>
        <w:t>.</w:t>
      </w:r>
    </w:p>
    <w:p w14:paraId="26CFCE6E" w14:textId="77777777" w:rsidR="00D90216" w:rsidRPr="00D948C1" w:rsidRDefault="00D90216" w:rsidP="006C0086">
      <w:pPr>
        <w:numPr>
          <w:ilvl w:val="0"/>
          <w:numId w:val="15"/>
        </w:numPr>
        <w:spacing w:line="276" w:lineRule="auto"/>
        <w:rPr>
          <w:szCs w:val="24"/>
        </w:rPr>
      </w:pPr>
      <w:r w:rsidRPr="00D948C1">
        <w:rPr>
          <w:szCs w:val="24"/>
        </w:rPr>
        <w:t>The fair value of trade and other receivables is taken to be the invoiced amount.</w:t>
      </w:r>
    </w:p>
    <w:p w14:paraId="10449FAB" w14:textId="25B17EEF" w:rsidR="00DD63D7" w:rsidRPr="00D948C1" w:rsidRDefault="00F004B0" w:rsidP="006C0086">
      <w:pPr>
        <w:numPr>
          <w:ilvl w:val="0"/>
          <w:numId w:val="15"/>
        </w:numPr>
        <w:spacing w:line="276" w:lineRule="auto"/>
        <w:rPr>
          <w:szCs w:val="24"/>
        </w:rPr>
      </w:pPr>
      <w:r w:rsidRPr="00D948C1">
        <w:rPr>
          <w:szCs w:val="24"/>
        </w:rPr>
        <w:t xml:space="preserve">The fair value of the </w:t>
      </w:r>
      <w:r w:rsidR="0076078A">
        <w:rPr>
          <w:szCs w:val="24"/>
        </w:rPr>
        <w:t>private finance initiative</w:t>
      </w:r>
      <w:r w:rsidRPr="00D948C1">
        <w:rPr>
          <w:szCs w:val="24"/>
        </w:rPr>
        <w:t xml:space="preserve"> liabilities has been calculated by discounting the contractual </w:t>
      </w:r>
      <w:r w:rsidR="003004D7" w:rsidRPr="00D948C1">
        <w:rPr>
          <w:szCs w:val="24"/>
        </w:rPr>
        <w:t>cash flows</w:t>
      </w:r>
      <w:r w:rsidRPr="00D948C1">
        <w:rPr>
          <w:szCs w:val="24"/>
        </w:rPr>
        <w:t xml:space="preserve"> (excluding service charge elements) at the appropriate AA-rated bond yield rates</w:t>
      </w:r>
      <w:r w:rsidR="003004D7" w:rsidRPr="00D948C1">
        <w:rPr>
          <w:szCs w:val="24"/>
        </w:rPr>
        <w:t>.</w:t>
      </w:r>
    </w:p>
    <w:p w14:paraId="443E3743" w14:textId="37A0A9E5" w:rsidR="00D90216" w:rsidRPr="00D948C1" w:rsidRDefault="00D90216" w:rsidP="006C0086">
      <w:pPr>
        <w:spacing w:line="276" w:lineRule="auto"/>
        <w:ind w:firstLine="720"/>
        <w:rPr>
          <w:szCs w:val="24"/>
        </w:rPr>
      </w:pPr>
      <w:r w:rsidRPr="00D948C1">
        <w:rPr>
          <w:szCs w:val="24"/>
        </w:rPr>
        <w:t>The fair values calculated are as follows:</w:t>
      </w:r>
    </w:p>
    <w:p w14:paraId="5ACD27FA" w14:textId="77777777" w:rsidR="00DD63D7" w:rsidRPr="00D948C1" w:rsidRDefault="00DD63D7" w:rsidP="006C0086">
      <w:pPr>
        <w:spacing w:line="276" w:lineRule="auto"/>
        <w:ind w:firstLine="720"/>
        <w:rPr>
          <w:szCs w:val="24"/>
        </w:rPr>
      </w:pPr>
    </w:p>
    <w:tbl>
      <w:tblPr>
        <w:tblW w:w="9068"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297"/>
        <w:gridCol w:w="1118"/>
        <w:gridCol w:w="1297"/>
        <w:gridCol w:w="1118"/>
      </w:tblGrid>
      <w:tr w:rsidR="00300384" w:rsidRPr="00D948C1" w14:paraId="2AA2C0FE" w14:textId="77777777" w:rsidTr="007641BA">
        <w:trPr>
          <w:tblHeader/>
        </w:trPr>
        <w:tc>
          <w:tcPr>
            <w:tcW w:w="4238" w:type="dxa"/>
            <w:shd w:val="clear" w:color="auto" w:fill="BD2716"/>
          </w:tcPr>
          <w:p w14:paraId="21DAD6DD" w14:textId="77777777" w:rsidR="00300384" w:rsidRPr="00D948C1" w:rsidRDefault="00300384" w:rsidP="006C0086">
            <w:pPr>
              <w:spacing w:line="276" w:lineRule="auto"/>
              <w:jc w:val="both"/>
              <w:rPr>
                <w:color w:val="FFFFFF" w:themeColor="background1"/>
                <w:szCs w:val="24"/>
              </w:rPr>
            </w:pPr>
          </w:p>
        </w:tc>
        <w:tc>
          <w:tcPr>
            <w:tcW w:w="2415" w:type="dxa"/>
            <w:gridSpan w:val="2"/>
            <w:shd w:val="clear" w:color="auto" w:fill="BD2716"/>
            <w:vAlign w:val="center"/>
          </w:tcPr>
          <w:p w14:paraId="77873866" w14:textId="324413C4" w:rsidR="00300384" w:rsidRPr="00D948C1" w:rsidRDefault="00300384" w:rsidP="006C0086">
            <w:pPr>
              <w:spacing w:line="276" w:lineRule="auto"/>
              <w:jc w:val="center"/>
              <w:rPr>
                <w:color w:val="FFFFFF" w:themeColor="background1"/>
                <w:szCs w:val="24"/>
              </w:rPr>
            </w:pPr>
            <w:r w:rsidRPr="00D948C1">
              <w:rPr>
                <w:color w:val="FFFFFF" w:themeColor="background1"/>
                <w:szCs w:val="24"/>
              </w:rPr>
              <w:t>31 March 202</w:t>
            </w:r>
            <w:r w:rsidR="001318F9" w:rsidRPr="00D948C1">
              <w:rPr>
                <w:color w:val="FFFFFF" w:themeColor="background1"/>
                <w:szCs w:val="24"/>
              </w:rPr>
              <w:t>4</w:t>
            </w:r>
          </w:p>
        </w:tc>
        <w:tc>
          <w:tcPr>
            <w:tcW w:w="2415" w:type="dxa"/>
            <w:gridSpan w:val="2"/>
            <w:shd w:val="clear" w:color="auto" w:fill="BD2716"/>
            <w:vAlign w:val="center"/>
          </w:tcPr>
          <w:p w14:paraId="1A3CD421" w14:textId="2418BA63" w:rsidR="00300384" w:rsidRPr="00D948C1" w:rsidRDefault="00300384" w:rsidP="006C0086">
            <w:pPr>
              <w:spacing w:line="276" w:lineRule="auto"/>
              <w:jc w:val="center"/>
              <w:rPr>
                <w:color w:val="FFFFFF" w:themeColor="background1"/>
                <w:szCs w:val="24"/>
              </w:rPr>
            </w:pPr>
            <w:r w:rsidRPr="00D948C1">
              <w:rPr>
                <w:color w:val="FFFFFF" w:themeColor="background1"/>
                <w:szCs w:val="24"/>
              </w:rPr>
              <w:t>31 March 202</w:t>
            </w:r>
            <w:r w:rsidR="001318F9" w:rsidRPr="00D948C1">
              <w:rPr>
                <w:color w:val="FFFFFF" w:themeColor="background1"/>
                <w:szCs w:val="24"/>
              </w:rPr>
              <w:t>3</w:t>
            </w:r>
          </w:p>
        </w:tc>
      </w:tr>
      <w:tr w:rsidR="000960DE" w:rsidRPr="00D948C1" w14:paraId="3239C926" w14:textId="77777777" w:rsidTr="00611673">
        <w:trPr>
          <w:tblHeader/>
        </w:trPr>
        <w:tc>
          <w:tcPr>
            <w:tcW w:w="4238" w:type="dxa"/>
            <w:shd w:val="clear" w:color="auto" w:fill="BD2716"/>
          </w:tcPr>
          <w:p w14:paraId="40D2A34B" w14:textId="77777777" w:rsidR="000960DE" w:rsidRPr="00D948C1" w:rsidRDefault="000960DE" w:rsidP="006C0086">
            <w:pPr>
              <w:spacing w:line="276" w:lineRule="auto"/>
              <w:jc w:val="both"/>
              <w:rPr>
                <w:color w:val="FFFFFF" w:themeColor="background1"/>
                <w:szCs w:val="24"/>
              </w:rPr>
            </w:pPr>
          </w:p>
        </w:tc>
        <w:tc>
          <w:tcPr>
            <w:tcW w:w="1297" w:type="dxa"/>
            <w:shd w:val="clear" w:color="auto" w:fill="BD2716"/>
            <w:vAlign w:val="center"/>
          </w:tcPr>
          <w:p w14:paraId="05CE7B7F" w14:textId="77777777" w:rsidR="000960DE" w:rsidRPr="00D948C1" w:rsidRDefault="000960DE" w:rsidP="006C0086">
            <w:pPr>
              <w:spacing w:line="276" w:lineRule="auto"/>
              <w:jc w:val="right"/>
              <w:rPr>
                <w:color w:val="FFFFFF" w:themeColor="background1"/>
                <w:szCs w:val="24"/>
              </w:rPr>
            </w:pPr>
            <w:r w:rsidRPr="00D948C1">
              <w:rPr>
                <w:color w:val="FFFFFF" w:themeColor="background1"/>
                <w:szCs w:val="24"/>
              </w:rPr>
              <w:t>Amortised Cost</w:t>
            </w:r>
          </w:p>
          <w:p w14:paraId="6BCF57F9" w14:textId="5915688E"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118" w:type="dxa"/>
            <w:shd w:val="clear" w:color="auto" w:fill="BD2716"/>
            <w:vAlign w:val="center"/>
          </w:tcPr>
          <w:p w14:paraId="62C2D7F2" w14:textId="77777777" w:rsidR="000960DE" w:rsidRPr="00D948C1" w:rsidRDefault="000960DE" w:rsidP="006C0086">
            <w:pPr>
              <w:spacing w:line="276" w:lineRule="auto"/>
              <w:jc w:val="right"/>
              <w:rPr>
                <w:color w:val="FFFFFF" w:themeColor="background1"/>
                <w:szCs w:val="24"/>
              </w:rPr>
            </w:pPr>
            <w:r w:rsidRPr="00D948C1">
              <w:rPr>
                <w:color w:val="FFFFFF" w:themeColor="background1"/>
                <w:szCs w:val="24"/>
              </w:rPr>
              <w:t>Fair Value</w:t>
            </w:r>
          </w:p>
          <w:p w14:paraId="0C6EE299" w14:textId="41E1EEDB"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297" w:type="dxa"/>
            <w:shd w:val="clear" w:color="auto" w:fill="BD2716"/>
            <w:vAlign w:val="center"/>
          </w:tcPr>
          <w:p w14:paraId="5929AF01" w14:textId="77777777" w:rsidR="000960DE" w:rsidRPr="00D948C1" w:rsidRDefault="000960DE" w:rsidP="006C0086">
            <w:pPr>
              <w:spacing w:line="276" w:lineRule="auto"/>
              <w:jc w:val="right"/>
              <w:rPr>
                <w:color w:val="FFFFFF" w:themeColor="background1"/>
                <w:szCs w:val="24"/>
              </w:rPr>
            </w:pPr>
            <w:r w:rsidRPr="00D948C1">
              <w:rPr>
                <w:color w:val="FFFFFF" w:themeColor="background1"/>
                <w:szCs w:val="24"/>
              </w:rPr>
              <w:t>Amortised Cost</w:t>
            </w:r>
          </w:p>
          <w:p w14:paraId="14F7B3DE" w14:textId="345FBD47"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c>
          <w:tcPr>
            <w:tcW w:w="1118" w:type="dxa"/>
            <w:shd w:val="clear" w:color="auto" w:fill="BD2716"/>
            <w:vAlign w:val="center"/>
          </w:tcPr>
          <w:p w14:paraId="3C74CE9D" w14:textId="77777777" w:rsidR="000960DE" w:rsidRPr="00D948C1" w:rsidRDefault="000960DE" w:rsidP="006C0086">
            <w:pPr>
              <w:spacing w:line="276" w:lineRule="auto"/>
              <w:jc w:val="right"/>
              <w:rPr>
                <w:color w:val="FFFFFF" w:themeColor="background1"/>
                <w:szCs w:val="24"/>
              </w:rPr>
            </w:pPr>
            <w:r w:rsidRPr="00D948C1">
              <w:rPr>
                <w:color w:val="FFFFFF" w:themeColor="background1"/>
                <w:szCs w:val="24"/>
              </w:rPr>
              <w:t>Fair Value</w:t>
            </w:r>
          </w:p>
          <w:p w14:paraId="7DBC0C88" w14:textId="248EABFD" w:rsidR="00DC7A16" w:rsidRPr="00D948C1" w:rsidRDefault="00DC7A16" w:rsidP="006C0086">
            <w:pPr>
              <w:spacing w:line="276" w:lineRule="auto"/>
              <w:jc w:val="right"/>
              <w:rPr>
                <w:color w:val="FFFFFF" w:themeColor="background1"/>
                <w:szCs w:val="24"/>
              </w:rPr>
            </w:pPr>
            <w:r w:rsidRPr="00D948C1">
              <w:rPr>
                <w:color w:val="FFFFFF" w:themeColor="background1"/>
                <w:szCs w:val="24"/>
              </w:rPr>
              <w:t>£000</w:t>
            </w:r>
          </w:p>
        </w:tc>
      </w:tr>
      <w:tr w:rsidR="001318F9" w:rsidRPr="00D948C1" w14:paraId="6F6D94B0" w14:textId="77777777" w:rsidTr="007641BA">
        <w:tc>
          <w:tcPr>
            <w:tcW w:w="4238" w:type="dxa"/>
            <w:shd w:val="clear" w:color="auto" w:fill="auto"/>
            <w:vAlign w:val="center"/>
          </w:tcPr>
          <w:p w14:paraId="017F534A" w14:textId="77777777" w:rsidR="001318F9" w:rsidRPr="00D948C1" w:rsidRDefault="001318F9" w:rsidP="006C0086">
            <w:pPr>
              <w:spacing w:line="276" w:lineRule="auto"/>
              <w:ind w:left="60"/>
              <w:rPr>
                <w:szCs w:val="24"/>
              </w:rPr>
            </w:pPr>
            <w:r w:rsidRPr="00D948C1">
              <w:rPr>
                <w:szCs w:val="24"/>
              </w:rPr>
              <w:t>Loans from the Public Works Loan Board</w:t>
            </w:r>
          </w:p>
        </w:tc>
        <w:tc>
          <w:tcPr>
            <w:tcW w:w="1297" w:type="dxa"/>
            <w:shd w:val="clear" w:color="auto" w:fill="auto"/>
            <w:vAlign w:val="center"/>
          </w:tcPr>
          <w:p w14:paraId="0CAB018C" w14:textId="02F263D4"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2,000</w:t>
            </w:r>
          </w:p>
        </w:tc>
        <w:tc>
          <w:tcPr>
            <w:tcW w:w="1118" w:type="dxa"/>
            <w:shd w:val="clear" w:color="auto" w:fill="auto"/>
            <w:vAlign w:val="center"/>
          </w:tcPr>
          <w:p w14:paraId="17670C2A" w14:textId="5EB46C7A"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1,9</w:t>
            </w:r>
            <w:r w:rsidR="008F1BC0" w:rsidRPr="00D948C1">
              <w:rPr>
                <w:szCs w:val="24"/>
              </w:rPr>
              <w:t>30</w:t>
            </w:r>
          </w:p>
        </w:tc>
        <w:tc>
          <w:tcPr>
            <w:tcW w:w="1297" w:type="dxa"/>
            <w:shd w:val="clear" w:color="auto" w:fill="auto"/>
            <w:vAlign w:val="center"/>
          </w:tcPr>
          <w:p w14:paraId="674A5DFE" w14:textId="3A010762"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2,000</w:t>
            </w:r>
          </w:p>
        </w:tc>
        <w:tc>
          <w:tcPr>
            <w:tcW w:w="1118" w:type="dxa"/>
            <w:shd w:val="clear" w:color="auto" w:fill="auto"/>
            <w:vAlign w:val="center"/>
          </w:tcPr>
          <w:p w14:paraId="2B04BA58" w14:textId="0E2C3EB8"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1,915</w:t>
            </w:r>
          </w:p>
        </w:tc>
      </w:tr>
      <w:tr w:rsidR="001318F9" w:rsidRPr="00D948C1" w14:paraId="73D10E4A" w14:textId="77777777" w:rsidTr="007641BA">
        <w:tc>
          <w:tcPr>
            <w:tcW w:w="4238" w:type="dxa"/>
            <w:shd w:val="clear" w:color="auto" w:fill="auto"/>
            <w:vAlign w:val="center"/>
          </w:tcPr>
          <w:p w14:paraId="09ACAB1F" w14:textId="086E8157" w:rsidR="001318F9" w:rsidRPr="00D948C1" w:rsidRDefault="0076078A" w:rsidP="006C0086">
            <w:pPr>
              <w:spacing w:line="276" w:lineRule="auto"/>
              <w:ind w:left="60"/>
              <w:rPr>
                <w:szCs w:val="24"/>
              </w:rPr>
            </w:pPr>
            <w:r>
              <w:rPr>
                <w:szCs w:val="24"/>
              </w:rPr>
              <w:t>Private Finance Initiative</w:t>
            </w:r>
            <w:r w:rsidR="001318F9" w:rsidRPr="00D948C1">
              <w:rPr>
                <w:szCs w:val="24"/>
              </w:rPr>
              <w:t xml:space="preserve"> Liabilities</w:t>
            </w:r>
          </w:p>
        </w:tc>
        <w:tc>
          <w:tcPr>
            <w:tcW w:w="1297" w:type="dxa"/>
            <w:shd w:val="clear" w:color="auto" w:fill="auto"/>
            <w:vAlign w:val="center"/>
          </w:tcPr>
          <w:p w14:paraId="402D6DD9" w14:textId="03C33AB9" w:rsidR="001318F9" w:rsidRPr="00D948C1" w:rsidRDefault="0052361F" w:rsidP="006C0086">
            <w:pPr>
              <w:pStyle w:val="Footer"/>
              <w:tabs>
                <w:tab w:val="clear" w:pos="4153"/>
                <w:tab w:val="clear" w:pos="8306"/>
                <w:tab w:val="decimal" w:pos="326"/>
              </w:tabs>
              <w:spacing w:line="276" w:lineRule="auto"/>
              <w:jc w:val="right"/>
              <w:rPr>
                <w:szCs w:val="24"/>
              </w:rPr>
            </w:pPr>
            <w:r w:rsidRPr="00D948C1">
              <w:rPr>
                <w:szCs w:val="24"/>
              </w:rPr>
              <w:t>11,339</w:t>
            </w:r>
          </w:p>
        </w:tc>
        <w:tc>
          <w:tcPr>
            <w:tcW w:w="1118" w:type="dxa"/>
            <w:shd w:val="clear" w:color="auto" w:fill="auto"/>
            <w:vAlign w:val="center"/>
          </w:tcPr>
          <w:p w14:paraId="29DBF068" w14:textId="4C03695A" w:rsidR="001318F9" w:rsidRPr="00D948C1" w:rsidRDefault="0052361F" w:rsidP="006C0086">
            <w:pPr>
              <w:pStyle w:val="Footer"/>
              <w:tabs>
                <w:tab w:val="clear" w:pos="4153"/>
                <w:tab w:val="clear" w:pos="8306"/>
                <w:tab w:val="decimal" w:pos="326"/>
              </w:tabs>
              <w:spacing w:line="276" w:lineRule="auto"/>
              <w:jc w:val="right"/>
              <w:rPr>
                <w:szCs w:val="24"/>
              </w:rPr>
            </w:pPr>
            <w:r w:rsidRPr="00D948C1">
              <w:rPr>
                <w:szCs w:val="24"/>
              </w:rPr>
              <w:t>14,123</w:t>
            </w:r>
          </w:p>
        </w:tc>
        <w:tc>
          <w:tcPr>
            <w:tcW w:w="1297" w:type="dxa"/>
            <w:shd w:val="clear" w:color="auto" w:fill="auto"/>
            <w:vAlign w:val="center"/>
          </w:tcPr>
          <w:p w14:paraId="75A27FB3" w14:textId="02F6F10E"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12,351</w:t>
            </w:r>
          </w:p>
        </w:tc>
        <w:tc>
          <w:tcPr>
            <w:tcW w:w="1118" w:type="dxa"/>
            <w:shd w:val="clear" w:color="auto" w:fill="auto"/>
            <w:vAlign w:val="center"/>
          </w:tcPr>
          <w:p w14:paraId="7609DF86" w14:textId="1516556E" w:rsidR="001318F9" w:rsidRPr="00D948C1" w:rsidRDefault="001318F9" w:rsidP="006C0086">
            <w:pPr>
              <w:pStyle w:val="Footer"/>
              <w:tabs>
                <w:tab w:val="clear" w:pos="4153"/>
                <w:tab w:val="clear" w:pos="8306"/>
                <w:tab w:val="decimal" w:pos="326"/>
              </w:tabs>
              <w:spacing w:line="276" w:lineRule="auto"/>
              <w:jc w:val="right"/>
              <w:rPr>
                <w:szCs w:val="24"/>
              </w:rPr>
            </w:pPr>
            <w:r w:rsidRPr="00D948C1">
              <w:rPr>
                <w:szCs w:val="24"/>
              </w:rPr>
              <w:t>13,509</w:t>
            </w:r>
          </w:p>
        </w:tc>
      </w:tr>
    </w:tbl>
    <w:p w14:paraId="0C471472" w14:textId="23C0881D" w:rsidR="00BE3374" w:rsidRPr="00D948C1" w:rsidRDefault="00BE3374" w:rsidP="006C0086">
      <w:pPr>
        <w:spacing w:line="276" w:lineRule="auto"/>
        <w:jc w:val="both"/>
        <w:rPr>
          <w:szCs w:val="24"/>
        </w:rPr>
      </w:pPr>
    </w:p>
    <w:p w14:paraId="3C0E1543" w14:textId="4103C124" w:rsidR="00D90216" w:rsidRPr="00D948C1" w:rsidRDefault="00D90216" w:rsidP="006C0086">
      <w:pPr>
        <w:spacing w:line="276" w:lineRule="auto"/>
        <w:ind w:left="720"/>
        <w:rPr>
          <w:szCs w:val="24"/>
        </w:rPr>
      </w:pPr>
      <w:r w:rsidRPr="00D948C1">
        <w:rPr>
          <w:szCs w:val="24"/>
        </w:rPr>
        <w:t xml:space="preserve">Without the addition of accrued interest, the actual Public Works Loan Board </w:t>
      </w:r>
      <w:r w:rsidR="00CC6AF3" w:rsidRPr="00D948C1">
        <w:rPr>
          <w:szCs w:val="24"/>
        </w:rPr>
        <w:t xml:space="preserve">debt outstanding </w:t>
      </w:r>
      <w:proofErr w:type="gramStart"/>
      <w:r w:rsidR="00CC6AF3" w:rsidRPr="00D948C1">
        <w:rPr>
          <w:szCs w:val="24"/>
        </w:rPr>
        <w:t>at</w:t>
      </w:r>
      <w:proofErr w:type="gramEnd"/>
      <w:r w:rsidR="00CC6AF3" w:rsidRPr="00D948C1">
        <w:rPr>
          <w:szCs w:val="24"/>
        </w:rPr>
        <w:t xml:space="preserve"> 31 March 202</w:t>
      </w:r>
      <w:r w:rsidR="001318F9" w:rsidRPr="00D948C1">
        <w:rPr>
          <w:szCs w:val="24"/>
        </w:rPr>
        <w:t>4</w:t>
      </w:r>
      <w:r w:rsidRPr="00D948C1">
        <w:rPr>
          <w:szCs w:val="24"/>
        </w:rPr>
        <w:t xml:space="preserve"> is </w:t>
      </w:r>
      <w:r w:rsidR="00B92CFE" w:rsidRPr="00D948C1">
        <w:rPr>
          <w:szCs w:val="24"/>
        </w:rPr>
        <w:t>£</w:t>
      </w:r>
      <w:r w:rsidR="00C95614" w:rsidRPr="00D948C1">
        <w:rPr>
          <w:szCs w:val="24"/>
        </w:rPr>
        <w:t>2.000</w:t>
      </w:r>
      <w:r w:rsidRPr="00D948C1">
        <w:rPr>
          <w:szCs w:val="24"/>
        </w:rPr>
        <w:t>m (20</w:t>
      </w:r>
      <w:r w:rsidR="00F26A44" w:rsidRPr="00D948C1">
        <w:rPr>
          <w:szCs w:val="24"/>
        </w:rPr>
        <w:t>2</w:t>
      </w:r>
      <w:r w:rsidR="001318F9" w:rsidRPr="00D948C1">
        <w:rPr>
          <w:szCs w:val="24"/>
        </w:rPr>
        <w:t>2</w:t>
      </w:r>
      <w:r w:rsidR="00F26A44" w:rsidRPr="00D948C1">
        <w:rPr>
          <w:szCs w:val="24"/>
        </w:rPr>
        <w:t>/</w:t>
      </w:r>
      <w:r w:rsidR="00255C4C" w:rsidRPr="00D948C1">
        <w:rPr>
          <w:szCs w:val="24"/>
        </w:rPr>
        <w:t>2</w:t>
      </w:r>
      <w:r w:rsidR="001318F9" w:rsidRPr="00D948C1">
        <w:rPr>
          <w:szCs w:val="24"/>
        </w:rPr>
        <w:t>3</w:t>
      </w:r>
      <w:r w:rsidRPr="00D948C1">
        <w:rPr>
          <w:szCs w:val="24"/>
        </w:rPr>
        <w:t>: £</w:t>
      </w:r>
      <w:r w:rsidR="0003405C" w:rsidRPr="00D948C1">
        <w:rPr>
          <w:szCs w:val="24"/>
        </w:rPr>
        <w:t>2</w:t>
      </w:r>
      <w:r w:rsidR="006D29C3" w:rsidRPr="00D948C1">
        <w:rPr>
          <w:szCs w:val="24"/>
        </w:rPr>
        <w:t>.</w:t>
      </w:r>
      <w:r w:rsidR="0003405C" w:rsidRPr="00D948C1">
        <w:rPr>
          <w:szCs w:val="24"/>
        </w:rPr>
        <w:t>000</w:t>
      </w:r>
      <w:r w:rsidRPr="00D948C1">
        <w:rPr>
          <w:szCs w:val="24"/>
        </w:rPr>
        <w:t>m) and it is due for repayment as shown in the following table:</w:t>
      </w:r>
    </w:p>
    <w:p w14:paraId="49908972" w14:textId="77777777" w:rsidR="00300384" w:rsidRPr="00D948C1" w:rsidRDefault="00300384" w:rsidP="006C0086">
      <w:pPr>
        <w:spacing w:line="276" w:lineRule="auto"/>
        <w:ind w:left="720"/>
        <w:rPr>
          <w:szCs w:val="24"/>
        </w:rPr>
      </w:pPr>
    </w:p>
    <w:tbl>
      <w:tblPr>
        <w:tblW w:w="7371"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54"/>
        <w:gridCol w:w="1606"/>
      </w:tblGrid>
      <w:tr w:rsidR="001318F9" w:rsidRPr="00D948C1" w14:paraId="23B71AD1" w14:textId="77777777" w:rsidTr="00611673">
        <w:trPr>
          <w:trHeight w:hRule="exact" w:val="555"/>
          <w:tblHeader/>
        </w:trPr>
        <w:tc>
          <w:tcPr>
            <w:tcW w:w="4111" w:type="dxa"/>
            <w:shd w:val="clear" w:color="auto" w:fill="BD2716"/>
          </w:tcPr>
          <w:p w14:paraId="035272D3" w14:textId="77777777" w:rsidR="001318F9" w:rsidRPr="00D948C1" w:rsidRDefault="001318F9" w:rsidP="006C0086">
            <w:pPr>
              <w:pStyle w:val="Footer"/>
              <w:tabs>
                <w:tab w:val="clear" w:pos="4153"/>
                <w:tab w:val="clear" w:pos="8306"/>
              </w:tabs>
              <w:spacing w:line="276" w:lineRule="auto"/>
              <w:rPr>
                <w:color w:val="FFFFFF" w:themeColor="background1"/>
                <w:szCs w:val="24"/>
              </w:rPr>
            </w:pPr>
          </w:p>
        </w:tc>
        <w:tc>
          <w:tcPr>
            <w:tcW w:w="1654" w:type="dxa"/>
            <w:shd w:val="clear" w:color="auto" w:fill="BD2716"/>
            <w:vAlign w:val="center"/>
          </w:tcPr>
          <w:p w14:paraId="251EEA56"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0D0BC712" w14:textId="2E10AB1D"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606" w:type="dxa"/>
            <w:shd w:val="clear" w:color="auto" w:fill="BD2716"/>
            <w:vAlign w:val="center"/>
          </w:tcPr>
          <w:p w14:paraId="0B6AD981"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5FDD7BA2" w14:textId="1D26E103"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BA53E7" w:rsidRPr="00D948C1" w14:paraId="31DB786B" w14:textId="77777777" w:rsidTr="006637EE">
        <w:trPr>
          <w:trHeight w:hRule="exact" w:val="278"/>
        </w:trPr>
        <w:tc>
          <w:tcPr>
            <w:tcW w:w="4111" w:type="dxa"/>
            <w:vAlign w:val="bottom"/>
          </w:tcPr>
          <w:p w14:paraId="74F22DAA" w14:textId="77777777" w:rsidR="00BA53E7" w:rsidRPr="00D948C1" w:rsidRDefault="00BA53E7" w:rsidP="006C0086">
            <w:pPr>
              <w:spacing w:line="276" w:lineRule="auto"/>
              <w:rPr>
                <w:szCs w:val="24"/>
              </w:rPr>
            </w:pPr>
            <w:r w:rsidRPr="00D948C1">
              <w:rPr>
                <w:szCs w:val="24"/>
              </w:rPr>
              <w:t>Over 10 years</w:t>
            </w:r>
          </w:p>
        </w:tc>
        <w:tc>
          <w:tcPr>
            <w:tcW w:w="1654" w:type="dxa"/>
            <w:vAlign w:val="center"/>
          </w:tcPr>
          <w:p w14:paraId="09CEC387" w14:textId="77777777" w:rsidR="00BA53E7" w:rsidRPr="00D948C1" w:rsidRDefault="00BA53E7" w:rsidP="006C0086">
            <w:pPr>
              <w:tabs>
                <w:tab w:val="decimal" w:pos="979"/>
              </w:tabs>
              <w:spacing w:line="276" w:lineRule="auto"/>
              <w:jc w:val="right"/>
              <w:rPr>
                <w:szCs w:val="24"/>
              </w:rPr>
            </w:pPr>
            <w:r w:rsidRPr="00D948C1">
              <w:rPr>
                <w:szCs w:val="24"/>
              </w:rPr>
              <w:t>2,000</w:t>
            </w:r>
          </w:p>
        </w:tc>
        <w:tc>
          <w:tcPr>
            <w:tcW w:w="1606" w:type="dxa"/>
            <w:vAlign w:val="center"/>
          </w:tcPr>
          <w:p w14:paraId="0F650BAF" w14:textId="6CCF1E88" w:rsidR="00BA53E7" w:rsidRPr="00D948C1" w:rsidRDefault="00BA53E7" w:rsidP="006C0086">
            <w:pPr>
              <w:tabs>
                <w:tab w:val="decimal" w:pos="979"/>
              </w:tabs>
              <w:spacing w:line="276" w:lineRule="auto"/>
              <w:jc w:val="right"/>
              <w:rPr>
                <w:szCs w:val="24"/>
              </w:rPr>
            </w:pPr>
            <w:r w:rsidRPr="00D948C1">
              <w:rPr>
                <w:szCs w:val="24"/>
              </w:rPr>
              <w:t>2,000</w:t>
            </w:r>
          </w:p>
        </w:tc>
      </w:tr>
      <w:tr w:rsidR="00BA53E7" w:rsidRPr="00D948C1" w14:paraId="0BEF2570" w14:textId="77777777" w:rsidTr="006637EE">
        <w:trPr>
          <w:trHeight w:hRule="exact" w:val="278"/>
        </w:trPr>
        <w:tc>
          <w:tcPr>
            <w:tcW w:w="4111" w:type="dxa"/>
          </w:tcPr>
          <w:p w14:paraId="4BA76A86" w14:textId="5A084161" w:rsidR="00BA53E7" w:rsidRPr="00D948C1" w:rsidRDefault="00617696" w:rsidP="006C0086">
            <w:pPr>
              <w:spacing w:line="276" w:lineRule="auto"/>
              <w:rPr>
                <w:szCs w:val="24"/>
              </w:rPr>
            </w:pPr>
            <w:r w:rsidRPr="00D948C1">
              <w:rPr>
                <w:szCs w:val="24"/>
              </w:rPr>
              <w:t>Total</w:t>
            </w:r>
          </w:p>
        </w:tc>
        <w:tc>
          <w:tcPr>
            <w:tcW w:w="1654" w:type="dxa"/>
            <w:vAlign w:val="center"/>
          </w:tcPr>
          <w:p w14:paraId="70AE85B9" w14:textId="77777777" w:rsidR="00BA53E7" w:rsidRPr="00D948C1" w:rsidRDefault="00BA53E7" w:rsidP="006C0086">
            <w:pPr>
              <w:tabs>
                <w:tab w:val="decimal" w:pos="979"/>
              </w:tabs>
              <w:spacing w:line="276" w:lineRule="auto"/>
              <w:jc w:val="right"/>
              <w:rPr>
                <w:szCs w:val="24"/>
              </w:rPr>
            </w:pPr>
            <w:r w:rsidRPr="00D948C1">
              <w:rPr>
                <w:szCs w:val="24"/>
              </w:rPr>
              <w:t>2,000</w:t>
            </w:r>
          </w:p>
        </w:tc>
        <w:tc>
          <w:tcPr>
            <w:tcW w:w="1606" w:type="dxa"/>
            <w:vAlign w:val="center"/>
          </w:tcPr>
          <w:p w14:paraId="242BBC84" w14:textId="60D34549" w:rsidR="00BA53E7" w:rsidRPr="00D948C1" w:rsidRDefault="00BA53E7" w:rsidP="006C0086">
            <w:pPr>
              <w:tabs>
                <w:tab w:val="decimal" w:pos="979"/>
              </w:tabs>
              <w:spacing w:line="276" w:lineRule="auto"/>
              <w:jc w:val="right"/>
              <w:rPr>
                <w:szCs w:val="24"/>
              </w:rPr>
            </w:pPr>
            <w:r w:rsidRPr="00D948C1">
              <w:rPr>
                <w:szCs w:val="24"/>
              </w:rPr>
              <w:t>2,000</w:t>
            </w:r>
          </w:p>
        </w:tc>
      </w:tr>
    </w:tbl>
    <w:p w14:paraId="707BDF86" w14:textId="77777777" w:rsidR="00D90216" w:rsidRPr="00D948C1" w:rsidRDefault="00D90216" w:rsidP="006C0086">
      <w:pPr>
        <w:spacing w:line="276" w:lineRule="auto"/>
        <w:jc w:val="both"/>
        <w:rPr>
          <w:szCs w:val="24"/>
        </w:rPr>
      </w:pPr>
    </w:p>
    <w:p w14:paraId="5B3B0D77" w14:textId="77777777" w:rsidR="00D90216" w:rsidRPr="00D948C1" w:rsidRDefault="007C6DCB" w:rsidP="006C0086">
      <w:pPr>
        <w:pStyle w:val="Heading2"/>
        <w:spacing w:line="276" w:lineRule="auto"/>
        <w:jc w:val="left"/>
        <w:rPr>
          <w:sz w:val="24"/>
          <w:szCs w:val="24"/>
        </w:rPr>
      </w:pPr>
      <w:bookmarkStart w:id="40" w:name="_Toc171068793"/>
      <w:r w:rsidRPr="00D948C1">
        <w:rPr>
          <w:sz w:val="24"/>
          <w:szCs w:val="24"/>
        </w:rPr>
        <w:t>9</w:t>
      </w:r>
      <w:r w:rsidR="00D90216" w:rsidRPr="00D948C1">
        <w:rPr>
          <w:sz w:val="24"/>
          <w:szCs w:val="24"/>
        </w:rPr>
        <w:tab/>
      </w:r>
      <w:bookmarkStart w:id="41" w:name="N9"/>
      <w:bookmarkEnd w:id="41"/>
      <w:r w:rsidR="00D90216" w:rsidRPr="00D948C1">
        <w:rPr>
          <w:sz w:val="24"/>
          <w:szCs w:val="24"/>
        </w:rPr>
        <w:t>Debtors</w:t>
      </w:r>
      <w:bookmarkEnd w:id="40"/>
    </w:p>
    <w:p w14:paraId="03807CC1" w14:textId="77777777" w:rsidR="00D90216" w:rsidRPr="00D948C1" w:rsidRDefault="00D90216" w:rsidP="006C0086">
      <w:pPr>
        <w:spacing w:line="276" w:lineRule="auto"/>
        <w:rPr>
          <w:szCs w:val="24"/>
          <w:u w:val="single"/>
        </w:rPr>
      </w:pPr>
    </w:p>
    <w:tbl>
      <w:tblPr>
        <w:tblW w:w="736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38"/>
        <w:gridCol w:w="1620"/>
      </w:tblGrid>
      <w:tr w:rsidR="001318F9" w:rsidRPr="00D948C1" w14:paraId="06B3951C" w14:textId="77777777" w:rsidTr="00611673">
        <w:trPr>
          <w:trHeight w:hRule="exact" w:val="578"/>
          <w:tblHeader/>
        </w:trPr>
        <w:tc>
          <w:tcPr>
            <w:tcW w:w="4111" w:type="dxa"/>
            <w:shd w:val="clear" w:color="auto" w:fill="BD2716"/>
          </w:tcPr>
          <w:p w14:paraId="733EA884" w14:textId="77777777" w:rsidR="001318F9" w:rsidRPr="00D948C1" w:rsidRDefault="001318F9" w:rsidP="006C0086">
            <w:pPr>
              <w:pStyle w:val="Footer"/>
              <w:tabs>
                <w:tab w:val="clear" w:pos="4153"/>
                <w:tab w:val="clear" w:pos="8306"/>
              </w:tabs>
              <w:spacing w:line="276" w:lineRule="auto"/>
              <w:rPr>
                <w:color w:val="FFFFFF" w:themeColor="background1"/>
                <w:szCs w:val="24"/>
              </w:rPr>
            </w:pPr>
          </w:p>
        </w:tc>
        <w:tc>
          <w:tcPr>
            <w:tcW w:w="1638" w:type="dxa"/>
            <w:shd w:val="clear" w:color="auto" w:fill="BD2716"/>
            <w:vAlign w:val="center"/>
          </w:tcPr>
          <w:p w14:paraId="422FF683"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45D3B6D4" w14:textId="4510E20C"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620" w:type="dxa"/>
            <w:shd w:val="clear" w:color="auto" w:fill="BD2716"/>
            <w:vAlign w:val="center"/>
          </w:tcPr>
          <w:p w14:paraId="6B70F2D6"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16E382CD" w14:textId="6720DD12" w:rsidR="001318F9" w:rsidRPr="00D948C1" w:rsidRDefault="001318F9" w:rsidP="006C0086">
            <w:pPr>
              <w:pStyle w:val="BodyTextIndent"/>
              <w:spacing w:line="276" w:lineRule="auto"/>
              <w:ind w:left="-12"/>
              <w:jc w:val="right"/>
              <w:rPr>
                <w:color w:val="FFFFFF" w:themeColor="background1"/>
                <w:szCs w:val="24"/>
                <w:lang w:val="en-GB"/>
              </w:rPr>
            </w:pPr>
            <w:r w:rsidRPr="00D948C1">
              <w:rPr>
                <w:color w:val="FFFFFF" w:themeColor="background1"/>
                <w:szCs w:val="24"/>
                <w:lang w:val="en-GB"/>
              </w:rPr>
              <w:t>£000</w:t>
            </w:r>
          </w:p>
        </w:tc>
      </w:tr>
      <w:tr w:rsidR="001318F9" w:rsidRPr="00D948C1" w14:paraId="190CA419" w14:textId="77777777" w:rsidTr="006637EE">
        <w:trPr>
          <w:trHeight w:val="278"/>
        </w:trPr>
        <w:tc>
          <w:tcPr>
            <w:tcW w:w="4111" w:type="dxa"/>
          </w:tcPr>
          <w:p w14:paraId="11681FD0" w14:textId="77777777" w:rsidR="001318F9" w:rsidRPr="00D948C1" w:rsidRDefault="001318F9" w:rsidP="006C0086">
            <w:pPr>
              <w:pStyle w:val="Footer"/>
              <w:tabs>
                <w:tab w:val="clear" w:pos="4153"/>
                <w:tab w:val="clear" w:pos="8306"/>
                <w:tab w:val="left" w:pos="270"/>
              </w:tabs>
              <w:spacing w:line="276" w:lineRule="auto"/>
              <w:rPr>
                <w:szCs w:val="24"/>
              </w:rPr>
            </w:pPr>
            <w:r w:rsidRPr="00D948C1">
              <w:rPr>
                <w:szCs w:val="24"/>
              </w:rPr>
              <w:t>Trade debtors</w:t>
            </w:r>
          </w:p>
        </w:tc>
        <w:tc>
          <w:tcPr>
            <w:tcW w:w="1638" w:type="dxa"/>
            <w:vAlign w:val="center"/>
          </w:tcPr>
          <w:p w14:paraId="62991A3E" w14:textId="2B210900" w:rsidR="001318F9" w:rsidRPr="00D948C1" w:rsidRDefault="00B244AB" w:rsidP="006C0086">
            <w:pPr>
              <w:tabs>
                <w:tab w:val="decimal" w:pos="900"/>
              </w:tabs>
              <w:spacing w:line="276" w:lineRule="auto"/>
              <w:jc w:val="right"/>
              <w:rPr>
                <w:szCs w:val="24"/>
              </w:rPr>
            </w:pPr>
            <w:r w:rsidRPr="00D948C1">
              <w:rPr>
                <w:szCs w:val="24"/>
              </w:rPr>
              <w:t>2,12</w:t>
            </w:r>
            <w:r w:rsidR="00F33340" w:rsidRPr="00D948C1">
              <w:rPr>
                <w:szCs w:val="24"/>
              </w:rPr>
              <w:t>3</w:t>
            </w:r>
          </w:p>
        </w:tc>
        <w:tc>
          <w:tcPr>
            <w:tcW w:w="1620" w:type="dxa"/>
            <w:vAlign w:val="center"/>
          </w:tcPr>
          <w:p w14:paraId="0F6EB3AA" w14:textId="7D313B49" w:rsidR="001318F9" w:rsidRPr="00D948C1" w:rsidRDefault="001318F9" w:rsidP="006C0086">
            <w:pPr>
              <w:tabs>
                <w:tab w:val="decimal" w:pos="900"/>
              </w:tabs>
              <w:spacing w:line="276" w:lineRule="auto"/>
              <w:ind w:left="-12"/>
              <w:jc w:val="right"/>
              <w:rPr>
                <w:szCs w:val="24"/>
              </w:rPr>
            </w:pPr>
            <w:r w:rsidRPr="00D948C1">
              <w:rPr>
                <w:szCs w:val="24"/>
              </w:rPr>
              <w:t>2,005</w:t>
            </w:r>
          </w:p>
        </w:tc>
      </w:tr>
      <w:tr w:rsidR="001318F9" w:rsidRPr="00D948C1" w14:paraId="5F336B28" w14:textId="77777777" w:rsidTr="006637EE">
        <w:trPr>
          <w:trHeight w:val="278"/>
        </w:trPr>
        <w:tc>
          <w:tcPr>
            <w:tcW w:w="4111" w:type="dxa"/>
          </w:tcPr>
          <w:p w14:paraId="150020B6" w14:textId="77777777" w:rsidR="001318F9" w:rsidRPr="00D948C1" w:rsidRDefault="001318F9" w:rsidP="006C0086">
            <w:pPr>
              <w:tabs>
                <w:tab w:val="left" w:pos="270"/>
              </w:tabs>
              <w:spacing w:line="276" w:lineRule="auto"/>
              <w:rPr>
                <w:szCs w:val="24"/>
              </w:rPr>
            </w:pPr>
            <w:r w:rsidRPr="00D948C1">
              <w:rPr>
                <w:szCs w:val="24"/>
              </w:rPr>
              <w:t>VAT</w:t>
            </w:r>
          </w:p>
        </w:tc>
        <w:tc>
          <w:tcPr>
            <w:tcW w:w="1638" w:type="dxa"/>
            <w:vAlign w:val="center"/>
          </w:tcPr>
          <w:p w14:paraId="40F3A07D" w14:textId="62AEA3BB" w:rsidR="001318F9" w:rsidRPr="00D948C1" w:rsidRDefault="00B244AB" w:rsidP="006C0086">
            <w:pPr>
              <w:tabs>
                <w:tab w:val="decimal" w:pos="900"/>
              </w:tabs>
              <w:spacing w:line="276" w:lineRule="auto"/>
              <w:jc w:val="right"/>
              <w:rPr>
                <w:szCs w:val="24"/>
              </w:rPr>
            </w:pPr>
            <w:r w:rsidRPr="00D948C1">
              <w:rPr>
                <w:szCs w:val="24"/>
              </w:rPr>
              <w:t>3,</w:t>
            </w:r>
            <w:r w:rsidR="00C378F3" w:rsidRPr="00D948C1">
              <w:rPr>
                <w:szCs w:val="24"/>
              </w:rPr>
              <w:t>862</w:t>
            </w:r>
          </w:p>
        </w:tc>
        <w:tc>
          <w:tcPr>
            <w:tcW w:w="1620" w:type="dxa"/>
            <w:vAlign w:val="center"/>
          </w:tcPr>
          <w:p w14:paraId="06F03C44" w14:textId="27A5E57E" w:rsidR="001318F9" w:rsidRPr="00D948C1" w:rsidRDefault="001318F9" w:rsidP="006C0086">
            <w:pPr>
              <w:tabs>
                <w:tab w:val="decimal" w:pos="900"/>
              </w:tabs>
              <w:spacing w:line="276" w:lineRule="auto"/>
              <w:ind w:left="-12"/>
              <w:jc w:val="right"/>
              <w:rPr>
                <w:szCs w:val="24"/>
              </w:rPr>
            </w:pPr>
            <w:r w:rsidRPr="00D948C1">
              <w:rPr>
                <w:szCs w:val="24"/>
              </w:rPr>
              <w:t>791</w:t>
            </w:r>
          </w:p>
        </w:tc>
      </w:tr>
      <w:tr w:rsidR="001318F9" w:rsidRPr="00D948C1" w14:paraId="17D5964D" w14:textId="77777777" w:rsidTr="006637EE">
        <w:trPr>
          <w:trHeight w:val="278"/>
        </w:trPr>
        <w:tc>
          <w:tcPr>
            <w:tcW w:w="4111" w:type="dxa"/>
          </w:tcPr>
          <w:p w14:paraId="52A2CE39" w14:textId="77777777" w:rsidR="001318F9" w:rsidRPr="00D948C1" w:rsidRDefault="001318F9" w:rsidP="006C0086">
            <w:pPr>
              <w:tabs>
                <w:tab w:val="left" w:pos="270"/>
              </w:tabs>
              <w:spacing w:line="276" w:lineRule="auto"/>
              <w:rPr>
                <w:szCs w:val="24"/>
              </w:rPr>
            </w:pPr>
            <w:r w:rsidRPr="00D948C1">
              <w:rPr>
                <w:szCs w:val="24"/>
              </w:rPr>
              <w:t>Local taxation debtors</w:t>
            </w:r>
          </w:p>
        </w:tc>
        <w:tc>
          <w:tcPr>
            <w:tcW w:w="1638" w:type="dxa"/>
            <w:vAlign w:val="center"/>
          </w:tcPr>
          <w:p w14:paraId="4ACE41BD" w14:textId="7123EAEC" w:rsidR="001318F9" w:rsidRPr="00D948C1" w:rsidRDefault="001318F9" w:rsidP="006C0086">
            <w:pPr>
              <w:tabs>
                <w:tab w:val="decimal" w:pos="900"/>
              </w:tabs>
              <w:spacing w:line="276" w:lineRule="auto"/>
              <w:jc w:val="right"/>
              <w:rPr>
                <w:szCs w:val="24"/>
              </w:rPr>
            </w:pPr>
            <w:r w:rsidRPr="00D948C1">
              <w:rPr>
                <w:szCs w:val="24"/>
              </w:rPr>
              <w:t>4,3</w:t>
            </w:r>
            <w:r w:rsidR="00F33340" w:rsidRPr="00D948C1">
              <w:rPr>
                <w:szCs w:val="24"/>
              </w:rPr>
              <w:t>03</w:t>
            </w:r>
          </w:p>
        </w:tc>
        <w:tc>
          <w:tcPr>
            <w:tcW w:w="1620" w:type="dxa"/>
            <w:vAlign w:val="center"/>
          </w:tcPr>
          <w:p w14:paraId="6CD6D2FB" w14:textId="20240734" w:rsidR="001318F9" w:rsidRPr="00D948C1" w:rsidRDefault="001318F9" w:rsidP="006C0086">
            <w:pPr>
              <w:tabs>
                <w:tab w:val="decimal" w:pos="900"/>
              </w:tabs>
              <w:spacing w:line="276" w:lineRule="auto"/>
              <w:ind w:left="-12"/>
              <w:jc w:val="right"/>
              <w:rPr>
                <w:szCs w:val="24"/>
              </w:rPr>
            </w:pPr>
            <w:r w:rsidRPr="00D948C1">
              <w:rPr>
                <w:szCs w:val="24"/>
              </w:rPr>
              <w:t>4,325</w:t>
            </w:r>
          </w:p>
        </w:tc>
      </w:tr>
      <w:tr w:rsidR="001318F9" w:rsidRPr="00D948C1" w14:paraId="2C0F6E9E" w14:textId="77777777" w:rsidTr="006637EE">
        <w:trPr>
          <w:trHeight w:val="278"/>
        </w:trPr>
        <w:tc>
          <w:tcPr>
            <w:tcW w:w="4111" w:type="dxa"/>
          </w:tcPr>
          <w:p w14:paraId="77F3D3CC" w14:textId="77777777" w:rsidR="001318F9" w:rsidRPr="00D948C1" w:rsidRDefault="001318F9" w:rsidP="006C0086">
            <w:pPr>
              <w:tabs>
                <w:tab w:val="left" w:pos="270"/>
              </w:tabs>
              <w:spacing w:line="276" w:lineRule="auto"/>
              <w:rPr>
                <w:szCs w:val="24"/>
              </w:rPr>
            </w:pPr>
            <w:r w:rsidRPr="00D948C1">
              <w:rPr>
                <w:szCs w:val="24"/>
              </w:rPr>
              <w:t>Other debtors</w:t>
            </w:r>
          </w:p>
        </w:tc>
        <w:tc>
          <w:tcPr>
            <w:tcW w:w="1638" w:type="dxa"/>
            <w:vAlign w:val="center"/>
          </w:tcPr>
          <w:p w14:paraId="6011326B" w14:textId="147FA2FE" w:rsidR="001318F9" w:rsidRPr="00D948C1" w:rsidRDefault="00B244AB" w:rsidP="006C0086">
            <w:pPr>
              <w:tabs>
                <w:tab w:val="decimal" w:pos="900"/>
              </w:tabs>
              <w:spacing w:line="276" w:lineRule="auto"/>
              <w:jc w:val="right"/>
              <w:rPr>
                <w:szCs w:val="24"/>
              </w:rPr>
            </w:pPr>
            <w:r w:rsidRPr="00D948C1">
              <w:rPr>
                <w:szCs w:val="24"/>
              </w:rPr>
              <w:t>8,316</w:t>
            </w:r>
          </w:p>
        </w:tc>
        <w:tc>
          <w:tcPr>
            <w:tcW w:w="1620" w:type="dxa"/>
            <w:vAlign w:val="center"/>
          </w:tcPr>
          <w:p w14:paraId="3AC99AFD" w14:textId="0CB7B5AD" w:rsidR="001318F9" w:rsidRPr="00D948C1" w:rsidRDefault="001318F9" w:rsidP="006C0086">
            <w:pPr>
              <w:tabs>
                <w:tab w:val="decimal" w:pos="900"/>
              </w:tabs>
              <w:spacing w:line="276" w:lineRule="auto"/>
              <w:ind w:left="-12"/>
              <w:jc w:val="right"/>
              <w:rPr>
                <w:szCs w:val="24"/>
              </w:rPr>
            </w:pPr>
            <w:r w:rsidRPr="00D948C1">
              <w:rPr>
                <w:szCs w:val="24"/>
              </w:rPr>
              <w:t>9,642</w:t>
            </w:r>
          </w:p>
        </w:tc>
      </w:tr>
      <w:tr w:rsidR="001318F9" w:rsidRPr="00D948C1" w14:paraId="1F93D5D5" w14:textId="77777777" w:rsidTr="006637EE">
        <w:trPr>
          <w:trHeight w:val="278"/>
        </w:trPr>
        <w:tc>
          <w:tcPr>
            <w:tcW w:w="4111" w:type="dxa"/>
          </w:tcPr>
          <w:p w14:paraId="67137166" w14:textId="1BB078B9" w:rsidR="001318F9" w:rsidRPr="00D948C1" w:rsidRDefault="001318F9" w:rsidP="006C0086">
            <w:pPr>
              <w:tabs>
                <w:tab w:val="left" w:pos="270"/>
              </w:tabs>
              <w:spacing w:line="276" w:lineRule="auto"/>
              <w:rPr>
                <w:szCs w:val="24"/>
              </w:rPr>
            </w:pPr>
            <w:r w:rsidRPr="00D948C1">
              <w:rPr>
                <w:szCs w:val="24"/>
              </w:rPr>
              <w:t>Total</w:t>
            </w:r>
          </w:p>
        </w:tc>
        <w:tc>
          <w:tcPr>
            <w:tcW w:w="1638" w:type="dxa"/>
            <w:vAlign w:val="center"/>
          </w:tcPr>
          <w:p w14:paraId="6FF23343" w14:textId="152C4218" w:rsidR="001318F9" w:rsidRPr="00D948C1" w:rsidRDefault="00F33340" w:rsidP="006C0086">
            <w:pPr>
              <w:tabs>
                <w:tab w:val="decimal" w:pos="900"/>
              </w:tabs>
              <w:spacing w:line="276" w:lineRule="auto"/>
              <w:jc w:val="right"/>
              <w:rPr>
                <w:szCs w:val="24"/>
              </w:rPr>
            </w:pPr>
            <w:r w:rsidRPr="00D948C1">
              <w:rPr>
                <w:szCs w:val="24"/>
              </w:rPr>
              <w:t>18,604</w:t>
            </w:r>
          </w:p>
        </w:tc>
        <w:tc>
          <w:tcPr>
            <w:tcW w:w="1620" w:type="dxa"/>
            <w:vAlign w:val="center"/>
          </w:tcPr>
          <w:p w14:paraId="6ACA7572" w14:textId="5A5DEEBB" w:rsidR="001318F9" w:rsidRPr="00D948C1" w:rsidRDefault="001318F9" w:rsidP="006C0086">
            <w:pPr>
              <w:tabs>
                <w:tab w:val="decimal" w:pos="900"/>
              </w:tabs>
              <w:spacing w:line="276" w:lineRule="auto"/>
              <w:ind w:left="-12"/>
              <w:jc w:val="right"/>
              <w:rPr>
                <w:szCs w:val="24"/>
              </w:rPr>
            </w:pPr>
            <w:r w:rsidRPr="00D948C1">
              <w:rPr>
                <w:szCs w:val="24"/>
              </w:rPr>
              <w:t>16,763</w:t>
            </w:r>
          </w:p>
        </w:tc>
      </w:tr>
    </w:tbl>
    <w:p w14:paraId="057F0C12" w14:textId="77777777" w:rsidR="00B71D39" w:rsidRPr="00D948C1" w:rsidRDefault="00B71D39" w:rsidP="006C0086">
      <w:pPr>
        <w:spacing w:line="276" w:lineRule="auto"/>
        <w:rPr>
          <w:sz w:val="22"/>
        </w:rPr>
      </w:pPr>
    </w:p>
    <w:p w14:paraId="75FED126" w14:textId="6E66BDDB" w:rsidR="00D90216" w:rsidRPr="00D948C1" w:rsidRDefault="001C592E" w:rsidP="006C0086">
      <w:pPr>
        <w:pStyle w:val="Heading2"/>
        <w:spacing w:line="276" w:lineRule="auto"/>
        <w:jc w:val="left"/>
        <w:rPr>
          <w:sz w:val="24"/>
          <w:szCs w:val="24"/>
        </w:rPr>
      </w:pPr>
      <w:bookmarkStart w:id="42" w:name="_Toc171068794"/>
      <w:r w:rsidRPr="00D948C1">
        <w:rPr>
          <w:sz w:val="24"/>
          <w:szCs w:val="24"/>
        </w:rPr>
        <w:t>1</w:t>
      </w:r>
      <w:r w:rsidR="007C6DCB" w:rsidRPr="00D948C1">
        <w:rPr>
          <w:sz w:val="24"/>
          <w:szCs w:val="24"/>
        </w:rPr>
        <w:t>0</w:t>
      </w:r>
      <w:r w:rsidR="00B71D39" w:rsidRPr="00D948C1">
        <w:rPr>
          <w:sz w:val="24"/>
          <w:szCs w:val="24"/>
        </w:rPr>
        <w:tab/>
      </w:r>
      <w:bookmarkStart w:id="43" w:name="N10"/>
      <w:bookmarkEnd w:id="43"/>
      <w:r w:rsidR="00D90216" w:rsidRPr="00D948C1">
        <w:rPr>
          <w:sz w:val="24"/>
          <w:szCs w:val="24"/>
        </w:rPr>
        <w:t>Cash &amp; Cash Equivalents</w:t>
      </w:r>
      <w:bookmarkEnd w:id="42"/>
    </w:p>
    <w:p w14:paraId="4BAA8B00" w14:textId="77777777" w:rsidR="00D90216" w:rsidRPr="00D948C1" w:rsidRDefault="00D90216" w:rsidP="006C0086">
      <w:pPr>
        <w:spacing w:line="276" w:lineRule="auto"/>
        <w:ind w:left="720"/>
        <w:rPr>
          <w:szCs w:val="24"/>
        </w:rPr>
      </w:pPr>
    </w:p>
    <w:p w14:paraId="68A363ED" w14:textId="77777777" w:rsidR="00D90216" w:rsidRPr="00D948C1" w:rsidRDefault="00D90216" w:rsidP="006C0086">
      <w:pPr>
        <w:spacing w:line="276" w:lineRule="auto"/>
        <w:ind w:left="720"/>
        <w:rPr>
          <w:szCs w:val="24"/>
        </w:rPr>
      </w:pPr>
      <w:r w:rsidRPr="00D948C1">
        <w:rPr>
          <w:szCs w:val="24"/>
        </w:rPr>
        <w:t>The balance of cash &amp; cash equivalents is made up of the following elements:</w:t>
      </w:r>
    </w:p>
    <w:p w14:paraId="5F3D6EA3" w14:textId="77777777" w:rsidR="00D90216" w:rsidRPr="00D948C1" w:rsidRDefault="00D90216" w:rsidP="006C0086">
      <w:pPr>
        <w:spacing w:line="276" w:lineRule="auto"/>
        <w:ind w:left="720"/>
        <w:jc w:val="both"/>
        <w:rPr>
          <w:sz w:val="22"/>
        </w:rPr>
      </w:pPr>
    </w:p>
    <w:tbl>
      <w:tblPr>
        <w:tblW w:w="91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638"/>
        <w:gridCol w:w="1620"/>
      </w:tblGrid>
      <w:tr w:rsidR="001318F9" w:rsidRPr="00D948C1" w14:paraId="0613C634" w14:textId="77777777" w:rsidTr="00611673">
        <w:trPr>
          <w:trHeight w:hRule="exact" w:val="578"/>
          <w:tblHeader/>
        </w:trPr>
        <w:tc>
          <w:tcPr>
            <w:tcW w:w="5909" w:type="dxa"/>
            <w:shd w:val="clear" w:color="auto" w:fill="BD2716"/>
          </w:tcPr>
          <w:p w14:paraId="52CA4080" w14:textId="77777777" w:rsidR="001318F9" w:rsidRPr="00D948C1" w:rsidRDefault="001318F9" w:rsidP="006C0086">
            <w:pPr>
              <w:pStyle w:val="Footer"/>
              <w:tabs>
                <w:tab w:val="clear" w:pos="4153"/>
                <w:tab w:val="clear" w:pos="8306"/>
              </w:tabs>
              <w:spacing w:line="276" w:lineRule="auto"/>
              <w:rPr>
                <w:color w:val="FFFFFF" w:themeColor="background1"/>
                <w:szCs w:val="24"/>
              </w:rPr>
            </w:pPr>
          </w:p>
        </w:tc>
        <w:tc>
          <w:tcPr>
            <w:tcW w:w="1638" w:type="dxa"/>
            <w:shd w:val="clear" w:color="auto" w:fill="BD2716"/>
            <w:vAlign w:val="center"/>
          </w:tcPr>
          <w:p w14:paraId="64BCF25E"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34194DCF" w14:textId="3FAAE4DA"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620" w:type="dxa"/>
            <w:shd w:val="clear" w:color="auto" w:fill="BD2716"/>
            <w:vAlign w:val="center"/>
          </w:tcPr>
          <w:p w14:paraId="008E77AB"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4FF6DA7A" w14:textId="749192F1"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1318F9" w:rsidRPr="00D948C1" w14:paraId="240FCBA4" w14:textId="77777777" w:rsidTr="00DD63D7">
        <w:trPr>
          <w:trHeight w:hRule="exact" w:val="300"/>
        </w:trPr>
        <w:tc>
          <w:tcPr>
            <w:tcW w:w="5909" w:type="dxa"/>
          </w:tcPr>
          <w:p w14:paraId="44A7BD16" w14:textId="77777777" w:rsidR="001318F9" w:rsidRPr="00D948C1" w:rsidRDefault="001318F9" w:rsidP="006C0086">
            <w:pPr>
              <w:pStyle w:val="Footer"/>
              <w:tabs>
                <w:tab w:val="clear" w:pos="4153"/>
                <w:tab w:val="clear" w:pos="8306"/>
                <w:tab w:val="left" w:pos="270"/>
              </w:tabs>
              <w:spacing w:line="276" w:lineRule="auto"/>
              <w:rPr>
                <w:szCs w:val="24"/>
              </w:rPr>
            </w:pPr>
            <w:r w:rsidRPr="00D948C1">
              <w:rPr>
                <w:szCs w:val="24"/>
              </w:rPr>
              <w:t>Cash held by the Authority</w:t>
            </w:r>
          </w:p>
        </w:tc>
        <w:tc>
          <w:tcPr>
            <w:tcW w:w="1638" w:type="dxa"/>
            <w:vAlign w:val="center"/>
          </w:tcPr>
          <w:p w14:paraId="720DCA68" w14:textId="02B3D62A" w:rsidR="001318F9" w:rsidRPr="00D948C1" w:rsidRDefault="00560D42" w:rsidP="006C0086">
            <w:pPr>
              <w:tabs>
                <w:tab w:val="decimal" w:pos="900"/>
              </w:tabs>
              <w:spacing w:line="276" w:lineRule="auto"/>
              <w:jc w:val="right"/>
              <w:rPr>
                <w:szCs w:val="24"/>
              </w:rPr>
            </w:pPr>
            <w:r w:rsidRPr="00D948C1">
              <w:rPr>
                <w:szCs w:val="24"/>
              </w:rPr>
              <w:t>53</w:t>
            </w:r>
          </w:p>
        </w:tc>
        <w:tc>
          <w:tcPr>
            <w:tcW w:w="1620" w:type="dxa"/>
            <w:vAlign w:val="center"/>
          </w:tcPr>
          <w:p w14:paraId="28CE2024" w14:textId="29F83D4E" w:rsidR="001318F9" w:rsidRPr="00D948C1" w:rsidRDefault="001318F9" w:rsidP="006C0086">
            <w:pPr>
              <w:tabs>
                <w:tab w:val="decimal" w:pos="900"/>
              </w:tabs>
              <w:spacing w:line="276" w:lineRule="auto"/>
              <w:jc w:val="right"/>
              <w:rPr>
                <w:szCs w:val="24"/>
              </w:rPr>
            </w:pPr>
            <w:r w:rsidRPr="00D948C1">
              <w:rPr>
                <w:szCs w:val="24"/>
              </w:rPr>
              <w:t>67</w:t>
            </w:r>
          </w:p>
        </w:tc>
      </w:tr>
      <w:tr w:rsidR="001318F9" w:rsidRPr="00D948C1" w14:paraId="60BAD94D" w14:textId="77777777" w:rsidTr="00DD63D7">
        <w:trPr>
          <w:trHeight w:hRule="exact" w:val="300"/>
        </w:trPr>
        <w:tc>
          <w:tcPr>
            <w:tcW w:w="5909" w:type="dxa"/>
          </w:tcPr>
          <w:p w14:paraId="0D0411AC" w14:textId="77777777" w:rsidR="001318F9" w:rsidRPr="00D948C1" w:rsidRDefault="001318F9" w:rsidP="006C0086">
            <w:pPr>
              <w:tabs>
                <w:tab w:val="left" w:pos="270"/>
              </w:tabs>
              <w:spacing w:line="276" w:lineRule="auto"/>
              <w:rPr>
                <w:szCs w:val="24"/>
              </w:rPr>
            </w:pPr>
            <w:r w:rsidRPr="00D948C1">
              <w:rPr>
                <w:szCs w:val="24"/>
              </w:rPr>
              <w:t xml:space="preserve">Cash held by </w:t>
            </w:r>
            <w:proofErr w:type="gramStart"/>
            <w:r w:rsidRPr="00D948C1">
              <w:rPr>
                <w:szCs w:val="24"/>
              </w:rPr>
              <w:t>North West</w:t>
            </w:r>
            <w:proofErr w:type="gramEnd"/>
            <w:r w:rsidRPr="00D948C1">
              <w:rPr>
                <w:szCs w:val="24"/>
              </w:rPr>
              <w:t xml:space="preserve"> </w:t>
            </w:r>
            <w:proofErr w:type="spellStart"/>
            <w:r w:rsidRPr="00D948C1">
              <w:rPr>
                <w:szCs w:val="24"/>
              </w:rPr>
              <w:t>FireControl</w:t>
            </w:r>
            <w:proofErr w:type="spellEnd"/>
            <w:r w:rsidRPr="00D948C1">
              <w:rPr>
                <w:szCs w:val="24"/>
              </w:rPr>
              <w:t xml:space="preserve"> (25% share)</w:t>
            </w:r>
          </w:p>
        </w:tc>
        <w:tc>
          <w:tcPr>
            <w:tcW w:w="1638" w:type="dxa"/>
            <w:vAlign w:val="center"/>
          </w:tcPr>
          <w:p w14:paraId="7026A4B6" w14:textId="10790426" w:rsidR="001318F9" w:rsidRPr="00D948C1" w:rsidRDefault="008F1BC0" w:rsidP="006C0086">
            <w:pPr>
              <w:tabs>
                <w:tab w:val="decimal" w:pos="900"/>
              </w:tabs>
              <w:spacing w:line="276" w:lineRule="auto"/>
              <w:jc w:val="right"/>
              <w:rPr>
                <w:szCs w:val="24"/>
              </w:rPr>
            </w:pPr>
            <w:r w:rsidRPr="00D948C1">
              <w:rPr>
                <w:szCs w:val="24"/>
              </w:rPr>
              <w:t>5</w:t>
            </w:r>
            <w:r w:rsidR="001318F9" w:rsidRPr="00D948C1">
              <w:rPr>
                <w:szCs w:val="24"/>
              </w:rPr>
              <w:t>9</w:t>
            </w:r>
          </w:p>
        </w:tc>
        <w:tc>
          <w:tcPr>
            <w:tcW w:w="1620" w:type="dxa"/>
            <w:vAlign w:val="center"/>
          </w:tcPr>
          <w:p w14:paraId="3893878F" w14:textId="5114B1EB" w:rsidR="001318F9" w:rsidRPr="00D948C1" w:rsidRDefault="001318F9" w:rsidP="006C0086">
            <w:pPr>
              <w:tabs>
                <w:tab w:val="decimal" w:pos="900"/>
              </w:tabs>
              <w:spacing w:line="276" w:lineRule="auto"/>
              <w:jc w:val="right"/>
              <w:rPr>
                <w:szCs w:val="24"/>
              </w:rPr>
            </w:pPr>
            <w:r w:rsidRPr="00D948C1">
              <w:rPr>
                <w:szCs w:val="24"/>
              </w:rPr>
              <w:t>89</w:t>
            </w:r>
          </w:p>
        </w:tc>
      </w:tr>
      <w:tr w:rsidR="001318F9" w:rsidRPr="00D948C1" w14:paraId="60A39181" w14:textId="77777777" w:rsidTr="00480E4B">
        <w:trPr>
          <w:trHeight w:hRule="exact" w:val="300"/>
        </w:trPr>
        <w:tc>
          <w:tcPr>
            <w:tcW w:w="5909" w:type="dxa"/>
            <w:tcBorders>
              <w:bottom w:val="single" w:sz="4" w:space="0" w:color="auto"/>
            </w:tcBorders>
          </w:tcPr>
          <w:p w14:paraId="7B2F4852" w14:textId="77777777" w:rsidR="001318F9" w:rsidRPr="00D948C1" w:rsidRDefault="001318F9" w:rsidP="006C0086">
            <w:pPr>
              <w:tabs>
                <w:tab w:val="left" w:pos="270"/>
              </w:tabs>
              <w:spacing w:line="276" w:lineRule="auto"/>
              <w:rPr>
                <w:szCs w:val="24"/>
              </w:rPr>
            </w:pPr>
            <w:r w:rsidRPr="00D948C1">
              <w:rPr>
                <w:szCs w:val="24"/>
              </w:rPr>
              <w:t>Call account balance</w:t>
            </w:r>
          </w:p>
        </w:tc>
        <w:tc>
          <w:tcPr>
            <w:tcW w:w="1638" w:type="dxa"/>
            <w:tcBorders>
              <w:bottom w:val="single" w:sz="4" w:space="0" w:color="auto"/>
            </w:tcBorders>
            <w:vAlign w:val="center"/>
          </w:tcPr>
          <w:p w14:paraId="5FF65A76" w14:textId="6793CD4E" w:rsidR="001318F9" w:rsidRPr="00D948C1" w:rsidRDefault="008F1BC0" w:rsidP="006C0086">
            <w:pPr>
              <w:tabs>
                <w:tab w:val="decimal" w:pos="900"/>
              </w:tabs>
              <w:spacing w:line="276" w:lineRule="auto"/>
              <w:jc w:val="right"/>
              <w:rPr>
                <w:szCs w:val="24"/>
              </w:rPr>
            </w:pPr>
            <w:r w:rsidRPr="00D948C1">
              <w:rPr>
                <w:szCs w:val="24"/>
              </w:rPr>
              <w:t>4,185</w:t>
            </w:r>
          </w:p>
        </w:tc>
        <w:tc>
          <w:tcPr>
            <w:tcW w:w="1620" w:type="dxa"/>
            <w:tcBorders>
              <w:bottom w:val="single" w:sz="4" w:space="0" w:color="auto"/>
            </w:tcBorders>
            <w:vAlign w:val="center"/>
          </w:tcPr>
          <w:p w14:paraId="1C444595" w14:textId="1EE5B94E" w:rsidR="001318F9" w:rsidRPr="00D948C1" w:rsidRDefault="001318F9" w:rsidP="006C0086">
            <w:pPr>
              <w:tabs>
                <w:tab w:val="decimal" w:pos="900"/>
              </w:tabs>
              <w:spacing w:line="276" w:lineRule="auto"/>
              <w:jc w:val="right"/>
              <w:rPr>
                <w:szCs w:val="24"/>
              </w:rPr>
            </w:pPr>
            <w:r w:rsidRPr="00D948C1">
              <w:rPr>
                <w:szCs w:val="24"/>
              </w:rPr>
              <w:t>16,161</w:t>
            </w:r>
          </w:p>
        </w:tc>
      </w:tr>
      <w:tr w:rsidR="001318F9" w:rsidRPr="00D948C1" w14:paraId="3970DC33" w14:textId="77777777" w:rsidTr="00480E4B">
        <w:trPr>
          <w:trHeight w:hRule="exact" w:val="300"/>
        </w:trPr>
        <w:tc>
          <w:tcPr>
            <w:tcW w:w="5909" w:type="dxa"/>
            <w:tcBorders>
              <w:top w:val="single" w:sz="4" w:space="0" w:color="auto"/>
              <w:left w:val="single" w:sz="4" w:space="0" w:color="auto"/>
              <w:bottom w:val="single" w:sz="4" w:space="0" w:color="auto"/>
              <w:right w:val="single" w:sz="4" w:space="0" w:color="auto"/>
            </w:tcBorders>
          </w:tcPr>
          <w:p w14:paraId="7E11EFC8" w14:textId="56F5F4FF" w:rsidR="001318F9" w:rsidRPr="00D948C1" w:rsidRDefault="001318F9" w:rsidP="006C0086">
            <w:pPr>
              <w:tabs>
                <w:tab w:val="left" w:pos="270"/>
              </w:tabs>
              <w:spacing w:line="276" w:lineRule="auto"/>
              <w:rPr>
                <w:szCs w:val="24"/>
              </w:rPr>
            </w:pPr>
            <w:r w:rsidRPr="00D948C1">
              <w:rPr>
                <w:szCs w:val="24"/>
              </w:rPr>
              <w:t>Total</w:t>
            </w:r>
          </w:p>
        </w:tc>
        <w:tc>
          <w:tcPr>
            <w:tcW w:w="1638" w:type="dxa"/>
            <w:tcBorders>
              <w:top w:val="single" w:sz="4" w:space="0" w:color="auto"/>
              <w:left w:val="single" w:sz="4" w:space="0" w:color="auto"/>
              <w:bottom w:val="single" w:sz="4" w:space="0" w:color="auto"/>
              <w:right w:val="single" w:sz="4" w:space="0" w:color="auto"/>
            </w:tcBorders>
            <w:vAlign w:val="center"/>
          </w:tcPr>
          <w:p w14:paraId="1128B768" w14:textId="47449386" w:rsidR="001318F9" w:rsidRPr="00D948C1" w:rsidRDefault="008F1BC0" w:rsidP="006C0086">
            <w:pPr>
              <w:tabs>
                <w:tab w:val="decimal" w:pos="900"/>
              </w:tabs>
              <w:spacing w:line="276" w:lineRule="auto"/>
              <w:jc w:val="right"/>
              <w:rPr>
                <w:szCs w:val="24"/>
              </w:rPr>
            </w:pPr>
            <w:r w:rsidRPr="00D948C1">
              <w:rPr>
                <w:szCs w:val="24"/>
              </w:rPr>
              <w:t>4,297</w:t>
            </w:r>
          </w:p>
        </w:tc>
        <w:tc>
          <w:tcPr>
            <w:tcW w:w="1620" w:type="dxa"/>
            <w:tcBorders>
              <w:top w:val="single" w:sz="4" w:space="0" w:color="auto"/>
              <w:left w:val="single" w:sz="4" w:space="0" w:color="auto"/>
              <w:bottom w:val="single" w:sz="4" w:space="0" w:color="auto"/>
              <w:right w:val="single" w:sz="4" w:space="0" w:color="auto"/>
            </w:tcBorders>
            <w:vAlign w:val="center"/>
          </w:tcPr>
          <w:p w14:paraId="41BFB273" w14:textId="78DA851F" w:rsidR="001318F9" w:rsidRPr="00D948C1" w:rsidRDefault="001318F9" w:rsidP="006C0086">
            <w:pPr>
              <w:tabs>
                <w:tab w:val="decimal" w:pos="900"/>
              </w:tabs>
              <w:spacing w:line="276" w:lineRule="auto"/>
              <w:jc w:val="right"/>
              <w:rPr>
                <w:szCs w:val="24"/>
              </w:rPr>
            </w:pPr>
            <w:r w:rsidRPr="00D948C1">
              <w:rPr>
                <w:szCs w:val="24"/>
              </w:rPr>
              <w:t>16,317</w:t>
            </w:r>
          </w:p>
        </w:tc>
      </w:tr>
    </w:tbl>
    <w:p w14:paraId="39BC6353" w14:textId="77777777" w:rsidR="00D90216" w:rsidRPr="00D948C1" w:rsidRDefault="00D90216" w:rsidP="006C0086">
      <w:pPr>
        <w:spacing w:line="276" w:lineRule="auto"/>
        <w:ind w:left="720"/>
        <w:jc w:val="both"/>
        <w:rPr>
          <w:sz w:val="22"/>
        </w:rPr>
      </w:pPr>
    </w:p>
    <w:p w14:paraId="799294F4" w14:textId="734F4045" w:rsidR="00760673" w:rsidRPr="00D948C1" w:rsidRDefault="006D1B7A" w:rsidP="006C0086">
      <w:pPr>
        <w:spacing w:line="276" w:lineRule="auto"/>
        <w:ind w:left="720"/>
        <w:rPr>
          <w:szCs w:val="24"/>
        </w:rPr>
      </w:pPr>
      <w:r w:rsidRPr="00D948C1">
        <w:rPr>
          <w:szCs w:val="24"/>
        </w:rPr>
        <w:t>The call account</w:t>
      </w:r>
      <w:r w:rsidR="00760673" w:rsidRPr="00D948C1">
        <w:rPr>
          <w:szCs w:val="24"/>
        </w:rPr>
        <w:t xml:space="preserve"> balance</w:t>
      </w:r>
      <w:r w:rsidRPr="00D948C1">
        <w:rPr>
          <w:szCs w:val="24"/>
        </w:rPr>
        <w:t xml:space="preserve"> i</w:t>
      </w:r>
      <w:r w:rsidR="00760673" w:rsidRPr="00D948C1">
        <w:rPr>
          <w:szCs w:val="24"/>
        </w:rPr>
        <w:t xml:space="preserve">s placed with Lancashire Country Council. Interest on these balances is paid to the Authority. The investments have an amortised cost </w:t>
      </w:r>
      <w:proofErr w:type="gramStart"/>
      <w:r w:rsidR="00760673" w:rsidRPr="00D948C1">
        <w:rPr>
          <w:szCs w:val="24"/>
        </w:rPr>
        <w:t>at</w:t>
      </w:r>
      <w:proofErr w:type="gramEnd"/>
      <w:r w:rsidR="00760673" w:rsidRPr="00D948C1">
        <w:rPr>
          <w:szCs w:val="24"/>
        </w:rPr>
        <w:t xml:space="preserve"> 31 March 20</w:t>
      </w:r>
      <w:r w:rsidR="008661D6" w:rsidRPr="00D948C1">
        <w:rPr>
          <w:szCs w:val="24"/>
        </w:rPr>
        <w:t>2</w:t>
      </w:r>
      <w:r w:rsidR="008F1BC0" w:rsidRPr="00D948C1">
        <w:rPr>
          <w:szCs w:val="24"/>
        </w:rPr>
        <w:t>4</w:t>
      </w:r>
      <w:r w:rsidR="00760673" w:rsidRPr="00D948C1">
        <w:rPr>
          <w:szCs w:val="24"/>
        </w:rPr>
        <w:t xml:space="preserve"> equal to their nominal value.</w:t>
      </w:r>
    </w:p>
    <w:p w14:paraId="24AEE698" w14:textId="77777777" w:rsidR="00ED21C2" w:rsidRPr="00D948C1" w:rsidRDefault="00ED21C2" w:rsidP="006C0086">
      <w:pPr>
        <w:spacing w:line="276" w:lineRule="auto"/>
        <w:ind w:left="720"/>
        <w:jc w:val="both"/>
        <w:rPr>
          <w:sz w:val="22"/>
        </w:rPr>
      </w:pPr>
    </w:p>
    <w:p w14:paraId="07694C61" w14:textId="77777777" w:rsidR="00D90216" w:rsidRPr="00D948C1" w:rsidRDefault="001C592E" w:rsidP="006C0086">
      <w:pPr>
        <w:pStyle w:val="Heading2"/>
        <w:spacing w:line="276" w:lineRule="auto"/>
        <w:jc w:val="left"/>
        <w:rPr>
          <w:sz w:val="24"/>
          <w:szCs w:val="24"/>
        </w:rPr>
      </w:pPr>
      <w:bookmarkStart w:id="44" w:name="_Toc171068795"/>
      <w:r w:rsidRPr="00D948C1">
        <w:rPr>
          <w:sz w:val="24"/>
          <w:szCs w:val="24"/>
        </w:rPr>
        <w:t>1</w:t>
      </w:r>
      <w:r w:rsidR="007C6DCB" w:rsidRPr="00D948C1">
        <w:rPr>
          <w:sz w:val="24"/>
          <w:szCs w:val="24"/>
        </w:rPr>
        <w:t>1</w:t>
      </w:r>
      <w:r w:rsidR="00D90216" w:rsidRPr="00D948C1">
        <w:rPr>
          <w:sz w:val="24"/>
          <w:szCs w:val="24"/>
        </w:rPr>
        <w:tab/>
      </w:r>
      <w:bookmarkStart w:id="45" w:name="N11"/>
      <w:bookmarkEnd w:id="45"/>
      <w:r w:rsidR="00D90216" w:rsidRPr="00D948C1">
        <w:rPr>
          <w:sz w:val="24"/>
          <w:szCs w:val="24"/>
        </w:rPr>
        <w:t>Creditors</w:t>
      </w:r>
      <w:bookmarkEnd w:id="44"/>
    </w:p>
    <w:p w14:paraId="6DA3E2E7" w14:textId="77777777" w:rsidR="00D90216" w:rsidRPr="00D948C1" w:rsidRDefault="00D90216" w:rsidP="006C0086">
      <w:pPr>
        <w:spacing w:line="276" w:lineRule="auto"/>
        <w:ind w:left="720"/>
        <w:rPr>
          <w:szCs w:val="24"/>
        </w:rPr>
      </w:pP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1654"/>
        <w:gridCol w:w="1606"/>
      </w:tblGrid>
      <w:tr w:rsidR="001318F9" w:rsidRPr="00D948C1" w14:paraId="0BA91B12" w14:textId="77777777" w:rsidTr="00611673">
        <w:trPr>
          <w:trHeight w:hRule="exact" w:val="578"/>
          <w:tblHeader/>
        </w:trPr>
        <w:tc>
          <w:tcPr>
            <w:tcW w:w="4208" w:type="dxa"/>
            <w:shd w:val="clear" w:color="auto" w:fill="BD2716"/>
          </w:tcPr>
          <w:p w14:paraId="4344A490" w14:textId="77777777" w:rsidR="001318F9" w:rsidRPr="00D948C1" w:rsidRDefault="001318F9" w:rsidP="006C0086">
            <w:pPr>
              <w:pStyle w:val="Footer"/>
              <w:tabs>
                <w:tab w:val="clear" w:pos="4153"/>
                <w:tab w:val="clear" w:pos="8306"/>
              </w:tabs>
              <w:spacing w:line="276" w:lineRule="auto"/>
              <w:rPr>
                <w:color w:val="FFFFFF" w:themeColor="background1"/>
                <w:szCs w:val="24"/>
              </w:rPr>
            </w:pPr>
          </w:p>
        </w:tc>
        <w:tc>
          <w:tcPr>
            <w:tcW w:w="1654" w:type="dxa"/>
            <w:shd w:val="clear" w:color="auto" w:fill="BD2716"/>
            <w:vAlign w:val="center"/>
          </w:tcPr>
          <w:p w14:paraId="54A497A5"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3B6A10D7" w14:textId="495A7BE5"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606" w:type="dxa"/>
            <w:shd w:val="clear" w:color="auto" w:fill="BD2716"/>
            <w:vAlign w:val="center"/>
          </w:tcPr>
          <w:p w14:paraId="22F992C6"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302ECE78" w14:textId="5B8078FD"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1318F9" w:rsidRPr="00D948C1" w14:paraId="5849A45D" w14:textId="77777777" w:rsidTr="006637EE">
        <w:trPr>
          <w:trHeight w:hRule="exact" w:val="278"/>
        </w:trPr>
        <w:tc>
          <w:tcPr>
            <w:tcW w:w="4208" w:type="dxa"/>
          </w:tcPr>
          <w:p w14:paraId="416DA00D" w14:textId="59910223" w:rsidR="001318F9" w:rsidRPr="00D948C1" w:rsidRDefault="001318F9" w:rsidP="006C0086">
            <w:pPr>
              <w:pStyle w:val="Footer"/>
              <w:tabs>
                <w:tab w:val="clear" w:pos="4153"/>
                <w:tab w:val="clear" w:pos="8306"/>
                <w:tab w:val="left" w:pos="270"/>
              </w:tabs>
              <w:spacing w:line="276" w:lineRule="auto"/>
              <w:rPr>
                <w:szCs w:val="24"/>
              </w:rPr>
            </w:pPr>
            <w:r w:rsidRPr="00D948C1">
              <w:rPr>
                <w:szCs w:val="24"/>
              </w:rPr>
              <w:t>Goods and services creditors</w:t>
            </w:r>
          </w:p>
        </w:tc>
        <w:tc>
          <w:tcPr>
            <w:tcW w:w="1654" w:type="dxa"/>
            <w:vAlign w:val="center"/>
          </w:tcPr>
          <w:p w14:paraId="25A1F9FA" w14:textId="489F8E69" w:rsidR="001318F9" w:rsidRPr="00D948C1" w:rsidRDefault="00AC6A6D" w:rsidP="006C0086">
            <w:pPr>
              <w:pStyle w:val="Footer"/>
              <w:tabs>
                <w:tab w:val="clear" w:pos="4153"/>
                <w:tab w:val="clear" w:pos="8306"/>
                <w:tab w:val="decimal" w:pos="979"/>
              </w:tabs>
              <w:spacing w:line="276" w:lineRule="auto"/>
              <w:jc w:val="right"/>
              <w:rPr>
                <w:szCs w:val="24"/>
              </w:rPr>
            </w:pPr>
            <w:r w:rsidRPr="00D948C1">
              <w:rPr>
                <w:szCs w:val="24"/>
              </w:rPr>
              <w:t>3,052</w:t>
            </w:r>
          </w:p>
        </w:tc>
        <w:tc>
          <w:tcPr>
            <w:tcW w:w="1606" w:type="dxa"/>
            <w:vAlign w:val="center"/>
          </w:tcPr>
          <w:p w14:paraId="62A393FE" w14:textId="0D073F88"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2,676</w:t>
            </w:r>
          </w:p>
        </w:tc>
      </w:tr>
      <w:tr w:rsidR="001318F9" w:rsidRPr="00D948C1" w14:paraId="3C31CE53" w14:textId="77777777" w:rsidTr="006637EE">
        <w:trPr>
          <w:trHeight w:hRule="exact" w:val="278"/>
        </w:trPr>
        <w:tc>
          <w:tcPr>
            <w:tcW w:w="4208" w:type="dxa"/>
          </w:tcPr>
          <w:p w14:paraId="1C336EB6" w14:textId="77777777" w:rsidR="001318F9" w:rsidRPr="00D948C1" w:rsidRDefault="001318F9" w:rsidP="006C0086">
            <w:pPr>
              <w:tabs>
                <w:tab w:val="left" w:pos="270"/>
              </w:tabs>
              <w:spacing w:line="276" w:lineRule="auto"/>
              <w:rPr>
                <w:szCs w:val="24"/>
              </w:rPr>
            </w:pPr>
            <w:r w:rsidRPr="00D948C1">
              <w:rPr>
                <w:szCs w:val="24"/>
              </w:rPr>
              <w:t>PAYE/NI</w:t>
            </w:r>
          </w:p>
          <w:p w14:paraId="7C2AF74F" w14:textId="77777777" w:rsidR="001318F9" w:rsidRPr="00D948C1" w:rsidRDefault="001318F9" w:rsidP="006C0086">
            <w:pPr>
              <w:tabs>
                <w:tab w:val="left" w:pos="270"/>
              </w:tabs>
              <w:spacing w:line="276" w:lineRule="auto"/>
              <w:rPr>
                <w:szCs w:val="24"/>
              </w:rPr>
            </w:pPr>
          </w:p>
        </w:tc>
        <w:tc>
          <w:tcPr>
            <w:tcW w:w="1654" w:type="dxa"/>
          </w:tcPr>
          <w:p w14:paraId="175E7E93" w14:textId="178A7A7A"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1,</w:t>
            </w:r>
            <w:r w:rsidR="00AC6A6D" w:rsidRPr="00D948C1">
              <w:rPr>
                <w:szCs w:val="24"/>
              </w:rPr>
              <w:t>219</w:t>
            </w:r>
          </w:p>
        </w:tc>
        <w:tc>
          <w:tcPr>
            <w:tcW w:w="1606" w:type="dxa"/>
          </w:tcPr>
          <w:p w14:paraId="703000F6" w14:textId="779D2565"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1,499</w:t>
            </w:r>
          </w:p>
        </w:tc>
      </w:tr>
      <w:tr w:rsidR="001318F9" w:rsidRPr="00D948C1" w14:paraId="67C939B9" w14:textId="77777777" w:rsidTr="006637EE">
        <w:trPr>
          <w:trHeight w:val="278"/>
        </w:trPr>
        <w:tc>
          <w:tcPr>
            <w:tcW w:w="4208" w:type="dxa"/>
          </w:tcPr>
          <w:p w14:paraId="5610652A" w14:textId="5C5FDCBD" w:rsidR="001318F9" w:rsidRPr="00D948C1" w:rsidRDefault="001318F9" w:rsidP="006C0086">
            <w:pPr>
              <w:tabs>
                <w:tab w:val="left" w:pos="270"/>
              </w:tabs>
              <w:spacing w:line="276" w:lineRule="auto"/>
              <w:rPr>
                <w:szCs w:val="24"/>
              </w:rPr>
            </w:pPr>
            <w:r w:rsidRPr="00D948C1">
              <w:rPr>
                <w:szCs w:val="24"/>
              </w:rPr>
              <w:t>VAT</w:t>
            </w:r>
          </w:p>
        </w:tc>
        <w:tc>
          <w:tcPr>
            <w:tcW w:w="1654" w:type="dxa"/>
          </w:tcPr>
          <w:p w14:paraId="4E05DF8A" w14:textId="04669D63" w:rsidR="001318F9" w:rsidRPr="00D948C1" w:rsidRDefault="00AC6A6D" w:rsidP="006C0086">
            <w:pPr>
              <w:pStyle w:val="Footer"/>
              <w:tabs>
                <w:tab w:val="clear" w:pos="4153"/>
                <w:tab w:val="clear" w:pos="8306"/>
                <w:tab w:val="decimal" w:pos="979"/>
              </w:tabs>
              <w:spacing w:line="276" w:lineRule="auto"/>
              <w:jc w:val="right"/>
              <w:rPr>
                <w:szCs w:val="24"/>
              </w:rPr>
            </w:pPr>
            <w:r w:rsidRPr="00D948C1">
              <w:rPr>
                <w:szCs w:val="24"/>
              </w:rPr>
              <w:t>572</w:t>
            </w:r>
          </w:p>
        </w:tc>
        <w:tc>
          <w:tcPr>
            <w:tcW w:w="1606" w:type="dxa"/>
          </w:tcPr>
          <w:p w14:paraId="525D7E75" w14:textId="2AD32DC4"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27</w:t>
            </w:r>
          </w:p>
        </w:tc>
      </w:tr>
      <w:tr w:rsidR="001318F9" w:rsidRPr="00D948C1" w14:paraId="691A92EF" w14:textId="77777777" w:rsidTr="006637EE">
        <w:trPr>
          <w:trHeight w:val="278"/>
        </w:trPr>
        <w:tc>
          <w:tcPr>
            <w:tcW w:w="4208" w:type="dxa"/>
          </w:tcPr>
          <w:p w14:paraId="5DC522B0" w14:textId="77777777" w:rsidR="001318F9" w:rsidRPr="00D948C1" w:rsidRDefault="001318F9" w:rsidP="006C0086">
            <w:pPr>
              <w:tabs>
                <w:tab w:val="left" w:pos="270"/>
              </w:tabs>
              <w:spacing w:line="276" w:lineRule="auto"/>
              <w:rPr>
                <w:szCs w:val="24"/>
              </w:rPr>
            </w:pPr>
            <w:r w:rsidRPr="00D948C1">
              <w:rPr>
                <w:szCs w:val="24"/>
              </w:rPr>
              <w:t>Local taxation creditors</w:t>
            </w:r>
          </w:p>
        </w:tc>
        <w:tc>
          <w:tcPr>
            <w:tcW w:w="1654" w:type="dxa"/>
          </w:tcPr>
          <w:p w14:paraId="6ED0A049" w14:textId="130888F3"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3,</w:t>
            </w:r>
            <w:r w:rsidR="00F33340" w:rsidRPr="00D948C1">
              <w:rPr>
                <w:szCs w:val="24"/>
              </w:rPr>
              <w:t>613</w:t>
            </w:r>
          </w:p>
        </w:tc>
        <w:tc>
          <w:tcPr>
            <w:tcW w:w="1606" w:type="dxa"/>
          </w:tcPr>
          <w:p w14:paraId="65EF5C1E" w14:textId="55D1C4F9"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3,457</w:t>
            </w:r>
          </w:p>
        </w:tc>
      </w:tr>
      <w:tr w:rsidR="001318F9" w:rsidRPr="00D948C1" w14:paraId="21D057D8" w14:textId="77777777" w:rsidTr="006637EE">
        <w:trPr>
          <w:trHeight w:val="278"/>
        </w:trPr>
        <w:tc>
          <w:tcPr>
            <w:tcW w:w="4208" w:type="dxa"/>
          </w:tcPr>
          <w:p w14:paraId="3B83C838" w14:textId="2B0BEE21" w:rsidR="001318F9" w:rsidRPr="00D948C1" w:rsidRDefault="001318F9" w:rsidP="006C0086">
            <w:pPr>
              <w:spacing w:line="276" w:lineRule="auto"/>
              <w:rPr>
                <w:szCs w:val="24"/>
              </w:rPr>
            </w:pPr>
            <w:r w:rsidRPr="00D948C1">
              <w:rPr>
                <w:szCs w:val="24"/>
              </w:rPr>
              <w:t>Other creditors</w:t>
            </w:r>
          </w:p>
        </w:tc>
        <w:tc>
          <w:tcPr>
            <w:tcW w:w="1654" w:type="dxa"/>
          </w:tcPr>
          <w:p w14:paraId="49A4EDAD" w14:textId="15C506DD" w:rsidR="001318F9" w:rsidRPr="00D948C1" w:rsidRDefault="00AC6A6D" w:rsidP="006C0086">
            <w:pPr>
              <w:pStyle w:val="Footer"/>
              <w:tabs>
                <w:tab w:val="clear" w:pos="4153"/>
                <w:tab w:val="clear" w:pos="8306"/>
                <w:tab w:val="decimal" w:pos="979"/>
              </w:tabs>
              <w:spacing w:line="276" w:lineRule="auto"/>
              <w:jc w:val="right"/>
              <w:rPr>
                <w:szCs w:val="24"/>
              </w:rPr>
            </w:pPr>
            <w:r w:rsidRPr="00D948C1">
              <w:rPr>
                <w:szCs w:val="24"/>
              </w:rPr>
              <w:t>1,942</w:t>
            </w:r>
          </w:p>
        </w:tc>
        <w:tc>
          <w:tcPr>
            <w:tcW w:w="1606" w:type="dxa"/>
          </w:tcPr>
          <w:p w14:paraId="67899685" w14:textId="6BC33D76" w:rsidR="001318F9" w:rsidRPr="00D948C1" w:rsidRDefault="001318F9" w:rsidP="006C0086">
            <w:pPr>
              <w:pStyle w:val="Footer"/>
              <w:tabs>
                <w:tab w:val="clear" w:pos="4153"/>
                <w:tab w:val="clear" w:pos="8306"/>
                <w:tab w:val="decimal" w:pos="979"/>
              </w:tabs>
              <w:spacing w:line="276" w:lineRule="auto"/>
              <w:jc w:val="right"/>
              <w:rPr>
                <w:szCs w:val="24"/>
              </w:rPr>
            </w:pPr>
            <w:r w:rsidRPr="00D948C1">
              <w:rPr>
                <w:szCs w:val="24"/>
              </w:rPr>
              <w:t>2,599</w:t>
            </w:r>
          </w:p>
        </w:tc>
      </w:tr>
      <w:tr w:rsidR="001318F9" w:rsidRPr="00D948C1" w14:paraId="16899866" w14:textId="77777777" w:rsidTr="006637EE">
        <w:trPr>
          <w:trHeight w:val="278"/>
        </w:trPr>
        <w:tc>
          <w:tcPr>
            <w:tcW w:w="4208" w:type="dxa"/>
          </w:tcPr>
          <w:p w14:paraId="3824DC50" w14:textId="69585E34" w:rsidR="001318F9" w:rsidRPr="00D948C1" w:rsidRDefault="001318F9" w:rsidP="006C0086">
            <w:pPr>
              <w:spacing w:line="276" w:lineRule="auto"/>
              <w:rPr>
                <w:szCs w:val="24"/>
              </w:rPr>
            </w:pPr>
            <w:r w:rsidRPr="00D948C1">
              <w:rPr>
                <w:szCs w:val="24"/>
              </w:rPr>
              <w:t>Total</w:t>
            </w:r>
          </w:p>
        </w:tc>
        <w:tc>
          <w:tcPr>
            <w:tcW w:w="1654" w:type="dxa"/>
          </w:tcPr>
          <w:p w14:paraId="7924C7B2" w14:textId="23FFD6CA" w:rsidR="001318F9" w:rsidRPr="00D948C1" w:rsidRDefault="00F33340" w:rsidP="006C0086">
            <w:pPr>
              <w:tabs>
                <w:tab w:val="decimal" w:pos="979"/>
              </w:tabs>
              <w:spacing w:line="276" w:lineRule="auto"/>
              <w:jc w:val="right"/>
              <w:rPr>
                <w:szCs w:val="24"/>
              </w:rPr>
            </w:pPr>
            <w:r w:rsidRPr="00D948C1">
              <w:rPr>
                <w:szCs w:val="24"/>
              </w:rPr>
              <w:t>10,398</w:t>
            </w:r>
          </w:p>
        </w:tc>
        <w:tc>
          <w:tcPr>
            <w:tcW w:w="1606" w:type="dxa"/>
          </w:tcPr>
          <w:p w14:paraId="27C38CAB" w14:textId="43699FFB" w:rsidR="001318F9" w:rsidRPr="00D948C1" w:rsidRDefault="001318F9" w:rsidP="006C0086">
            <w:pPr>
              <w:tabs>
                <w:tab w:val="decimal" w:pos="979"/>
              </w:tabs>
              <w:spacing w:line="276" w:lineRule="auto"/>
              <w:jc w:val="right"/>
              <w:rPr>
                <w:szCs w:val="24"/>
              </w:rPr>
            </w:pPr>
            <w:r w:rsidRPr="00D948C1">
              <w:rPr>
                <w:szCs w:val="24"/>
              </w:rPr>
              <w:t>10,258</w:t>
            </w:r>
          </w:p>
        </w:tc>
      </w:tr>
    </w:tbl>
    <w:p w14:paraId="1A5A7BFE" w14:textId="74BDA755" w:rsidR="00BE3374" w:rsidRPr="00D948C1" w:rsidRDefault="00BE3374" w:rsidP="006C0086">
      <w:pPr>
        <w:spacing w:line="276" w:lineRule="auto"/>
        <w:rPr>
          <w:b/>
          <w:sz w:val="22"/>
        </w:rPr>
      </w:pPr>
    </w:p>
    <w:p w14:paraId="43B16347" w14:textId="26965D0B" w:rsidR="00D90216" w:rsidRPr="00D948C1" w:rsidRDefault="001C592E" w:rsidP="006C0086">
      <w:pPr>
        <w:pStyle w:val="Heading2"/>
        <w:spacing w:line="276" w:lineRule="auto"/>
        <w:jc w:val="left"/>
        <w:rPr>
          <w:sz w:val="24"/>
          <w:szCs w:val="24"/>
        </w:rPr>
      </w:pPr>
      <w:bookmarkStart w:id="46" w:name="_Toc171068796"/>
      <w:r w:rsidRPr="00D948C1">
        <w:rPr>
          <w:sz w:val="24"/>
          <w:szCs w:val="24"/>
        </w:rPr>
        <w:t>1</w:t>
      </w:r>
      <w:r w:rsidR="007C6DCB" w:rsidRPr="00D948C1">
        <w:rPr>
          <w:sz w:val="24"/>
          <w:szCs w:val="24"/>
        </w:rPr>
        <w:t>2</w:t>
      </w:r>
      <w:r w:rsidR="00D90216" w:rsidRPr="00D948C1">
        <w:rPr>
          <w:sz w:val="24"/>
          <w:szCs w:val="24"/>
        </w:rPr>
        <w:tab/>
      </w:r>
      <w:bookmarkStart w:id="47" w:name="N12"/>
      <w:bookmarkEnd w:id="47"/>
      <w:r w:rsidR="00D90216" w:rsidRPr="00D948C1">
        <w:rPr>
          <w:sz w:val="24"/>
          <w:szCs w:val="24"/>
        </w:rPr>
        <w:t>Provisions</w:t>
      </w:r>
      <w:bookmarkEnd w:id="46"/>
    </w:p>
    <w:p w14:paraId="073A796E" w14:textId="77777777" w:rsidR="00D90216" w:rsidRPr="00D948C1" w:rsidRDefault="00D90216" w:rsidP="006C0086">
      <w:pPr>
        <w:spacing w:line="276" w:lineRule="auto"/>
        <w:ind w:left="720"/>
        <w:rPr>
          <w:szCs w:val="24"/>
        </w:rPr>
      </w:pPr>
    </w:p>
    <w:p w14:paraId="6951343F" w14:textId="77777777" w:rsidR="00D90216" w:rsidRPr="00D948C1" w:rsidRDefault="00D90216" w:rsidP="006C0086">
      <w:pPr>
        <w:pStyle w:val="BodyTextIndent2"/>
        <w:spacing w:line="276" w:lineRule="auto"/>
        <w:ind w:firstLine="0"/>
        <w:rPr>
          <w:szCs w:val="24"/>
        </w:rPr>
      </w:pPr>
      <w:r w:rsidRPr="00D948C1">
        <w:rPr>
          <w:szCs w:val="24"/>
        </w:rPr>
        <w:t>The Authority has the power to establish provisions for any liabilities of uncertain timing or amount that have been incurred.</w:t>
      </w:r>
    </w:p>
    <w:p w14:paraId="6B4E3312" w14:textId="77777777" w:rsidR="00D90216" w:rsidRPr="00D948C1" w:rsidRDefault="00D90216" w:rsidP="006C0086">
      <w:pPr>
        <w:spacing w:line="276" w:lineRule="auto"/>
        <w:ind w:left="720"/>
        <w:rPr>
          <w:b/>
          <w:szCs w:val="24"/>
        </w:rPr>
      </w:pPr>
    </w:p>
    <w:p w14:paraId="320A1FBE" w14:textId="0409FC9C" w:rsidR="00D90216" w:rsidRPr="00D948C1" w:rsidRDefault="00D90216" w:rsidP="006C0086">
      <w:pPr>
        <w:pStyle w:val="BodyTextIndent2"/>
        <w:spacing w:line="276" w:lineRule="auto"/>
        <w:ind w:firstLine="0"/>
        <w:rPr>
          <w:szCs w:val="24"/>
        </w:rPr>
      </w:pPr>
      <w:r w:rsidRPr="00D948C1">
        <w:rPr>
          <w:szCs w:val="24"/>
        </w:rPr>
        <w:lastRenderedPageBreak/>
        <w:t>The Authority has established an Insurance Liabilities Provision to meet liabilities, the precise cost of which is uncertain, but which are not reimbursable from insurers as they fall below individual excess clauses and the annual self-insured limits.</w:t>
      </w:r>
    </w:p>
    <w:p w14:paraId="54A615F3" w14:textId="77777777" w:rsidR="007B03D1" w:rsidRPr="00D948C1" w:rsidRDefault="007B03D1" w:rsidP="006C0086">
      <w:pPr>
        <w:pStyle w:val="BodyTextIndent2"/>
        <w:spacing w:line="276" w:lineRule="auto"/>
        <w:ind w:left="0" w:firstLine="0"/>
        <w:rPr>
          <w:szCs w:val="24"/>
        </w:rPr>
      </w:pPr>
    </w:p>
    <w:p w14:paraId="02A4F7DA" w14:textId="77777777" w:rsidR="007368F0" w:rsidRPr="00D948C1" w:rsidRDefault="007368F0" w:rsidP="006C0086">
      <w:pPr>
        <w:pStyle w:val="BodyTextIndent2"/>
        <w:spacing w:line="276" w:lineRule="auto"/>
        <w:ind w:firstLine="0"/>
        <w:rPr>
          <w:szCs w:val="24"/>
        </w:rPr>
      </w:pPr>
      <w:r w:rsidRPr="00D948C1">
        <w:rPr>
          <w:szCs w:val="24"/>
        </w:rPr>
        <w:t xml:space="preserve">The Authority </w:t>
      </w:r>
      <w:r w:rsidR="00063302" w:rsidRPr="00D948C1">
        <w:rPr>
          <w:szCs w:val="24"/>
        </w:rPr>
        <w:t>has also recognised a provision in relation to its share of the Business Rates Collection Fund outstanding appeals, which is calculated and provided by billing authorities based on their assumptions of outstanding appeal success rates</w:t>
      </w:r>
      <w:r w:rsidR="007E0728" w:rsidRPr="00D948C1">
        <w:rPr>
          <w:szCs w:val="24"/>
        </w:rPr>
        <w:t>.</w:t>
      </w:r>
    </w:p>
    <w:p w14:paraId="0DC5213E" w14:textId="77777777" w:rsidR="00D90216" w:rsidRPr="00D948C1" w:rsidRDefault="00D90216" w:rsidP="006C0086">
      <w:pPr>
        <w:spacing w:line="276" w:lineRule="auto"/>
        <w:ind w:left="720"/>
        <w:rPr>
          <w:szCs w:val="24"/>
        </w:rPr>
      </w:pPr>
    </w:p>
    <w:p w14:paraId="5E990018" w14:textId="77777777" w:rsidR="00D90216" w:rsidRPr="00D948C1" w:rsidRDefault="00D90216" w:rsidP="006C0086">
      <w:pPr>
        <w:pStyle w:val="BodyTextIndent"/>
        <w:spacing w:line="276" w:lineRule="auto"/>
        <w:rPr>
          <w:szCs w:val="24"/>
          <w:lang w:val="en-GB"/>
        </w:rPr>
      </w:pPr>
      <w:r w:rsidRPr="00D948C1">
        <w:rPr>
          <w:szCs w:val="24"/>
          <w:lang w:val="en-GB"/>
        </w:rPr>
        <w:t>The balances set aside, together with the movement on the provisions, is shown below:</w:t>
      </w:r>
    </w:p>
    <w:p w14:paraId="2EA58EE2" w14:textId="77777777" w:rsidR="00D90216" w:rsidRPr="00D948C1" w:rsidRDefault="00D90216" w:rsidP="006C0086">
      <w:pPr>
        <w:spacing w:line="276" w:lineRule="auto"/>
        <w:ind w:left="720"/>
        <w:rPr>
          <w:sz w:val="22"/>
        </w:rPr>
      </w:pPr>
    </w:p>
    <w:tbl>
      <w:tblPr>
        <w:tblW w:w="9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1296"/>
        <w:gridCol w:w="1296"/>
        <w:gridCol w:w="1296"/>
        <w:gridCol w:w="1296"/>
        <w:gridCol w:w="1296"/>
        <w:gridCol w:w="1296"/>
      </w:tblGrid>
      <w:tr w:rsidR="00550595" w:rsidRPr="00D948C1" w14:paraId="530C815F" w14:textId="77777777" w:rsidTr="00871352">
        <w:trPr>
          <w:trHeight w:hRule="exact" w:val="578"/>
          <w:tblHeader/>
        </w:trPr>
        <w:tc>
          <w:tcPr>
            <w:tcW w:w="2181" w:type="dxa"/>
            <w:shd w:val="clear" w:color="auto" w:fill="BD2716"/>
          </w:tcPr>
          <w:p w14:paraId="2DC872F6" w14:textId="77777777" w:rsidR="00550595" w:rsidRPr="00D948C1" w:rsidRDefault="00550595" w:rsidP="006C0086">
            <w:pPr>
              <w:spacing w:line="276" w:lineRule="auto"/>
              <w:rPr>
                <w:color w:val="FFFFFF" w:themeColor="background1"/>
                <w:szCs w:val="24"/>
              </w:rPr>
            </w:pPr>
          </w:p>
        </w:tc>
        <w:tc>
          <w:tcPr>
            <w:tcW w:w="2592" w:type="dxa"/>
            <w:gridSpan w:val="2"/>
            <w:shd w:val="clear" w:color="auto" w:fill="BD2716"/>
            <w:vAlign w:val="center"/>
          </w:tcPr>
          <w:p w14:paraId="587DEF93" w14:textId="36280363" w:rsidR="00550595" w:rsidRPr="00D948C1" w:rsidRDefault="00550595" w:rsidP="006C0086">
            <w:pPr>
              <w:pStyle w:val="BodyTextIndent"/>
              <w:spacing w:line="276" w:lineRule="auto"/>
              <w:ind w:left="0"/>
              <w:jc w:val="center"/>
              <w:rPr>
                <w:color w:val="FFFFFF" w:themeColor="background1"/>
                <w:szCs w:val="24"/>
              </w:rPr>
            </w:pPr>
            <w:r w:rsidRPr="00D948C1">
              <w:rPr>
                <w:color w:val="FFFFFF" w:themeColor="background1"/>
                <w:szCs w:val="24"/>
              </w:rPr>
              <w:t>Insurance Liabilities</w:t>
            </w:r>
          </w:p>
        </w:tc>
        <w:tc>
          <w:tcPr>
            <w:tcW w:w="2592" w:type="dxa"/>
            <w:gridSpan w:val="2"/>
            <w:shd w:val="clear" w:color="auto" w:fill="BD2716"/>
            <w:vAlign w:val="center"/>
          </w:tcPr>
          <w:p w14:paraId="621D4F98" w14:textId="0B4A2138" w:rsidR="00550595" w:rsidRPr="00D948C1" w:rsidRDefault="00550595" w:rsidP="006C0086">
            <w:pPr>
              <w:pStyle w:val="BodyTextIndent"/>
              <w:spacing w:line="276" w:lineRule="auto"/>
              <w:ind w:left="0"/>
              <w:jc w:val="center"/>
              <w:rPr>
                <w:color w:val="FFFFFF" w:themeColor="background1"/>
                <w:szCs w:val="24"/>
              </w:rPr>
            </w:pPr>
            <w:r w:rsidRPr="00D948C1">
              <w:rPr>
                <w:color w:val="FFFFFF" w:themeColor="background1"/>
                <w:szCs w:val="24"/>
              </w:rPr>
              <w:t xml:space="preserve">Business rates </w:t>
            </w:r>
            <w:proofErr w:type="gramStart"/>
            <w:r w:rsidRPr="00D948C1">
              <w:rPr>
                <w:color w:val="FFFFFF" w:themeColor="background1"/>
                <w:szCs w:val="24"/>
              </w:rPr>
              <w:t>appeals</w:t>
            </w:r>
            <w:proofErr w:type="gramEnd"/>
          </w:p>
        </w:tc>
        <w:tc>
          <w:tcPr>
            <w:tcW w:w="2592" w:type="dxa"/>
            <w:gridSpan w:val="2"/>
            <w:shd w:val="clear" w:color="auto" w:fill="BD2716"/>
            <w:vAlign w:val="center"/>
          </w:tcPr>
          <w:p w14:paraId="5F4AC8F6" w14:textId="49A289BD" w:rsidR="00550595" w:rsidRPr="00D948C1" w:rsidRDefault="00550595" w:rsidP="006C0086">
            <w:pPr>
              <w:pStyle w:val="BodyTextIndent"/>
              <w:spacing w:line="276" w:lineRule="auto"/>
              <w:ind w:left="0"/>
              <w:jc w:val="center"/>
              <w:rPr>
                <w:color w:val="FFFFFF" w:themeColor="background1"/>
                <w:szCs w:val="24"/>
              </w:rPr>
            </w:pPr>
            <w:r w:rsidRPr="00D948C1">
              <w:rPr>
                <w:color w:val="FFFFFF" w:themeColor="background1"/>
                <w:szCs w:val="24"/>
              </w:rPr>
              <w:t>Total</w:t>
            </w:r>
          </w:p>
        </w:tc>
      </w:tr>
      <w:tr w:rsidR="00053629" w:rsidRPr="00D948C1" w14:paraId="48C58387" w14:textId="77777777" w:rsidTr="00611673">
        <w:trPr>
          <w:trHeight w:hRule="exact" w:val="570"/>
          <w:tblHeader/>
        </w:trPr>
        <w:tc>
          <w:tcPr>
            <w:tcW w:w="2181" w:type="dxa"/>
            <w:shd w:val="clear" w:color="auto" w:fill="BD2716"/>
          </w:tcPr>
          <w:p w14:paraId="54E63F25" w14:textId="77777777" w:rsidR="00053629" w:rsidRPr="00D948C1" w:rsidRDefault="00053629" w:rsidP="006C0086">
            <w:pPr>
              <w:spacing w:line="276" w:lineRule="auto"/>
              <w:rPr>
                <w:color w:val="FFFFFF" w:themeColor="background1"/>
                <w:szCs w:val="24"/>
              </w:rPr>
            </w:pPr>
          </w:p>
        </w:tc>
        <w:tc>
          <w:tcPr>
            <w:tcW w:w="1296" w:type="dxa"/>
            <w:shd w:val="clear" w:color="auto" w:fill="BD2716"/>
            <w:vAlign w:val="center"/>
          </w:tcPr>
          <w:p w14:paraId="4C6618D9" w14:textId="49E76D9D"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2023/24</w:t>
            </w:r>
          </w:p>
          <w:p w14:paraId="20114270" w14:textId="5EB89525"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32B937C6" w14:textId="7C3D4F6C"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2022/23</w:t>
            </w:r>
          </w:p>
          <w:p w14:paraId="512E8DEA" w14:textId="069D631A"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32EEB0BA" w14:textId="11DBA32C"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2023/24</w:t>
            </w:r>
          </w:p>
          <w:p w14:paraId="020731F0" w14:textId="09FE8D3D"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2CC58E6D" w14:textId="0A10B579"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2022/23</w:t>
            </w:r>
          </w:p>
          <w:p w14:paraId="69137530" w14:textId="31F5C669"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1AB3A264" w14:textId="195A2B8A"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2023/24</w:t>
            </w:r>
          </w:p>
          <w:p w14:paraId="2A83AAB4" w14:textId="7869A96C"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c>
          <w:tcPr>
            <w:tcW w:w="1296" w:type="dxa"/>
            <w:shd w:val="clear" w:color="auto" w:fill="BD2716"/>
            <w:vAlign w:val="center"/>
          </w:tcPr>
          <w:p w14:paraId="6A336379" w14:textId="50D9100E" w:rsidR="00053629" w:rsidRPr="00D948C1" w:rsidRDefault="001318F9" w:rsidP="006C0086">
            <w:pPr>
              <w:pStyle w:val="BodyTextIndent"/>
              <w:spacing w:line="276" w:lineRule="auto"/>
              <w:ind w:left="0"/>
              <w:jc w:val="right"/>
              <w:rPr>
                <w:color w:val="FFFFFF" w:themeColor="background1"/>
                <w:szCs w:val="24"/>
              </w:rPr>
            </w:pPr>
            <w:r w:rsidRPr="00D948C1">
              <w:rPr>
                <w:color w:val="FFFFFF" w:themeColor="background1"/>
                <w:szCs w:val="24"/>
              </w:rPr>
              <w:t>2022/23</w:t>
            </w:r>
          </w:p>
          <w:p w14:paraId="183873F7" w14:textId="507C1231" w:rsidR="00053629" w:rsidRPr="00D948C1" w:rsidRDefault="00053629" w:rsidP="006C0086">
            <w:pPr>
              <w:pStyle w:val="BodyTextIndent"/>
              <w:spacing w:line="276" w:lineRule="auto"/>
              <w:ind w:left="0"/>
              <w:jc w:val="right"/>
              <w:rPr>
                <w:color w:val="FFFFFF" w:themeColor="background1"/>
                <w:szCs w:val="24"/>
                <w:lang w:val="en-GB"/>
              </w:rPr>
            </w:pPr>
            <w:r w:rsidRPr="00D948C1">
              <w:rPr>
                <w:color w:val="FFFFFF" w:themeColor="background1"/>
                <w:szCs w:val="24"/>
              </w:rPr>
              <w:t>£000</w:t>
            </w:r>
          </w:p>
        </w:tc>
      </w:tr>
      <w:tr w:rsidR="001318F9" w:rsidRPr="00D948C1" w14:paraId="5CF7DF64" w14:textId="77777777" w:rsidTr="00E70EB9">
        <w:trPr>
          <w:trHeight w:val="278"/>
        </w:trPr>
        <w:tc>
          <w:tcPr>
            <w:tcW w:w="2181" w:type="dxa"/>
            <w:vAlign w:val="center"/>
          </w:tcPr>
          <w:p w14:paraId="693D7C93" w14:textId="77777777" w:rsidR="001318F9" w:rsidRPr="00D948C1" w:rsidRDefault="001318F9" w:rsidP="006C0086">
            <w:pPr>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296" w:type="dxa"/>
            <w:vAlign w:val="center"/>
          </w:tcPr>
          <w:p w14:paraId="76E10F08" w14:textId="7D0C85FB" w:rsidR="001318F9" w:rsidRPr="00D948C1" w:rsidRDefault="00856724" w:rsidP="006C0086">
            <w:pPr>
              <w:tabs>
                <w:tab w:val="decimal" w:pos="900"/>
              </w:tabs>
              <w:spacing w:line="276" w:lineRule="auto"/>
              <w:jc w:val="right"/>
              <w:rPr>
                <w:szCs w:val="24"/>
              </w:rPr>
            </w:pPr>
            <w:r w:rsidRPr="00D948C1">
              <w:rPr>
                <w:szCs w:val="24"/>
              </w:rPr>
              <w:t>579</w:t>
            </w:r>
          </w:p>
        </w:tc>
        <w:tc>
          <w:tcPr>
            <w:tcW w:w="1296" w:type="dxa"/>
            <w:vAlign w:val="center"/>
          </w:tcPr>
          <w:p w14:paraId="330A9ADF" w14:textId="43709EFD" w:rsidR="001318F9" w:rsidRPr="00D948C1" w:rsidRDefault="001318F9" w:rsidP="006C0086">
            <w:pPr>
              <w:tabs>
                <w:tab w:val="decimal" w:pos="900"/>
              </w:tabs>
              <w:spacing w:line="276" w:lineRule="auto"/>
              <w:jc w:val="right"/>
              <w:rPr>
                <w:szCs w:val="24"/>
              </w:rPr>
            </w:pPr>
            <w:r w:rsidRPr="00D948C1">
              <w:rPr>
                <w:szCs w:val="24"/>
              </w:rPr>
              <w:t>593</w:t>
            </w:r>
          </w:p>
        </w:tc>
        <w:tc>
          <w:tcPr>
            <w:tcW w:w="1296" w:type="dxa"/>
            <w:vAlign w:val="center"/>
          </w:tcPr>
          <w:p w14:paraId="5FCBC59F" w14:textId="0EE461AE" w:rsidR="001318F9" w:rsidRPr="00D948C1" w:rsidRDefault="00856724" w:rsidP="006C0086">
            <w:pPr>
              <w:tabs>
                <w:tab w:val="decimal" w:pos="784"/>
              </w:tabs>
              <w:spacing w:line="276" w:lineRule="auto"/>
              <w:jc w:val="right"/>
              <w:rPr>
                <w:szCs w:val="24"/>
              </w:rPr>
            </w:pPr>
            <w:r w:rsidRPr="00D948C1">
              <w:rPr>
                <w:szCs w:val="24"/>
              </w:rPr>
              <w:t>660</w:t>
            </w:r>
          </w:p>
        </w:tc>
        <w:tc>
          <w:tcPr>
            <w:tcW w:w="1296" w:type="dxa"/>
            <w:vAlign w:val="center"/>
          </w:tcPr>
          <w:p w14:paraId="27694E6A" w14:textId="79C96014" w:rsidR="001318F9" w:rsidRPr="00D948C1" w:rsidRDefault="001318F9" w:rsidP="006C0086">
            <w:pPr>
              <w:tabs>
                <w:tab w:val="decimal" w:pos="784"/>
              </w:tabs>
              <w:spacing w:line="276" w:lineRule="auto"/>
              <w:jc w:val="right"/>
              <w:rPr>
                <w:szCs w:val="24"/>
              </w:rPr>
            </w:pPr>
            <w:r w:rsidRPr="00D948C1">
              <w:rPr>
                <w:szCs w:val="24"/>
              </w:rPr>
              <w:t>854</w:t>
            </w:r>
          </w:p>
        </w:tc>
        <w:tc>
          <w:tcPr>
            <w:tcW w:w="1296" w:type="dxa"/>
            <w:vAlign w:val="center"/>
          </w:tcPr>
          <w:p w14:paraId="0DF1F055" w14:textId="49B61CA8" w:rsidR="001318F9" w:rsidRPr="00D948C1" w:rsidRDefault="00856724" w:rsidP="006C0086">
            <w:pPr>
              <w:tabs>
                <w:tab w:val="decimal" w:pos="784"/>
              </w:tabs>
              <w:spacing w:line="276" w:lineRule="auto"/>
              <w:jc w:val="right"/>
              <w:rPr>
                <w:szCs w:val="24"/>
              </w:rPr>
            </w:pPr>
            <w:r w:rsidRPr="00D948C1">
              <w:rPr>
                <w:szCs w:val="24"/>
              </w:rPr>
              <w:t>1,239</w:t>
            </w:r>
          </w:p>
        </w:tc>
        <w:tc>
          <w:tcPr>
            <w:tcW w:w="1296" w:type="dxa"/>
            <w:vAlign w:val="center"/>
          </w:tcPr>
          <w:p w14:paraId="159DACB9" w14:textId="246E3E79" w:rsidR="001318F9" w:rsidRPr="00D948C1" w:rsidRDefault="001318F9" w:rsidP="006C0086">
            <w:pPr>
              <w:tabs>
                <w:tab w:val="decimal" w:pos="784"/>
              </w:tabs>
              <w:spacing w:line="276" w:lineRule="auto"/>
              <w:jc w:val="right"/>
              <w:rPr>
                <w:szCs w:val="24"/>
              </w:rPr>
            </w:pPr>
            <w:r w:rsidRPr="00D948C1">
              <w:rPr>
                <w:szCs w:val="24"/>
              </w:rPr>
              <w:t>1,447</w:t>
            </w:r>
          </w:p>
        </w:tc>
      </w:tr>
      <w:tr w:rsidR="001318F9" w:rsidRPr="00D948C1" w14:paraId="52AF7707" w14:textId="77777777" w:rsidTr="00E70EB9">
        <w:trPr>
          <w:trHeight w:val="278"/>
        </w:trPr>
        <w:tc>
          <w:tcPr>
            <w:tcW w:w="2181" w:type="dxa"/>
            <w:vAlign w:val="center"/>
          </w:tcPr>
          <w:p w14:paraId="2C41E349" w14:textId="77777777" w:rsidR="001318F9" w:rsidRPr="00D948C1" w:rsidRDefault="001318F9" w:rsidP="006C0086">
            <w:pPr>
              <w:spacing w:line="276" w:lineRule="auto"/>
              <w:rPr>
                <w:szCs w:val="24"/>
              </w:rPr>
            </w:pPr>
            <w:r w:rsidRPr="00D948C1">
              <w:rPr>
                <w:szCs w:val="24"/>
              </w:rPr>
              <w:t>Amounts utilised</w:t>
            </w:r>
          </w:p>
        </w:tc>
        <w:tc>
          <w:tcPr>
            <w:tcW w:w="1296" w:type="dxa"/>
            <w:vAlign w:val="center"/>
          </w:tcPr>
          <w:p w14:paraId="76B926D5" w14:textId="21698B3B" w:rsidR="001318F9" w:rsidRPr="00D948C1" w:rsidRDefault="001318F9" w:rsidP="006C0086">
            <w:pPr>
              <w:tabs>
                <w:tab w:val="decimal" w:pos="900"/>
              </w:tabs>
              <w:spacing w:line="276" w:lineRule="auto"/>
              <w:jc w:val="right"/>
              <w:rPr>
                <w:szCs w:val="24"/>
              </w:rPr>
            </w:pPr>
            <w:r w:rsidRPr="00D948C1">
              <w:rPr>
                <w:szCs w:val="24"/>
              </w:rPr>
              <w:t>(</w:t>
            </w:r>
            <w:r w:rsidR="00E70EB9" w:rsidRPr="00D948C1">
              <w:rPr>
                <w:szCs w:val="24"/>
              </w:rPr>
              <w:t>116</w:t>
            </w:r>
            <w:r w:rsidRPr="00D948C1">
              <w:rPr>
                <w:szCs w:val="24"/>
              </w:rPr>
              <w:t>)</w:t>
            </w:r>
          </w:p>
        </w:tc>
        <w:tc>
          <w:tcPr>
            <w:tcW w:w="1296" w:type="dxa"/>
            <w:vAlign w:val="center"/>
          </w:tcPr>
          <w:p w14:paraId="3813A5E0" w14:textId="0105CC43" w:rsidR="001318F9" w:rsidRPr="00D948C1" w:rsidRDefault="001318F9" w:rsidP="006C0086">
            <w:pPr>
              <w:tabs>
                <w:tab w:val="decimal" w:pos="900"/>
              </w:tabs>
              <w:spacing w:line="276" w:lineRule="auto"/>
              <w:jc w:val="right"/>
              <w:rPr>
                <w:szCs w:val="24"/>
              </w:rPr>
            </w:pPr>
            <w:r w:rsidRPr="00D948C1">
              <w:rPr>
                <w:szCs w:val="24"/>
              </w:rPr>
              <w:t>(89)</w:t>
            </w:r>
          </w:p>
        </w:tc>
        <w:tc>
          <w:tcPr>
            <w:tcW w:w="1296" w:type="dxa"/>
            <w:vAlign w:val="center"/>
          </w:tcPr>
          <w:p w14:paraId="65F4DE2E" w14:textId="48B0588C" w:rsidR="001318F9" w:rsidRPr="00D948C1" w:rsidRDefault="001318F9" w:rsidP="006C0086">
            <w:pPr>
              <w:tabs>
                <w:tab w:val="decimal" w:pos="784"/>
              </w:tabs>
              <w:spacing w:line="276" w:lineRule="auto"/>
              <w:jc w:val="right"/>
              <w:rPr>
                <w:szCs w:val="24"/>
              </w:rPr>
            </w:pPr>
            <w:r w:rsidRPr="00D948C1">
              <w:rPr>
                <w:szCs w:val="24"/>
              </w:rPr>
              <w:t>-</w:t>
            </w:r>
          </w:p>
        </w:tc>
        <w:tc>
          <w:tcPr>
            <w:tcW w:w="1296" w:type="dxa"/>
            <w:vAlign w:val="center"/>
          </w:tcPr>
          <w:p w14:paraId="7DFC824C" w14:textId="3B462A72" w:rsidR="001318F9" w:rsidRPr="00D948C1" w:rsidRDefault="001318F9" w:rsidP="006C0086">
            <w:pPr>
              <w:tabs>
                <w:tab w:val="decimal" w:pos="784"/>
              </w:tabs>
              <w:spacing w:line="276" w:lineRule="auto"/>
              <w:jc w:val="right"/>
              <w:rPr>
                <w:szCs w:val="24"/>
              </w:rPr>
            </w:pPr>
            <w:r w:rsidRPr="00D948C1">
              <w:rPr>
                <w:szCs w:val="24"/>
              </w:rPr>
              <w:t>-</w:t>
            </w:r>
          </w:p>
        </w:tc>
        <w:tc>
          <w:tcPr>
            <w:tcW w:w="1296" w:type="dxa"/>
            <w:vAlign w:val="center"/>
          </w:tcPr>
          <w:p w14:paraId="5B1F8A8E" w14:textId="4894E146" w:rsidR="001318F9" w:rsidRPr="00D948C1" w:rsidRDefault="001318F9" w:rsidP="006C0086">
            <w:pPr>
              <w:tabs>
                <w:tab w:val="decimal" w:pos="784"/>
              </w:tabs>
              <w:spacing w:line="276" w:lineRule="auto"/>
              <w:jc w:val="right"/>
              <w:rPr>
                <w:szCs w:val="24"/>
              </w:rPr>
            </w:pPr>
            <w:r w:rsidRPr="00D948C1">
              <w:rPr>
                <w:szCs w:val="24"/>
              </w:rPr>
              <w:t>(</w:t>
            </w:r>
            <w:r w:rsidR="00F52F42" w:rsidRPr="00D948C1">
              <w:rPr>
                <w:szCs w:val="24"/>
              </w:rPr>
              <w:t>116</w:t>
            </w:r>
            <w:r w:rsidRPr="00D948C1">
              <w:rPr>
                <w:szCs w:val="24"/>
              </w:rPr>
              <w:t>)</w:t>
            </w:r>
          </w:p>
        </w:tc>
        <w:tc>
          <w:tcPr>
            <w:tcW w:w="1296" w:type="dxa"/>
            <w:vAlign w:val="center"/>
          </w:tcPr>
          <w:p w14:paraId="6413479E" w14:textId="4ADE9081" w:rsidR="001318F9" w:rsidRPr="00D948C1" w:rsidRDefault="001318F9" w:rsidP="006C0086">
            <w:pPr>
              <w:tabs>
                <w:tab w:val="decimal" w:pos="784"/>
              </w:tabs>
              <w:spacing w:line="276" w:lineRule="auto"/>
              <w:jc w:val="right"/>
              <w:rPr>
                <w:szCs w:val="24"/>
              </w:rPr>
            </w:pPr>
            <w:r w:rsidRPr="00D948C1">
              <w:rPr>
                <w:szCs w:val="24"/>
              </w:rPr>
              <w:t>(89)</w:t>
            </w:r>
          </w:p>
        </w:tc>
      </w:tr>
      <w:tr w:rsidR="001318F9" w:rsidRPr="00D948C1" w14:paraId="498BC9CD" w14:textId="77777777" w:rsidTr="00E70EB9">
        <w:trPr>
          <w:trHeight w:val="556"/>
        </w:trPr>
        <w:tc>
          <w:tcPr>
            <w:tcW w:w="2181" w:type="dxa"/>
            <w:vAlign w:val="center"/>
          </w:tcPr>
          <w:p w14:paraId="30762056" w14:textId="77777777" w:rsidR="001318F9" w:rsidRPr="00D948C1" w:rsidRDefault="001318F9" w:rsidP="006C0086">
            <w:pPr>
              <w:pStyle w:val="Footer"/>
              <w:tabs>
                <w:tab w:val="clear" w:pos="4153"/>
                <w:tab w:val="clear" w:pos="8306"/>
              </w:tabs>
              <w:spacing w:line="276" w:lineRule="auto"/>
              <w:rPr>
                <w:szCs w:val="24"/>
              </w:rPr>
            </w:pPr>
            <w:r w:rsidRPr="00D948C1">
              <w:rPr>
                <w:szCs w:val="24"/>
              </w:rPr>
              <w:t>Unused amounts reversed</w:t>
            </w:r>
          </w:p>
        </w:tc>
        <w:tc>
          <w:tcPr>
            <w:tcW w:w="1296" w:type="dxa"/>
            <w:vAlign w:val="center"/>
          </w:tcPr>
          <w:p w14:paraId="3EC34016" w14:textId="12A509EE" w:rsidR="001318F9" w:rsidRPr="00D948C1" w:rsidRDefault="001318F9" w:rsidP="006C0086">
            <w:pPr>
              <w:tabs>
                <w:tab w:val="decimal" w:pos="900"/>
              </w:tabs>
              <w:spacing w:line="276" w:lineRule="auto"/>
              <w:jc w:val="right"/>
              <w:rPr>
                <w:szCs w:val="24"/>
              </w:rPr>
            </w:pPr>
            <w:r w:rsidRPr="00D948C1">
              <w:rPr>
                <w:szCs w:val="24"/>
              </w:rPr>
              <w:t>(</w:t>
            </w:r>
            <w:r w:rsidR="00E70EB9" w:rsidRPr="00D948C1">
              <w:rPr>
                <w:szCs w:val="24"/>
              </w:rPr>
              <w:t>135</w:t>
            </w:r>
            <w:r w:rsidRPr="00D948C1">
              <w:rPr>
                <w:szCs w:val="24"/>
              </w:rPr>
              <w:t>)</w:t>
            </w:r>
          </w:p>
        </w:tc>
        <w:tc>
          <w:tcPr>
            <w:tcW w:w="1296" w:type="dxa"/>
            <w:vAlign w:val="center"/>
          </w:tcPr>
          <w:p w14:paraId="637E5259" w14:textId="191F35B3" w:rsidR="001318F9" w:rsidRPr="00D948C1" w:rsidRDefault="001318F9" w:rsidP="006C0086">
            <w:pPr>
              <w:tabs>
                <w:tab w:val="decimal" w:pos="900"/>
              </w:tabs>
              <w:spacing w:line="276" w:lineRule="auto"/>
              <w:jc w:val="right"/>
              <w:rPr>
                <w:szCs w:val="24"/>
              </w:rPr>
            </w:pPr>
            <w:r w:rsidRPr="00D948C1">
              <w:rPr>
                <w:szCs w:val="24"/>
              </w:rPr>
              <w:t>(130)</w:t>
            </w:r>
          </w:p>
        </w:tc>
        <w:tc>
          <w:tcPr>
            <w:tcW w:w="1296" w:type="dxa"/>
            <w:vAlign w:val="center"/>
          </w:tcPr>
          <w:p w14:paraId="18412C0C" w14:textId="5D39AF08" w:rsidR="001318F9" w:rsidRPr="00D948C1" w:rsidRDefault="00F52F42" w:rsidP="006C0086">
            <w:pPr>
              <w:tabs>
                <w:tab w:val="decimal" w:pos="784"/>
              </w:tabs>
              <w:spacing w:line="276" w:lineRule="auto"/>
              <w:jc w:val="right"/>
              <w:rPr>
                <w:szCs w:val="24"/>
              </w:rPr>
            </w:pPr>
            <w:r w:rsidRPr="00D948C1">
              <w:rPr>
                <w:szCs w:val="24"/>
              </w:rPr>
              <w:t>(145)</w:t>
            </w:r>
          </w:p>
        </w:tc>
        <w:tc>
          <w:tcPr>
            <w:tcW w:w="1296" w:type="dxa"/>
            <w:vAlign w:val="center"/>
          </w:tcPr>
          <w:p w14:paraId="1743770B" w14:textId="146C7212" w:rsidR="001318F9" w:rsidRPr="00D948C1" w:rsidRDefault="001318F9" w:rsidP="006C0086">
            <w:pPr>
              <w:tabs>
                <w:tab w:val="decimal" w:pos="784"/>
              </w:tabs>
              <w:spacing w:line="276" w:lineRule="auto"/>
              <w:jc w:val="right"/>
              <w:rPr>
                <w:szCs w:val="24"/>
              </w:rPr>
            </w:pPr>
            <w:r w:rsidRPr="00D948C1">
              <w:rPr>
                <w:szCs w:val="24"/>
              </w:rPr>
              <w:t>(229)</w:t>
            </w:r>
          </w:p>
        </w:tc>
        <w:tc>
          <w:tcPr>
            <w:tcW w:w="1296" w:type="dxa"/>
            <w:vAlign w:val="center"/>
          </w:tcPr>
          <w:p w14:paraId="123A9AB2" w14:textId="3C4138FF" w:rsidR="001318F9" w:rsidRPr="00D948C1" w:rsidRDefault="001318F9" w:rsidP="006C0086">
            <w:pPr>
              <w:tabs>
                <w:tab w:val="decimal" w:pos="784"/>
              </w:tabs>
              <w:spacing w:line="276" w:lineRule="auto"/>
              <w:jc w:val="right"/>
              <w:rPr>
                <w:szCs w:val="24"/>
              </w:rPr>
            </w:pPr>
            <w:r w:rsidRPr="00D948C1">
              <w:rPr>
                <w:szCs w:val="24"/>
              </w:rPr>
              <w:t>(</w:t>
            </w:r>
            <w:r w:rsidR="00F52F42" w:rsidRPr="00D948C1">
              <w:rPr>
                <w:szCs w:val="24"/>
              </w:rPr>
              <w:t>280</w:t>
            </w:r>
            <w:r w:rsidRPr="00D948C1">
              <w:rPr>
                <w:szCs w:val="24"/>
              </w:rPr>
              <w:t>)</w:t>
            </w:r>
          </w:p>
        </w:tc>
        <w:tc>
          <w:tcPr>
            <w:tcW w:w="1296" w:type="dxa"/>
            <w:vAlign w:val="center"/>
          </w:tcPr>
          <w:p w14:paraId="6D4D4CE4" w14:textId="439689C4" w:rsidR="001318F9" w:rsidRPr="00D948C1" w:rsidRDefault="001318F9" w:rsidP="006C0086">
            <w:pPr>
              <w:tabs>
                <w:tab w:val="decimal" w:pos="784"/>
              </w:tabs>
              <w:spacing w:line="276" w:lineRule="auto"/>
              <w:jc w:val="right"/>
              <w:rPr>
                <w:szCs w:val="24"/>
              </w:rPr>
            </w:pPr>
            <w:r w:rsidRPr="00D948C1">
              <w:rPr>
                <w:szCs w:val="24"/>
              </w:rPr>
              <w:t>(359)</w:t>
            </w:r>
          </w:p>
        </w:tc>
      </w:tr>
      <w:tr w:rsidR="001318F9" w:rsidRPr="00D948C1" w14:paraId="38949098" w14:textId="77777777" w:rsidTr="00E70EB9">
        <w:trPr>
          <w:trHeight w:val="556"/>
        </w:trPr>
        <w:tc>
          <w:tcPr>
            <w:tcW w:w="2181" w:type="dxa"/>
            <w:vAlign w:val="center"/>
          </w:tcPr>
          <w:p w14:paraId="12C9AACC" w14:textId="77777777" w:rsidR="001318F9" w:rsidRPr="00D948C1" w:rsidRDefault="001318F9" w:rsidP="006C0086">
            <w:pPr>
              <w:pStyle w:val="Footer"/>
              <w:tabs>
                <w:tab w:val="clear" w:pos="4153"/>
                <w:tab w:val="clear" w:pos="8306"/>
              </w:tabs>
              <w:spacing w:line="276" w:lineRule="auto"/>
              <w:rPr>
                <w:szCs w:val="24"/>
              </w:rPr>
            </w:pPr>
            <w:r w:rsidRPr="00D948C1">
              <w:rPr>
                <w:szCs w:val="24"/>
              </w:rPr>
              <w:t>Additional provision</w:t>
            </w:r>
          </w:p>
        </w:tc>
        <w:tc>
          <w:tcPr>
            <w:tcW w:w="1296" w:type="dxa"/>
            <w:vAlign w:val="center"/>
          </w:tcPr>
          <w:p w14:paraId="5DAA081C" w14:textId="7665C5FB" w:rsidR="001318F9" w:rsidRPr="00D948C1" w:rsidRDefault="00E70EB9" w:rsidP="006C0086">
            <w:pPr>
              <w:pStyle w:val="Footer"/>
              <w:tabs>
                <w:tab w:val="clear" w:pos="4153"/>
                <w:tab w:val="clear" w:pos="8306"/>
                <w:tab w:val="decimal" w:pos="900"/>
              </w:tabs>
              <w:spacing w:line="276" w:lineRule="auto"/>
              <w:jc w:val="right"/>
              <w:rPr>
                <w:szCs w:val="24"/>
              </w:rPr>
            </w:pPr>
            <w:r w:rsidRPr="00D948C1">
              <w:rPr>
                <w:szCs w:val="24"/>
              </w:rPr>
              <w:t>33</w:t>
            </w:r>
            <w:r w:rsidR="00480E4B" w:rsidRPr="00D948C1">
              <w:rPr>
                <w:szCs w:val="24"/>
              </w:rPr>
              <w:t>0</w:t>
            </w:r>
          </w:p>
        </w:tc>
        <w:tc>
          <w:tcPr>
            <w:tcW w:w="1296" w:type="dxa"/>
            <w:vAlign w:val="center"/>
          </w:tcPr>
          <w:p w14:paraId="5F05F642" w14:textId="27A21346" w:rsidR="001318F9" w:rsidRPr="00D948C1" w:rsidRDefault="001318F9" w:rsidP="006C0086">
            <w:pPr>
              <w:pStyle w:val="Footer"/>
              <w:tabs>
                <w:tab w:val="clear" w:pos="4153"/>
                <w:tab w:val="clear" w:pos="8306"/>
                <w:tab w:val="decimal" w:pos="900"/>
              </w:tabs>
              <w:spacing w:line="276" w:lineRule="auto"/>
              <w:jc w:val="right"/>
              <w:rPr>
                <w:szCs w:val="24"/>
              </w:rPr>
            </w:pPr>
            <w:r w:rsidRPr="00D948C1">
              <w:rPr>
                <w:szCs w:val="24"/>
              </w:rPr>
              <w:t>205</w:t>
            </w:r>
          </w:p>
        </w:tc>
        <w:tc>
          <w:tcPr>
            <w:tcW w:w="1296" w:type="dxa"/>
            <w:vAlign w:val="center"/>
          </w:tcPr>
          <w:p w14:paraId="7D57BDBE" w14:textId="3262AD42" w:rsidR="001318F9" w:rsidRPr="00D948C1" w:rsidRDefault="00F52F42" w:rsidP="006C0086">
            <w:pPr>
              <w:pStyle w:val="Footer"/>
              <w:tabs>
                <w:tab w:val="clear" w:pos="4153"/>
                <w:tab w:val="clear" w:pos="8306"/>
                <w:tab w:val="decimal" w:pos="784"/>
              </w:tabs>
              <w:spacing w:line="276" w:lineRule="auto"/>
              <w:jc w:val="right"/>
              <w:rPr>
                <w:szCs w:val="24"/>
              </w:rPr>
            </w:pPr>
            <w:r w:rsidRPr="00D948C1">
              <w:rPr>
                <w:szCs w:val="24"/>
              </w:rPr>
              <w:t>56</w:t>
            </w:r>
          </w:p>
        </w:tc>
        <w:tc>
          <w:tcPr>
            <w:tcW w:w="1296" w:type="dxa"/>
            <w:vAlign w:val="center"/>
          </w:tcPr>
          <w:p w14:paraId="2A170E39" w14:textId="62FBB9E3" w:rsidR="001318F9" w:rsidRPr="00D948C1" w:rsidRDefault="001318F9" w:rsidP="006C0086">
            <w:pPr>
              <w:pStyle w:val="Footer"/>
              <w:tabs>
                <w:tab w:val="clear" w:pos="4153"/>
                <w:tab w:val="clear" w:pos="8306"/>
                <w:tab w:val="decimal" w:pos="784"/>
              </w:tabs>
              <w:spacing w:line="276" w:lineRule="auto"/>
              <w:jc w:val="right"/>
              <w:rPr>
                <w:szCs w:val="24"/>
              </w:rPr>
            </w:pPr>
            <w:r w:rsidRPr="00D948C1">
              <w:rPr>
                <w:szCs w:val="24"/>
              </w:rPr>
              <w:t>35</w:t>
            </w:r>
          </w:p>
        </w:tc>
        <w:tc>
          <w:tcPr>
            <w:tcW w:w="1296" w:type="dxa"/>
            <w:vAlign w:val="center"/>
          </w:tcPr>
          <w:p w14:paraId="51895F45" w14:textId="75A67F69" w:rsidR="001318F9" w:rsidRPr="00D948C1" w:rsidRDefault="00F52F42" w:rsidP="006C0086">
            <w:pPr>
              <w:pStyle w:val="Footer"/>
              <w:tabs>
                <w:tab w:val="clear" w:pos="4153"/>
                <w:tab w:val="clear" w:pos="8306"/>
                <w:tab w:val="decimal" w:pos="784"/>
              </w:tabs>
              <w:spacing w:line="276" w:lineRule="auto"/>
              <w:jc w:val="right"/>
              <w:rPr>
                <w:szCs w:val="24"/>
              </w:rPr>
            </w:pPr>
            <w:r w:rsidRPr="00D948C1">
              <w:rPr>
                <w:szCs w:val="24"/>
              </w:rPr>
              <w:t>386</w:t>
            </w:r>
          </w:p>
        </w:tc>
        <w:tc>
          <w:tcPr>
            <w:tcW w:w="1296" w:type="dxa"/>
            <w:vAlign w:val="center"/>
          </w:tcPr>
          <w:p w14:paraId="1E18CD9C" w14:textId="265A7E64" w:rsidR="001318F9" w:rsidRPr="00D948C1" w:rsidRDefault="001318F9" w:rsidP="006C0086">
            <w:pPr>
              <w:pStyle w:val="Footer"/>
              <w:tabs>
                <w:tab w:val="clear" w:pos="4153"/>
                <w:tab w:val="clear" w:pos="8306"/>
                <w:tab w:val="decimal" w:pos="784"/>
              </w:tabs>
              <w:spacing w:line="276" w:lineRule="auto"/>
              <w:jc w:val="right"/>
              <w:rPr>
                <w:szCs w:val="24"/>
              </w:rPr>
            </w:pPr>
            <w:r w:rsidRPr="00D948C1">
              <w:rPr>
                <w:szCs w:val="24"/>
              </w:rPr>
              <w:t>240</w:t>
            </w:r>
          </w:p>
        </w:tc>
      </w:tr>
      <w:tr w:rsidR="001318F9" w:rsidRPr="00D948C1" w14:paraId="1AA84FA7" w14:textId="77777777" w:rsidTr="00E70EB9">
        <w:trPr>
          <w:trHeight w:val="556"/>
        </w:trPr>
        <w:tc>
          <w:tcPr>
            <w:tcW w:w="2181" w:type="dxa"/>
            <w:vAlign w:val="center"/>
          </w:tcPr>
          <w:p w14:paraId="367BF687" w14:textId="5C0918BD" w:rsidR="001318F9" w:rsidRPr="00D948C1" w:rsidRDefault="001318F9" w:rsidP="006C0086">
            <w:pPr>
              <w:pStyle w:val="Footer"/>
              <w:tabs>
                <w:tab w:val="clear" w:pos="4153"/>
                <w:tab w:val="clear" w:pos="8306"/>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31 March</w:t>
            </w:r>
          </w:p>
        </w:tc>
        <w:tc>
          <w:tcPr>
            <w:tcW w:w="1296" w:type="dxa"/>
            <w:vAlign w:val="center"/>
          </w:tcPr>
          <w:p w14:paraId="4CAD74AE" w14:textId="46B60F17" w:rsidR="001318F9" w:rsidRPr="00D948C1" w:rsidRDefault="00480E4B" w:rsidP="006C0086">
            <w:pPr>
              <w:pStyle w:val="Footer"/>
              <w:tabs>
                <w:tab w:val="clear" w:pos="4153"/>
                <w:tab w:val="clear" w:pos="8306"/>
                <w:tab w:val="decimal" w:pos="900"/>
              </w:tabs>
              <w:spacing w:line="276" w:lineRule="auto"/>
              <w:jc w:val="right"/>
              <w:rPr>
                <w:szCs w:val="24"/>
              </w:rPr>
            </w:pPr>
            <w:r w:rsidRPr="00D948C1">
              <w:rPr>
                <w:szCs w:val="24"/>
              </w:rPr>
              <w:t>658</w:t>
            </w:r>
          </w:p>
        </w:tc>
        <w:tc>
          <w:tcPr>
            <w:tcW w:w="1296" w:type="dxa"/>
            <w:vAlign w:val="center"/>
          </w:tcPr>
          <w:p w14:paraId="356216AC" w14:textId="5BE93891" w:rsidR="001318F9" w:rsidRPr="00D948C1" w:rsidRDefault="001318F9" w:rsidP="006C0086">
            <w:pPr>
              <w:pStyle w:val="Footer"/>
              <w:tabs>
                <w:tab w:val="clear" w:pos="4153"/>
                <w:tab w:val="clear" w:pos="8306"/>
                <w:tab w:val="decimal" w:pos="900"/>
              </w:tabs>
              <w:spacing w:line="276" w:lineRule="auto"/>
              <w:jc w:val="right"/>
              <w:rPr>
                <w:szCs w:val="24"/>
              </w:rPr>
            </w:pPr>
            <w:r w:rsidRPr="00D948C1">
              <w:rPr>
                <w:szCs w:val="24"/>
              </w:rPr>
              <w:t>579</w:t>
            </w:r>
          </w:p>
        </w:tc>
        <w:tc>
          <w:tcPr>
            <w:tcW w:w="1296" w:type="dxa"/>
            <w:vAlign w:val="center"/>
          </w:tcPr>
          <w:p w14:paraId="1F7C3810" w14:textId="595E8439" w:rsidR="001318F9" w:rsidRPr="00D948C1" w:rsidRDefault="00F52F42" w:rsidP="006C0086">
            <w:pPr>
              <w:pStyle w:val="Footer"/>
              <w:tabs>
                <w:tab w:val="clear" w:pos="4153"/>
                <w:tab w:val="clear" w:pos="8306"/>
                <w:tab w:val="decimal" w:pos="784"/>
              </w:tabs>
              <w:spacing w:line="276" w:lineRule="auto"/>
              <w:jc w:val="right"/>
              <w:rPr>
                <w:szCs w:val="24"/>
              </w:rPr>
            </w:pPr>
            <w:r w:rsidRPr="00D948C1">
              <w:rPr>
                <w:szCs w:val="24"/>
              </w:rPr>
              <w:t>571</w:t>
            </w:r>
          </w:p>
        </w:tc>
        <w:tc>
          <w:tcPr>
            <w:tcW w:w="1296" w:type="dxa"/>
            <w:vAlign w:val="center"/>
          </w:tcPr>
          <w:p w14:paraId="7B7F8E0F" w14:textId="087CEFCB" w:rsidR="001318F9" w:rsidRPr="00D948C1" w:rsidRDefault="001318F9" w:rsidP="006C0086">
            <w:pPr>
              <w:pStyle w:val="Footer"/>
              <w:tabs>
                <w:tab w:val="clear" w:pos="4153"/>
                <w:tab w:val="clear" w:pos="8306"/>
                <w:tab w:val="decimal" w:pos="784"/>
              </w:tabs>
              <w:spacing w:line="276" w:lineRule="auto"/>
              <w:jc w:val="right"/>
              <w:rPr>
                <w:szCs w:val="24"/>
              </w:rPr>
            </w:pPr>
            <w:r w:rsidRPr="00D948C1">
              <w:rPr>
                <w:szCs w:val="24"/>
              </w:rPr>
              <w:t>660</w:t>
            </w:r>
          </w:p>
        </w:tc>
        <w:tc>
          <w:tcPr>
            <w:tcW w:w="1296" w:type="dxa"/>
            <w:vAlign w:val="center"/>
          </w:tcPr>
          <w:p w14:paraId="6779C3E4" w14:textId="4F399B64" w:rsidR="001318F9" w:rsidRPr="00D948C1" w:rsidRDefault="001318F9" w:rsidP="006C0086">
            <w:pPr>
              <w:pStyle w:val="Footer"/>
              <w:tabs>
                <w:tab w:val="clear" w:pos="4153"/>
                <w:tab w:val="clear" w:pos="8306"/>
                <w:tab w:val="decimal" w:pos="784"/>
              </w:tabs>
              <w:spacing w:line="276" w:lineRule="auto"/>
              <w:jc w:val="right"/>
              <w:rPr>
                <w:szCs w:val="24"/>
              </w:rPr>
            </w:pPr>
            <w:r w:rsidRPr="00D948C1">
              <w:rPr>
                <w:szCs w:val="24"/>
              </w:rPr>
              <w:t>1,2</w:t>
            </w:r>
            <w:r w:rsidR="00F52F42" w:rsidRPr="00D948C1">
              <w:rPr>
                <w:szCs w:val="24"/>
              </w:rPr>
              <w:t>29</w:t>
            </w:r>
          </w:p>
        </w:tc>
        <w:tc>
          <w:tcPr>
            <w:tcW w:w="1296" w:type="dxa"/>
            <w:vAlign w:val="center"/>
          </w:tcPr>
          <w:p w14:paraId="455CF824" w14:textId="7F3B9203" w:rsidR="001318F9" w:rsidRPr="00D948C1" w:rsidRDefault="001318F9" w:rsidP="006C0086">
            <w:pPr>
              <w:pStyle w:val="Footer"/>
              <w:tabs>
                <w:tab w:val="clear" w:pos="4153"/>
                <w:tab w:val="clear" w:pos="8306"/>
                <w:tab w:val="decimal" w:pos="784"/>
              </w:tabs>
              <w:spacing w:line="276" w:lineRule="auto"/>
              <w:jc w:val="right"/>
              <w:rPr>
                <w:szCs w:val="24"/>
              </w:rPr>
            </w:pPr>
            <w:r w:rsidRPr="00D948C1">
              <w:rPr>
                <w:szCs w:val="24"/>
              </w:rPr>
              <w:t>1,239</w:t>
            </w:r>
          </w:p>
        </w:tc>
      </w:tr>
    </w:tbl>
    <w:p w14:paraId="0961DDA0" w14:textId="174D0689" w:rsidR="00BC6C4F" w:rsidRPr="00D948C1" w:rsidRDefault="00BC6C4F" w:rsidP="006C0086">
      <w:pPr>
        <w:spacing w:line="276" w:lineRule="auto"/>
        <w:rPr>
          <w:b/>
          <w:szCs w:val="24"/>
        </w:rPr>
      </w:pPr>
    </w:p>
    <w:p w14:paraId="33D32AFE" w14:textId="5639FB13" w:rsidR="000D7D67" w:rsidRPr="00D948C1" w:rsidRDefault="00BE3374" w:rsidP="006C0086">
      <w:pPr>
        <w:pStyle w:val="Heading2"/>
        <w:spacing w:line="276" w:lineRule="auto"/>
        <w:jc w:val="left"/>
        <w:rPr>
          <w:sz w:val="24"/>
          <w:szCs w:val="24"/>
        </w:rPr>
      </w:pPr>
      <w:bookmarkStart w:id="48" w:name="_Toc171068797"/>
      <w:r w:rsidRPr="00D948C1">
        <w:rPr>
          <w:sz w:val="24"/>
          <w:szCs w:val="24"/>
        </w:rPr>
        <w:t>1</w:t>
      </w:r>
      <w:r w:rsidR="007C6DCB" w:rsidRPr="00D948C1">
        <w:rPr>
          <w:sz w:val="24"/>
          <w:szCs w:val="24"/>
        </w:rPr>
        <w:t>3</w:t>
      </w:r>
      <w:r w:rsidR="00D90216" w:rsidRPr="00D948C1">
        <w:rPr>
          <w:sz w:val="24"/>
          <w:szCs w:val="24"/>
        </w:rPr>
        <w:tab/>
      </w:r>
      <w:bookmarkStart w:id="49" w:name="N13"/>
      <w:bookmarkEnd w:id="49"/>
      <w:r w:rsidR="000D7D67" w:rsidRPr="00D948C1">
        <w:rPr>
          <w:sz w:val="24"/>
          <w:szCs w:val="24"/>
        </w:rPr>
        <w:t>Other Long</w:t>
      </w:r>
      <w:r w:rsidR="00A16368" w:rsidRPr="00D948C1">
        <w:rPr>
          <w:sz w:val="24"/>
          <w:szCs w:val="24"/>
        </w:rPr>
        <w:t>-</w:t>
      </w:r>
      <w:r w:rsidR="000D7D67" w:rsidRPr="00D948C1">
        <w:rPr>
          <w:sz w:val="24"/>
          <w:szCs w:val="24"/>
        </w:rPr>
        <w:t>Term Liabilities</w:t>
      </w:r>
      <w:bookmarkEnd w:id="48"/>
    </w:p>
    <w:p w14:paraId="47252286" w14:textId="77777777" w:rsidR="000D7D67" w:rsidRPr="00D948C1" w:rsidRDefault="000D7D67" w:rsidP="006C0086">
      <w:pPr>
        <w:spacing w:line="276" w:lineRule="auto"/>
        <w:rPr>
          <w:sz w:val="22"/>
        </w:rPr>
      </w:pPr>
    </w:p>
    <w:p w14:paraId="76AA36C2" w14:textId="0E612907" w:rsidR="000D7D67" w:rsidRPr="00D948C1" w:rsidRDefault="000D7D67" w:rsidP="006C0086">
      <w:pPr>
        <w:pStyle w:val="01-NormInd1-BB"/>
        <w:spacing w:line="276" w:lineRule="auto"/>
        <w:jc w:val="left"/>
        <w:rPr>
          <w:rFonts w:eastAsia="Times New Roman"/>
          <w:sz w:val="24"/>
          <w:szCs w:val="24"/>
        </w:rPr>
      </w:pPr>
      <w:r w:rsidRPr="00D948C1">
        <w:rPr>
          <w:rFonts w:eastAsia="Times New Roman"/>
          <w:sz w:val="24"/>
          <w:szCs w:val="24"/>
        </w:rPr>
        <w:t>Other long</w:t>
      </w:r>
      <w:r w:rsidR="00A16368" w:rsidRPr="00D948C1">
        <w:rPr>
          <w:rFonts w:eastAsia="Times New Roman"/>
          <w:sz w:val="24"/>
          <w:szCs w:val="24"/>
        </w:rPr>
        <w:t>-</w:t>
      </w:r>
      <w:r w:rsidRPr="00D948C1">
        <w:rPr>
          <w:rFonts w:eastAsia="Times New Roman"/>
          <w:sz w:val="24"/>
          <w:szCs w:val="24"/>
        </w:rPr>
        <w:t>term liabilities comprise the following:</w:t>
      </w:r>
    </w:p>
    <w:p w14:paraId="7B03A6A3" w14:textId="77777777" w:rsidR="000D7D67" w:rsidRPr="00D948C1" w:rsidRDefault="000D7D67" w:rsidP="006C0086">
      <w:pPr>
        <w:pStyle w:val="01-NormInd1-BB"/>
        <w:spacing w:line="276" w:lineRule="auto"/>
        <w:rPr>
          <w:rFonts w:eastAsia="Times New Roman"/>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701"/>
      </w:tblGrid>
      <w:tr w:rsidR="001318F9" w:rsidRPr="00D948C1" w14:paraId="408F8D67" w14:textId="77777777" w:rsidTr="00611673">
        <w:trPr>
          <w:tblHeader/>
        </w:trPr>
        <w:tc>
          <w:tcPr>
            <w:tcW w:w="4536" w:type="dxa"/>
            <w:shd w:val="clear" w:color="auto" w:fill="BD2716"/>
          </w:tcPr>
          <w:p w14:paraId="561CA649" w14:textId="77777777" w:rsidR="001318F9" w:rsidRPr="00D948C1" w:rsidRDefault="001318F9" w:rsidP="006C0086">
            <w:pPr>
              <w:spacing w:line="276" w:lineRule="auto"/>
              <w:jc w:val="both"/>
              <w:rPr>
                <w:b/>
                <w:color w:val="FFFFFF" w:themeColor="background1"/>
                <w:szCs w:val="24"/>
              </w:rPr>
            </w:pPr>
          </w:p>
        </w:tc>
        <w:tc>
          <w:tcPr>
            <w:tcW w:w="1701" w:type="dxa"/>
            <w:shd w:val="clear" w:color="auto" w:fill="BD2716"/>
            <w:vAlign w:val="center"/>
          </w:tcPr>
          <w:p w14:paraId="74D47CC2"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24242E17" w14:textId="16C31C36"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701" w:type="dxa"/>
            <w:shd w:val="clear" w:color="auto" w:fill="BD2716"/>
            <w:vAlign w:val="center"/>
          </w:tcPr>
          <w:p w14:paraId="557232D7" w14:textId="7777777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4DCB666F" w14:textId="19154217" w:rsidR="001318F9" w:rsidRPr="00D948C1" w:rsidRDefault="001318F9"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1318F9" w:rsidRPr="00D948C1" w14:paraId="0FC67912" w14:textId="77777777" w:rsidTr="007641BA">
        <w:tc>
          <w:tcPr>
            <w:tcW w:w="4536" w:type="dxa"/>
            <w:shd w:val="clear" w:color="auto" w:fill="auto"/>
          </w:tcPr>
          <w:p w14:paraId="6620A136" w14:textId="77777777" w:rsidR="001318F9" w:rsidRPr="00D948C1" w:rsidRDefault="001318F9" w:rsidP="006C0086">
            <w:pPr>
              <w:spacing w:line="276" w:lineRule="auto"/>
              <w:rPr>
                <w:szCs w:val="24"/>
              </w:rPr>
            </w:pPr>
            <w:r w:rsidRPr="00D948C1">
              <w:rPr>
                <w:szCs w:val="24"/>
              </w:rPr>
              <w:t xml:space="preserve">Finance Lease Liability </w:t>
            </w:r>
          </w:p>
        </w:tc>
        <w:tc>
          <w:tcPr>
            <w:tcW w:w="1701" w:type="dxa"/>
            <w:shd w:val="clear" w:color="auto" w:fill="auto"/>
            <w:vAlign w:val="center"/>
          </w:tcPr>
          <w:p w14:paraId="0CD593EC" w14:textId="6CCF7A65" w:rsidR="001318F9" w:rsidRPr="00D948C1" w:rsidRDefault="001318F9" w:rsidP="006C0086">
            <w:pPr>
              <w:tabs>
                <w:tab w:val="decimal" w:pos="648"/>
                <w:tab w:val="decimal" w:pos="738"/>
              </w:tabs>
              <w:spacing w:line="276" w:lineRule="auto"/>
              <w:jc w:val="right"/>
              <w:rPr>
                <w:szCs w:val="24"/>
              </w:rPr>
            </w:pPr>
            <w:r w:rsidRPr="00D948C1">
              <w:rPr>
                <w:szCs w:val="24"/>
              </w:rPr>
              <w:t>-</w:t>
            </w:r>
          </w:p>
        </w:tc>
        <w:tc>
          <w:tcPr>
            <w:tcW w:w="1701" w:type="dxa"/>
            <w:shd w:val="clear" w:color="auto" w:fill="auto"/>
            <w:vAlign w:val="center"/>
          </w:tcPr>
          <w:p w14:paraId="196400F3" w14:textId="30B655B7" w:rsidR="001318F9" w:rsidRPr="00D948C1" w:rsidRDefault="001318F9" w:rsidP="006C0086">
            <w:pPr>
              <w:tabs>
                <w:tab w:val="decimal" w:pos="648"/>
                <w:tab w:val="decimal" w:pos="738"/>
              </w:tabs>
              <w:spacing w:line="276" w:lineRule="auto"/>
              <w:jc w:val="right"/>
              <w:rPr>
                <w:szCs w:val="24"/>
              </w:rPr>
            </w:pPr>
            <w:r w:rsidRPr="00D948C1">
              <w:rPr>
                <w:szCs w:val="24"/>
              </w:rPr>
              <w:t>-</w:t>
            </w:r>
          </w:p>
        </w:tc>
      </w:tr>
      <w:tr w:rsidR="001318F9" w:rsidRPr="00D948C1" w14:paraId="5D067F2D" w14:textId="77777777" w:rsidTr="007641BA">
        <w:tc>
          <w:tcPr>
            <w:tcW w:w="4536" w:type="dxa"/>
            <w:shd w:val="clear" w:color="auto" w:fill="auto"/>
          </w:tcPr>
          <w:p w14:paraId="4C1F7158" w14:textId="1446C3AB" w:rsidR="001318F9" w:rsidRPr="00D948C1" w:rsidRDefault="0076078A" w:rsidP="006C0086">
            <w:pPr>
              <w:spacing w:line="276" w:lineRule="auto"/>
              <w:rPr>
                <w:szCs w:val="24"/>
              </w:rPr>
            </w:pPr>
            <w:r>
              <w:rPr>
                <w:szCs w:val="24"/>
              </w:rPr>
              <w:t>Private Finance Initiative</w:t>
            </w:r>
            <w:r w:rsidRPr="00D948C1">
              <w:rPr>
                <w:szCs w:val="24"/>
              </w:rPr>
              <w:t xml:space="preserve"> </w:t>
            </w:r>
            <w:r w:rsidR="001318F9" w:rsidRPr="00D948C1">
              <w:rPr>
                <w:szCs w:val="24"/>
              </w:rPr>
              <w:t xml:space="preserve">Liability (see </w:t>
            </w:r>
            <w:hyperlink w:anchor="N14" w:history="1">
              <w:r w:rsidR="001318F9" w:rsidRPr="00D948C1">
                <w:rPr>
                  <w:rStyle w:val="Hyperlink"/>
                  <w:szCs w:val="24"/>
                </w:rPr>
                <w:t>Note 14</w:t>
              </w:r>
            </w:hyperlink>
            <w:r w:rsidR="001318F9" w:rsidRPr="00D948C1">
              <w:rPr>
                <w:szCs w:val="24"/>
              </w:rPr>
              <w:t>)</w:t>
            </w:r>
          </w:p>
        </w:tc>
        <w:tc>
          <w:tcPr>
            <w:tcW w:w="1701" w:type="dxa"/>
            <w:shd w:val="clear" w:color="auto" w:fill="auto"/>
            <w:vAlign w:val="center"/>
          </w:tcPr>
          <w:p w14:paraId="6D4C1395" w14:textId="29B6488E" w:rsidR="001318F9" w:rsidRPr="00D948C1" w:rsidRDefault="001318F9" w:rsidP="006C0086">
            <w:pPr>
              <w:tabs>
                <w:tab w:val="decimal" w:pos="648"/>
                <w:tab w:val="decimal" w:pos="738"/>
              </w:tabs>
              <w:spacing w:line="276" w:lineRule="auto"/>
              <w:jc w:val="right"/>
              <w:rPr>
                <w:szCs w:val="24"/>
              </w:rPr>
            </w:pPr>
            <w:r w:rsidRPr="00D948C1">
              <w:rPr>
                <w:szCs w:val="24"/>
              </w:rPr>
              <w:t>11,</w:t>
            </w:r>
            <w:r w:rsidR="00915C49" w:rsidRPr="00D948C1">
              <w:rPr>
                <w:szCs w:val="24"/>
              </w:rPr>
              <w:t>339</w:t>
            </w:r>
          </w:p>
        </w:tc>
        <w:tc>
          <w:tcPr>
            <w:tcW w:w="1701" w:type="dxa"/>
            <w:shd w:val="clear" w:color="auto" w:fill="auto"/>
            <w:vAlign w:val="center"/>
          </w:tcPr>
          <w:p w14:paraId="0BFE0DD4" w14:textId="36DDAAEF" w:rsidR="001318F9" w:rsidRPr="00D948C1" w:rsidRDefault="001318F9" w:rsidP="006C0086">
            <w:pPr>
              <w:tabs>
                <w:tab w:val="decimal" w:pos="648"/>
                <w:tab w:val="decimal" w:pos="738"/>
              </w:tabs>
              <w:spacing w:line="276" w:lineRule="auto"/>
              <w:jc w:val="right"/>
              <w:rPr>
                <w:szCs w:val="24"/>
              </w:rPr>
            </w:pPr>
            <w:r w:rsidRPr="00D948C1">
              <w:rPr>
                <w:szCs w:val="24"/>
              </w:rPr>
              <w:t>11,868</w:t>
            </w:r>
          </w:p>
        </w:tc>
      </w:tr>
      <w:tr w:rsidR="001318F9" w:rsidRPr="00D948C1" w14:paraId="52790330" w14:textId="77777777" w:rsidTr="007641BA">
        <w:tc>
          <w:tcPr>
            <w:tcW w:w="4536" w:type="dxa"/>
            <w:shd w:val="clear" w:color="auto" w:fill="auto"/>
          </w:tcPr>
          <w:p w14:paraId="5D49CCCB" w14:textId="34A23E73" w:rsidR="001318F9" w:rsidRPr="00D948C1" w:rsidRDefault="0076078A" w:rsidP="006C0086">
            <w:pPr>
              <w:spacing w:line="276" w:lineRule="auto"/>
              <w:rPr>
                <w:szCs w:val="24"/>
              </w:rPr>
            </w:pPr>
            <w:r>
              <w:rPr>
                <w:szCs w:val="24"/>
              </w:rPr>
              <w:t>Private Finance Initiative</w:t>
            </w:r>
            <w:r w:rsidR="001318F9" w:rsidRPr="00D948C1">
              <w:rPr>
                <w:szCs w:val="24"/>
              </w:rPr>
              <w:t xml:space="preserve"> Contractor Loan (see </w:t>
            </w:r>
            <w:hyperlink w:anchor="N14" w:history="1">
              <w:r w:rsidR="001318F9" w:rsidRPr="00D948C1">
                <w:rPr>
                  <w:rStyle w:val="Hyperlink"/>
                  <w:szCs w:val="24"/>
                </w:rPr>
                <w:t>Note 14</w:t>
              </w:r>
            </w:hyperlink>
            <w:r w:rsidR="001318F9" w:rsidRPr="00D948C1">
              <w:rPr>
                <w:szCs w:val="24"/>
              </w:rPr>
              <w:t>)</w:t>
            </w:r>
          </w:p>
        </w:tc>
        <w:tc>
          <w:tcPr>
            <w:tcW w:w="1701" w:type="dxa"/>
            <w:shd w:val="clear" w:color="auto" w:fill="auto"/>
            <w:vAlign w:val="center"/>
          </w:tcPr>
          <w:p w14:paraId="734273B7" w14:textId="2373B9E7" w:rsidR="001318F9" w:rsidRPr="00D948C1" w:rsidRDefault="001318F9" w:rsidP="006C0086">
            <w:pPr>
              <w:tabs>
                <w:tab w:val="decimal" w:pos="648"/>
                <w:tab w:val="decimal" w:pos="738"/>
              </w:tabs>
              <w:spacing w:line="276" w:lineRule="auto"/>
              <w:jc w:val="right"/>
              <w:rPr>
                <w:szCs w:val="24"/>
              </w:rPr>
            </w:pPr>
            <w:r w:rsidRPr="00D948C1">
              <w:rPr>
                <w:szCs w:val="24"/>
              </w:rPr>
              <w:t>4</w:t>
            </w:r>
            <w:r w:rsidR="003D1C1C" w:rsidRPr="00D948C1">
              <w:rPr>
                <w:szCs w:val="24"/>
              </w:rPr>
              <w:t>0</w:t>
            </w:r>
          </w:p>
        </w:tc>
        <w:tc>
          <w:tcPr>
            <w:tcW w:w="1701" w:type="dxa"/>
            <w:shd w:val="clear" w:color="auto" w:fill="auto"/>
            <w:vAlign w:val="center"/>
          </w:tcPr>
          <w:p w14:paraId="42A10F81" w14:textId="417AB706" w:rsidR="001318F9" w:rsidRPr="00D948C1" w:rsidRDefault="001318F9" w:rsidP="006C0086">
            <w:pPr>
              <w:tabs>
                <w:tab w:val="decimal" w:pos="648"/>
                <w:tab w:val="decimal" w:pos="738"/>
              </w:tabs>
              <w:spacing w:line="276" w:lineRule="auto"/>
              <w:jc w:val="right"/>
              <w:rPr>
                <w:szCs w:val="24"/>
              </w:rPr>
            </w:pPr>
            <w:r w:rsidRPr="00D948C1">
              <w:rPr>
                <w:szCs w:val="24"/>
              </w:rPr>
              <w:t>45</w:t>
            </w:r>
          </w:p>
        </w:tc>
      </w:tr>
      <w:tr w:rsidR="001318F9" w:rsidRPr="00D948C1" w14:paraId="71241545" w14:textId="77777777" w:rsidTr="007641BA">
        <w:tc>
          <w:tcPr>
            <w:tcW w:w="4536" w:type="dxa"/>
            <w:shd w:val="clear" w:color="auto" w:fill="auto"/>
          </w:tcPr>
          <w:p w14:paraId="077C249A" w14:textId="7661E3A7" w:rsidR="001318F9" w:rsidRPr="00D948C1" w:rsidRDefault="001318F9" w:rsidP="006C0086">
            <w:pPr>
              <w:spacing w:line="276" w:lineRule="auto"/>
              <w:rPr>
                <w:szCs w:val="24"/>
              </w:rPr>
            </w:pPr>
            <w:r w:rsidRPr="00D948C1">
              <w:rPr>
                <w:szCs w:val="24"/>
              </w:rPr>
              <w:t xml:space="preserve">Pension Liability (see </w:t>
            </w:r>
            <w:hyperlink w:anchor="N15" w:history="1">
              <w:r w:rsidRPr="00D948C1">
                <w:rPr>
                  <w:rStyle w:val="Hyperlink"/>
                  <w:szCs w:val="24"/>
                </w:rPr>
                <w:t>Note 15</w:t>
              </w:r>
            </w:hyperlink>
            <w:r w:rsidRPr="00D948C1">
              <w:rPr>
                <w:szCs w:val="24"/>
              </w:rPr>
              <w:t>)</w:t>
            </w:r>
          </w:p>
        </w:tc>
        <w:tc>
          <w:tcPr>
            <w:tcW w:w="1701" w:type="dxa"/>
            <w:shd w:val="clear" w:color="auto" w:fill="auto"/>
            <w:vAlign w:val="center"/>
          </w:tcPr>
          <w:p w14:paraId="4094EB75" w14:textId="51219EF1" w:rsidR="001318F9" w:rsidRPr="00D948C1" w:rsidRDefault="001318F9" w:rsidP="006C0086">
            <w:pPr>
              <w:tabs>
                <w:tab w:val="decimal" w:pos="648"/>
                <w:tab w:val="decimal" w:pos="738"/>
              </w:tabs>
              <w:spacing w:line="276" w:lineRule="auto"/>
              <w:jc w:val="right"/>
              <w:rPr>
                <w:szCs w:val="24"/>
              </w:rPr>
            </w:pPr>
            <w:r w:rsidRPr="00D948C1">
              <w:rPr>
                <w:szCs w:val="24"/>
              </w:rPr>
              <w:t>651,</w:t>
            </w:r>
            <w:r w:rsidR="009273C4" w:rsidRPr="00D948C1">
              <w:rPr>
                <w:szCs w:val="24"/>
              </w:rPr>
              <w:t>920</w:t>
            </w:r>
          </w:p>
        </w:tc>
        <w:tc>
          <w:tcPr>
            <w:tcW w:w="1701" w:type="dxa"/>
            <w:shd w:val="clear" w:color="auto" w:fill="auto"/>
            <w:vAlign w:val="center"/>
          </w:tcPr>
          <w:p w14:paraId="25B8ADA0" w14:textId="0243A00C" w:rsidR="001318F9" w:rsidRPr="00D948C1" w:rsidRDefault="001318F9" w:rsidP="006C0086">
            <w:pPr>
              <w:tabs>
                <w:tab w:val="decimal" w:pos="648"/>
                <w:tab w:val="decimal" w:pos="738"/>
              </w:tabs>
              <w:spacing w:line="276" w:lineRule="auto"/>
              <w:jc w:val="right"/>
              <w:rPr>
                <w:szCs w:val="24"/>
              </w:rPr>
            </w:pPr>
            <w:r w:rsidRPr="00D948C1">
              <w:rPr>
                <w:szCs w:val="24"/>
              </w:rPr>
              <w:t>651,536</w:t>
            </w:r>
          </w:p>
        </w:tc>
      </w:tr>
      <w:tr w:rsidR="001318F9" w:rsidRPr="00D948C1" w14:paraId="3BA5AAA1" w14:textId="77777777" w:rsidTr="007641BA">
        <w:tc>
          <w:tcPr>
            <w:tcW w:w="4536" w:type="dxa"/>
            <w:shd w:val="clear" w:color="auto" w:fill="auto"/>
          </w:tcPr>
          <w:p w14:paraId="1050F01B" w14:textId="781EEDD0" w:rsidR="001318F9" w:rsidRPr="00D948C1" w:rsidRDefault="001318F9" w:rsidP="006C0086">
            <w:pPr>
              <w:spacing w:line="276" w:lineRule="auto"/>
              <w:rPr>
                <w:szCs w:val="24"/>
              </w:rPr>
            </w:pPr>
            <w:r w:rsidRPr="00D948C1">
              <w:rPr>
                <w:szCs w:val="24"/>
              </w:rPr>
              <w:t>Total</w:t>
            </w:r>
          </w:p>
        </w:tc>
        <w:tc>
          <w:tcPr>
            <w:tcW w:w="1701" w:type="dxa"/>
            <w:shd w:val="clear" w:color="auto" w:fill="auto"/>
            <w:vAlign w:val="center"/>
          </w:tcPr>
          <w:p w14:paraId="0C17EEFD" w14:textId="29CF9CC9" w:rsidR="001318F9" w:rsidRPr="00D948C1" w:rsidRDefault="001318F9" w:rsidP="006C0086">
            <w:pPr>
              <w:tabs>
                <w:tab w:val="decimal" w:pos="648"/>
                <w:tab w:val="decimal" w:pos="738"/>
              </w:tabs>
              <w:spacing w:line="276" w:lineRule="auto"/>
              <w:jc w:val="right"/>
              <w:rPr>
                <w:szCs w:val="24"/>
              </w:rPr>
            </w:pPr>
            <w:r w:rsidRPr="00D948C1">
              <w:rPr>
                <w:szCs w:val="24"/>
              </w:rPr>
              <w:t>663,</w:t>
            </w:r>
            <w:r w:rsidR="00A01AD1" w:rsidRPr="00D948C1">
              <w:rPr>
                <w:szCs w:val="24"/>
              </w:rPr>
              <w:t>2</w:t>
            </w:r>
            <w:r w:rsidR="009273C4" w:rsidRPr="00D948C1">
              <w:rPr>
                <w:szCs w:val="24"/>
              </w:rPr>
              <w:t>99</w:t>
            </w:r>
          </w:p>
        </w:tc>
        <w:tc>
          <w:tcPr>
            <w:tcW w:w="1701" w:type="dxa"/>
            <w:shd w:val="clear" w:color="auto" w:fill="auto"/>
            <w:vAlign w:val="center"/>
          </w:tcPr>
          <w:p w14:paraId="755B8B65" w14:textId="2BA8D93A" w:rsidR="001318F9" w:rsidRPr="00D948C1" w:rsidRDefault="001318F9" w:rsidP="006C0086">
            <w:pPr>
              <w:tabs>
                <w:tab w:val="decimal" w:pos="648"/>
                <w:tab w:val="decimal" w:pos="738"/>
              </w:tabs>
              <w:spacing w:line="276" w:lineRule="auto"/>
              <w:jc w:val="right"/>
              <w:rPr>
                <w:szCs w:val="24"/>
              </w:rPr>
            </w:pPr>
            <w:r w:rsidRPr="00D948C1">
              <w:rPr>
                <w:szCs w:val="24"/>
              </w:rPr>
              <w:t>663,449</w:t>
            </w:r>
          </w:p>
        </w:tc>
      </w:tr>
    </w:tbl>
    <w:p w14:paraId="5D8FAF37" w14:textId="77777777" w:rsidR="001F1736" w:rsidRPr="00D948C1" w:rsidRDefault="001F1736" w:rsidP="006C0086">
      <w:pPr>
        <w:spacing w:line="276" w:lineRule="auto"/>
        <w:rPr>
          <w:b/>
          <w:sz w:val="22"/>
        </w:rPr>
      </w:pPr>
    </w:p>
    <w:p w14:paraId="6C41AAD1" w14:textId="3CEB4F03" w:rsidR="00D90216" w:rsidRPr="00D948C1" w:rsidRDefault="001C592E" w:rsidP="006C0086">
      <w:pPr>
        <w:pStyle w:val="Heading2"/>
        <w:spacing w:line="276" w:lineRule="auto"/>
        <w:jc w:val="left"/>
        <w:rPr>
          <w:sz w:val="24"/>
          <w:szCs w:val="24"/>
        </w:rPr>
      </w:pPr>
      <w:bookmarkStart w:id="50" w:name="_Toc171068798"/>
      <w:r w:rsidRPr="00D948C1">
        <w:rPr>
          <w:sz w:val="24"/>
          <w:szCs w:val="24"/>
        </w:rPr>
        <w:t>1</w:t>
      </w:r>
      <w:r w:rsidR="007C6DCB" w:rsidRPr="00D948C1">
        <w:rPr>
          <w:sz w:val="24"/>
          <w:szCs w:val="24"/>
        </w:rPr>
        <w:t>4</w:t>
      </w:r>
      <w:r w:rsidR="000D7D67" w:rsidRPr="00D948C1">
        <w:rPr>
          <w:sz w:val="24"/>
          <w:szCs w:val="24"/>
        </w:rPr>
        <w:tab/>
      </w:r>
      <w:bookmarkStart w:id="51" w:name="N14"/>
      <w:bookmarkEnd w:id="51"/>
      <w:r w:rsidR="000C0FF2">
        <w:rPr>
          <w:szCs w:val="24"/>
        </w:rPr>
        <w:t>Private Finance Initiative</w:t>
      </w:r>
      <w:r w:rsidR="000C0FF2" w:rsidRPr="00D948C1">
        <w:rPr>
          <w:szCs w:val="24"/>
        </w:rPr>
        <w:t xml:space="preserve"> </w:t>
      </w:r>
      <w:r w:rsidR="00D90216" w:rsidRPr="00D948C1">
        <w:rPr>
          <w:sz w:val="24"/>
          <w:szCs w:val="24"/>
        </w:rPr>
        <w:t>Scheme</w:t>
      </w:r>
      <w:r w:rsidR="00217242" w:rsidRPr="00D948C1">
        <w:rPr>
          <w:sz w:val="24"/>
          <w:szCs w:val="24"/>
        </w:rPr>
        <w:t>s</w:t>
      </w:r>
      <w:bookmarkEnd w:id="50"/>
    </w:p>
    <w:p w14:paraId="2E430BF6" w14:textId="77777777" w:rsidR="00D90216" w:rsidRPr="00D948C1" w:rsidRDefault="00D90216" w:rsidP="006C0086">
      <w:pPr>
        <w:spacing w:line="276" w:lineRule="auto"/>
        <w:rPr>
          <w:b/>
          <w:szCs w:val="24"/>
        </w:rPr>
      </w:pPr>
    </w:p>
    <w:p w14:paraId="5D2EB5E8" w14:textId="22C2B748" w:rsidR="001E0613" w:rsidRPr="00D948C1" w:rsidRDefault="001E0613" w:rsidP="006C0086">
      <w:pPr>
        <w:spacing w:line="276" w:lineRule="auto"/>
        <w:ind w:left="720"/>
        <w:rPr>
          <w:szCs w:val="24"/>
        </w:rPr>
      </w:pPr>
      <w:r w:rsidRPr="00D948C1">
        <w:rPr>
          <w:szCs w:val="24"/>
        </w:rPr>
        <w:t xml:space="preserve">The Authority operates two </w:t>
      </w:r>
      <w:r w:rsidR="0076078A">
        <w:rPr>
          <w:szCs w:val="24"/>
        </w:rPr>
        <w:t>private finance initiative</w:t>
      </w:r>
      <w:r w:rsidRPr="00D948C1">
        <w:rPr>
          <w:szCs w:val="24"/>
        </w:rPr>
        <w:t xml:space="preserve"> schemes with separate Private Sector Partners (PSP), details of which are as follows:</w:t>
      </w:r>
    </w:p>
    <w:p w14:paraId="64056171" w14:textId="77777777" w:rsidR="001E0613" w:rsidRPr="00D948C1" w:rsidRDefault="001E0613" w:rsidP="006C0086">
      <w:pPr>
        <w:spacing w:line="276" w:lineRule="auto"/>
        <w:ind w:left="720"/>
        <w:rPr>
          <w:szCs w:val="24"/>
        </w:rPr>
      </w:pPr>
    </w:p>
    <w:p w14:paraId="3D7815ED" w14:textId="77777777" w:rsidR="001E0613" w:rsidRPr="00D948C1" w:rsidRDefault="001E0613" w:rsidP="006C0086">
      <w:pPr>
        <w:spacing w:line="276" w:lineRule="auto"/>
        <w:ind w:left="720"/>
        <w:rPr>
          <w:szCs w:val="24"/>
        </w:rPr>
      </w:pPr>
      <w:r w:rsidRPr="00D948C1">
        <w:rPr>
          <w:szCs w:val="24"/>
        </w:rPr>
        <w:t>PFF Lancashire L</w:t>
      </w:r>
      <w:r w:rsidR="009E2E4B" w:rsidRPr="00D948C1">
        <w:rPr>
          <w:szCs w:val="24"/>
        </w:rPr>
        <w:t>imi</w:t>
      </w:r>
      <w:r w:rsidRPr="00D948C1">
        <w:rPr>
          <w:szCs w:val="24"/>
        </w:rPr>
        <w:t>t</w:t>
      </w:r>
      <w:r w:rsidR="009E2E4B" w:rsidRPr="00D948C1">
        <w:rPr>
          <w:szCs w:val="24"/>
        </w:rPr>
        <w:t>e</w:t>
      </w:r>
      <w:r w:rsidRPr="00D948C1">
        <w:rPr>
          <w:szCs w:val="24"/>
        </w:rPr>
        <w:t>d</w:t>
      </w:r>
    </w:p>
    <w:p w14:paraId="42EDF1D3" w14:textId="77777777" w:rsidR="001E0613" w:rsidRPr="00D948C1" w:rsidRDefault="001E0613" w:rsidP="006C0086">
      <w:pPr>
        <w:spacing w:line="276" w:lineRule="auto"/>
        <w:ind w:left="720"/>
        <w:rPr>
          <w:szCs w:val="24"/>
        </w:rPr>
      </w:pPr>
    </w:p>
    <w:p w14:paraId="3D63057E" w14:textId="77777777" w:rsidR="00D90216" w:rsidRPr="00D948C1" w:rsidRDefault="00D90216" w:rsidP="006C0086">
      <w:pPr>
        <w:spacing w:line="276" w:lineRule="auto"/>
        <w:ind w:left="720"/>
        <w:rPr>
          <w:szCs w:val="24"/>
        </w:rPr>
      </w:pPr>
      <w:r w:rsidRPr="00D948C1">
        <w:rPr>
          <w:szCs w:val="24"/>
        </w:rPr>
        <w:lastRenderedPageBreak/>
        <w:t xml:space="preserve">The Authority signed a contract in May 2002 with a Private Sector Partner (PSP), a consortium known as PFF Lancashire Limited, under the Government's Private Finance Initiative, for two fire stations at Morecambe and Hyndburn. </w:t>
      </w:r>
    </w:p>
    <w:p w14:paraId="1AD68473" w14:textId="77777777" w:rsidR="00D90216" w:rsidRPr="00D948C1" w:rsidRDefault="00D90216" w:rsidP="006C0086">
      <w:pPr>
        <w:spacing w:line="276" w:lineRule="auto"/>
        <w:ind w:left="720"/>
        <w:rPr>
          <w:szCs w:val="24"/>
        </w:rPr>
      </w:pPr>
    </w:p>
    <w:p w14:paraId="32A3E2CE" w14:textId="16AD2B99" w:rsidR="00D90216" w:rsidRPr="00D948C1" w:rsidRDefault="00D90216" w:rsidP="006C0086">
      <w:pPr>
        <w:spacing w:line="276" w:lineRule="auto"/>
        <w:ind w:left="720"/>
        <w:rPr>
          <w:szCs w:val="24"/>
        </w:rPr>
      </w:pPr>
      <w:r w:rsidRPr="00D948C1">
        <w:rPr>
          <w:szCs w:val="24"/>
        </w:rPr>
        <w:t xml:space="preserve">Under the contract the Authority pays an annual unitary charge to </w:t>
      </w:r>
      <w:r w:rsidR="00217242" w:rsidRPr="00D948C1">
        <w:rPr>
          <w:szCs w:val="24"/>
        </w:rPr>
        <w:t>PFF Lancashire</w:t>
      </w:r>
      <w:r w:rsidRPr="00D948C1">
        <w:rPr>
          <w:szCs w:val="24"/>
        </w:rPr>
        <w:t xml:space="preserve"> </w:t>
      </w:r>
      <w:r w:rsidR="009E2E4B" w:rsidRPr="00D948C1">
        <w:rPr>
          <w:szCs w:val="24"/>
        </w:rPr>
        <w:t xml:space="preserve">Limited </w:t>
      </w:r>
      <w:r w:rsidRPr="00D948C1">
        <w:rPr>
          <w:szCs w:val="24"/>
        </w:rPr>
        <w:t>for service</w:t>
      </w:r>
      <w:r w:rsidR="00217242" w:rsidRPr="00D948C1">
        <w:rPr>
          <w:szCs w:val="24"/>
        </w:rPr>
        <w:t>d</w:t>
      </w:r>
      <w:r w:rsidRPr="00D948C1">
        <w:rPr>
          <w:szCs w:val="24"/>
        </w:rPr>
        <w:t xml:space="preserve"> accommodation over the life of the 30-year contract, commencing in 2003/04.</w:t>
      </w:r>
      <w:r w:rsidR="000F28B4" w:rsidRPr="00D948C1">
        <w:rPr>
          <w:szCs w:val="24"/>
        </w:rPr>
        <w:t xml:space="preserve"> </w:t>
      </w:r>
      <w:r w:rsidRPr="00D948C1">
        <w:rPr>
          <w:szCs w:val="24"/>
        </w:rPr>
        <w:t>The buildings and any plant installed in them at the end of the contract will be transferred to the Authority for nil consideration.</w:t>
      </w:r>
      <w:r w:rsidR="00607136" w:rsidRPr="00D948C1">
        <w:rPr>
          <w:szCs w:val="24"/>
        </w:rPr>
        <w:t xml:space="preserve"> </w:t>
      </w:r>
      <w:r w:rsidRPr="00D948C1">
        <w:rPr>
          <w:szCs w:val="24"/>
        </w:rPr>
        <w:t>The estimated capital value of the scheme at the point of financial close was £3.500m.</w:t>
      </w:r>
    </w:p>
    <w:p w14:paraId="5440C70F" w14:textId="77777777" w:rsidR="00D90216" w:rsidRPr="00D948C1" w:rsidRDefault="00D90216" w:rsidP="006C0086">
      <w:pPr>
        <w:spacing w:line="276" w:lineRule="auto"/>
        <w:ind w:left="720"/>
        <w:rPr>
          <w:szCs w:val="24"/>
        </w:rPr>
      </w:pPr>
    </w:p>
    <w:p w14:paraId="54217C90" w14:textId="566783A9" w:rsidR="00A50E0F" w:rsidRPr="00D948C1" w:rsidRDefault="00A50E0F" w:rsidP="006C0086">
      <w:pPr>
        <w:spacing w:line="276" w:lineRule="auto"/>
        <w:ind w:left="720"/>
        <w:rPr>
          <w:szCs w:val="24"/>
        </w:rPr>
      </w:pPr>
      <w:r w:rsidRPr="00D948C1">
        <w:rPr>
          <w:szCs w:val="24"/>
        </w:rPr>
        <w:t>Under the contract PFF Lancashire L</w:t>
      </w:r>
      <w:r w:rsidR="009E2E4B" w:rsidRPr="00D948C1">
        <w:rPr>
          <w:szCs w:val="24"/>
        </w:rPr>
        <w:t>imi</w:t>
      </w:r>
      <w:r w:rsidRPr="00D948C1">
        <w:rPr>
          <w:szCs w:val="24"/>
        </w:rPr>
        <w:t>t</w:t>
      </w:r>
      <w:r w:rsidR="009E2E4B" w:rsidRPr="00D948C1">
        <w:rPr>
          <w:szCs w:val="24"/>
        </w:rPr>
        <w:t>e</w:t>
      </w:r>
      <w:r w:rsidRPr="00D948C1">
        <w:rPr>
          <w:szCs w:val="24"/>
        </w:rPr>
        <w:t xml:space="preserve">d </w:t>
      </w:r>
      <w:r w:rsidR="005436A9" w:rsidRPr="00D948C1">
        <w:rPr>
          <w:szCs w:val="24"/>
        </w:rPr>
        <w:t>contributed</w:t>
      </w:r>
      <w:r w:rsidRPr="00D948C1">
        <w:rPr>
          <w:szCs w:val="24"/>
        </w:rPr>
        <w:t xml:space="preserve"> £0.150m towards the development costs, which is repaid through the annual unitary charge on the life of the 30-year contract commencing in 2005/06.</w:t>
      </w:r>
      <w:r w:rsidR="00607136" w:rsidRPr="00D948C1">
        <w:rPr>
          <w:szCs w:val="24"/>
        </w:rPr>
        <w:t xml:space="preserve"> </w:t>
      </w:r>
      <w:r w:rsidRPr="00D948C1">
        <w:rPr>
          <w:szCs w:val="24"/>
        </w:rPr>
        <w:t>In accordance with recommended accounting practice, the reimbursement has been classed as a loan and the liability reflected as such in the Authori</w:t>
      </w:r>
      <w:r w:rsidR="00251BB2" w:rsidRPr="00D948C1">
        <w:rPr>
          <w:szCs w:val="24"/>
        </w:rPr>
        <w:t xml:space="preserve">ty’s accounts. </w:t>
      </w:r>
      <w:proofErr w:type="gramStart"/>
      <w:r w:rsidR="00251BB2" w:rsidRPr="00D948C1">
        <w:rPr>
          <w:szCs w:val="24"/>
        </w:rPr>
        <w:t>At</w:t>
      </w:r>
      <w:proofErr w:type="gramEnd"/>
      <w:r w:rsidR="00251BB2" w:rsidRPr="00D948C1">
        <w:rPr>
          <w:szCs w:val="24"/>
        </w:rPr>
        <w:t xml:space="preserve"> 31 March 202</w:t>
      </w:r>
      <w:r w:rsidR="001318F9" w:rsidRPr="00D948C1">
        <w:rPr>
          <w:szCs w:val="24"/>
        </w:rPr>
        <w:t>4</w:t>
      </w:r>
      <w:r w:rsidRPr="00D948C1">
        <w:rPr>
          <w:szCs w:val="24"/>
        </w:rPr>
        <w:t xml:space="preserve"> the </w:t>
      </w:r>
      <w:r w:rsidR="000756D9" w:rsidRPr="00D948C1">
        <w:rPr>
          <w:szCs w:val="24"/>
        </w:rPr>
        <w:t xml:space="preserve">total </w:t>
      </w:r>
      <w:r w:rsidRPr="00D948C1">
        <w:rPr>
          <w:szCs w:val="24"/>
        </w:rPr>
        <w:t>outstanding loan was £0.</w:t>
      </w:r>
      <w:r w:rsidR="00EE1D91" w:rsidRPr="00D948C1">
        <w:rPr>
          <w:szCs w:val="24"/>
        </w:rPr>
        <w:t>0</w:t>
      </w:r>
      <w:r w:rsidR="00DC5E1C" w:rsidRPr="00D948C1">
        <w:rPr>
          <w:szCs w:val="24"/>
        </w:rPr>
        <w:t>4</w:t>
      </w:r>
      <w:r w:rsidR="003D1C1C" w:rsidRPr="00D948C1">
        <w:rPr>
          <w:szCs w:val="24"/>
        </w:rPr>
        <w:t>5</w:t>
      </w:r>
      <w:r w:rsidRPr="00D948C1">
        <w:rPr>
          <w:szCs w:val="24"/>
        </w:rPr>
        <w:t>m (20</w:t>
      </w:r>
      <w:r w:rsidR="006B2155" w:rsidRPr="00D948C1">
        <w:rPr>
          <w:szCs w:val="24"/>
        </w:rPr>
        <w:t>2</w:t>
      </w:r>
      <w:r w:rsidR="001318F9" w:rsidRPr="00D948C1">
        <w:rPr>
          <w:szCs w:val="24"/>
        </w:rPr>
        <w:t>2</w:t>
      </w:r>
      <w:r w:rsidR="006B2155" w:rsidRPr="00D948C1">
        <w:rPr>
          <w:szCs w:val="24"/>
        </w:rPr>
        <w:t>/2</w:t>
      </w:r>
      <w:r w:rsidR="001318F9" w:rsidRPr="00D948C1">
        <w:rPr>
          <w:szCs w:val="24"/>
        </w:rPr>
        <w:t>3</w:t>
      </w:r>
      <w:r w:rsidRPr="00D948C1">
        <w:rPr>
          <w:szCs w:val="24"/>
        </w:rPr>
        <w:t>: £0.</w:t>
      </w:r>
      <w:r w:rsidR="005B2EBF" w:rsidRPr="00D948C1">
        <w:rPr>
          <w:szCs w:val="24"/>
        </w:rPr>
        <w:t>0</w:t>
      </w:r>
      <w:r w:rsidR="006138F7" w:rsidRPr="00D948C1">
        <w:rPr>
          <w:szCs w:val="24"/>
        </w:rPr>
        <w:t>5</w:t>
      </w:r>
      <w:r w:rsidR="001318F9" w:rsidRPr="00D948C1">
        <w:rPr>
          <w:szCs w:val="24"/>
        </w:rPr>
        <w:t>0</w:t>
      </w:r>
      <w:r w:rsidRPr="00D948C1">
        <w:rPr>
          <w:szCs w:val="24"/>
        </w:rPr>
        <w:t>m).</w:t>
      </w:r>
    </w:p>
    <w:p w14:paraId="23B492A8" w14:textId="77777777" w:rsidR="00A50E0F" w:rsidRPr="00D948C1" w:rsidRDefault="00A50E0F" w:rsidP="006C0086">
      <w:pPr>
        <w:spacing w:line="276" w:lineRule="auto"/>
        <w:ind w:left="720"/>
        <w:rPr>
          <w:szCs w:val="24"/>
        </w:rPr>
      </w:pPr>
    </w:p>
    <w:p w14:paraId="616AF18C" w14:textId="700CC162" w:rsidR="001E0613" w:rsidRPr="00D948C1" w:rsidRDefault="003230DB" w:rsidP="006C0086">
      <w:pPr>
        <w:spacing w:line="276" w:lineRule="auto"/>
        <w:ind w:left="720"/>
        <w:rPr>
          <w:szCs w:val="24"/>
        </w:rPr>
      </w:pPr>
      <w:r w:rsidRPr="00D948C1">
        <w:rPr>
          <w:szCs w:val="24"/>
        </w:rPr>
        <w:t>F</w:t>
      </w:r>
      <w:r w:rsidR="001E0613" w:rsidRPr="00D948C1">
        <w:rPr>
          <w:szCs w:val="24"/>
        </w:rPr>
        <w:t>ire and Rescue NW L</w:t>
      </w:r>
      <w:r w:rsidR="002B520D" w:rsidRPr="00D948C1">
        <w:rPr>
          <w:szCs w:val="24"/>
        </w:rPr>
        <w:t>imi</w:t>
      </w:r>
      <w:r w:rsidR="001E0613" w:rsidRPr="00D948C1">
        <w:rPr>
          <w:szCs w:val="24"/>
        </w:rPr>
        <w:t>t</w:t>
      </w:r>
      <w:r w:rsidR="002B520D" w:rsidRPr="00D948C1">
        <w:rPr>
          <w:szCs w:val="24"/>
        </w:rPr>
        <w:t>e</w:t>
      </w:r>
      <w:r w:rsidR="001E0613" w:rsidRPr="00D948C1">
        <w:rPr>
          <w:szCs w:val="24"/>
        </w:rPr>
        <w:t>d</w:t>
      </w:r>
    </w:p>
    <w:p w14:paraId="5EC182BD" w14:textId="77777777" w:rsidR="001E0613" w:rsidRPr="00D948C1" w:rsidRDefault="001E0613" w:rsidP="006C0086">
      <w:pPr>
        <w:spacing w:line="276" w:lineRule="auto"/>
        <w:ind w:left="720"/>
        <w:rPr>
          <w:szCs w:val="24"/>
        </w:rPr>
      </w:pPr>
    </w:p>
    <w:p w14:paraId="40C188AB" w14:textId="505D6C5C" w:rsidR="00217242" w:rsidRPr="00D948C1" w:rsidRDefault="00217242" w:rsidP="006C0086">
      <w:pPr>
        <w:spacing w:line="276" w:lineRule="auto"/>
        <w:ind w:left="720"/>
        <w:rPr>
          <w:szCs w:val="24"/>
        </w:rPr>
      </w:pPr>
      <w:r w:rsidRPr="00D948C1">
        <w:rPr>
          <w:szCs w:val="24"/>
        </w:rPr>
        <w:t>The Authority is also involved in a second</w:t>
      </w:r>
      <w:r w:rsidR="0076078A">
        <w:rPr>
          <w:szCs w:val="24"/>
        </w:rPr>
        <w:t xml:space="preserve"> private finance initiative</w:t>
      </w:r>
      <w:r w:rsidR="0076078A" w:rsidRPr="00D948C1">
        <w:rPr>
          <w:szCs w:val="24"/>
        </w:rPr>
        <w:t xml:space="preserve"> </w:t>
      </w:r>
      <w:r w:rsidRPr="00D948C1">
        <w:rPr>
          <w:szCs w:val="24"/>
        </w:rPr>
        <w:t>project, with Merseyside Fire and Rescue Authority and Cumbria County Council to deliver 16 new fire stations, 4 of which will be in Lancashire. Contracts were signed with Balfour Beatty Fire and Rescue NW L</w:t>
      </w:r>
      <w:r w:rsidR="002B520D" w:rsidRPr="00D948C1">
        <w:rPr>
          <w:szCs w:val="24"/>
        </w:rPr>
        <w:t>imi</w:t>
      </w:r>
      <w:r w:rsidRPr="00D948C1">
        <w:rPr>
          <w:szCs w:val="24"/>
        </w:rPr>
        <w:t>t</w:t>
      </w:r>
      <w:r w:rsidR="002B520D" w:rsidRPr="00D948C1">
        <w:rPr>
          <w:szCs w:val="24"/>
        </w:rPr>
        <w:t>e</w:t>
      </w:r>
      <w:r w:rsidRPr="00D948C1">
        <w:rPr>
          <w:szCs w:val="24"/>
        </w:rPr>
        <w:t>d in February 2011, with phased construction beginning in 2011/12 and completing in 2013/14.</w:t>
      </w:r>
    </w:p>
    <w:p w14:paraId="7ED66E80" w14:textId="035A2D9F" w:rsidR="006B2155" w:rsidRPr="00D948C1" w:rsidRDefault="006B2155" w:rsidP="006C0086">
      <w:pPr>
        <w:spacing w:line="276" w:lineRule="auto"/>
        <w:ind w:left="720"/>
        <w:rPr>
          <w:szCs w:val="24"/>
        </w:rPr>
      </w:pPr>
    </w:p>
    <w:p w14:paraId="3594EFD3" w14:textId="1CFF4D64" w:rsidR="006B2155" w:rsidRPr="00D948C1" w:rsidRDefault="006B2155" w:rsidP="006C0086">
      <w:pPr>
        <w:spacing w:line="276" w:lineRule="auto"/>
        <w:ind w:left="720"/>
        <w:rPr>
          <w:szCs w:val="24"/>
        </w:rPr>
      </w:pPr>
      <w:r w:rsidRPr="00D948C1">
        <w:rPr>
          <w:szCs w:val="24"/>
        </w:rPr>
        <w:t xml:space="preserve">Balfour Beatty sold its’ interest in the </w:t>
      </w:r>
      <w:r w:rsidR="0076078A">
        <w:rPr>
          <w:szCs w:val="24"/>
        </w:rPr>
        <w:t>private finance initiative</w:t>
      </w:r>
      <w:r w:rsidR="0076078A" w:rsidRPr="00D948C1">
        <w:rPr>
          <w:szCs w:val="24"/>
        </w:rPr>
        <w:t xml:space="preserve"> </w:t>
      </w:r>
      <w:r w:rsidRPr="00D948C1">
        <w:rPr>
          <w:szCs w:val="24"/>
        </w:rPr>
        <w:t xml:space="preserve">scheme </w:t>
      </w:r>
      <w:r w:rsidR="005A0490" w:rsidRPr="00D948C1">
        <w:rPr>
          <w:szCs w:val="24"/>
        </w:rPr>
        <w:t xml:space="preserve">in July 2021 </w:t>
      </w:r>
      <w:r w:rsidRPr="00D948C1">
        <w:rPr>
          <w:szCs w:val="24"/>
        </w:rPr>
        <w:t xml:space="preserve">to BBGI, a company who already operates several </w:t>
      </w:r>
      <w:r w:rsidR="0076078A">
        <w:rPr>
          <w:szCs w:val="24"/>
        </w:rPr>
        <w:t>private finance initiative</w:t>
      </w:r>
      <w:r w:rsidRPr="00D948C1">
        <w:rPr>
          <w:szCs w:val="24"/>
        </w:rPr>
        <w:t xml:space="preserve"> schemes in the UK including within the emergency services sector. BBGI undertook a </w:t>
      </w:r>
      <w:r w:rsidR="00CF111B" w:rsidRPr="00D948C1">
        <w:rPr>
          <w:szCs w:val="24"/>
        </w:rPr>
        <w:t>refinancing</w:t>
      </w:r>
      <w:r w:rsidRPr="00D948C1">
        <w:rPr>
          <w:szCs w:val="24"/>
        </w:rPr>
        <w:t xml:space="preserve"> deal </w:t>
      </w:r>
      <w:r w:rsidR="000B73C5" w:rsidRPr="00D948C1">
        <w:rPr>
          <w:szCs w:val="24"/>
        </w:rPr>
        <w:t>in December 2021</w:t>
      </w:r>
      <w:r w:rsidR="005A0490" w:rsidRPr="00D948C1">
        <w:rPr>
          <w:szCs w:val="24"/>
        </w:rPr>
        <w:t>, resulting in a one-off saving of £0.9m for the three authorities, of which Lancashire’s share was £0.2m</w:t>
      </w:r>
      <w:r w:rsidR="000B73C5" w:rsidRPr="00D948C1">
        <w:rPr>
          <w:szCs w:val="24"/>
        </w:rPr>
        <w:t>.</w:t>
      </w:r>
    </w:p>
    <w:p w14:paraId="5BA4D333" w14:textId="77777777" w:rsidR="00217242" w:rsidRPr="00D948C1" w:rsidRDefault="00217242" w:rsidP="006C0086">
      <w:pPr>
        <w:spacing w:line="276" w:lineRule="auto"/>
        <w:ind w:left="720"/>
        <w:rPr>
          <w:szCs w:val="24"/>
        </w:rPr>
      </w:pPr>
    </w:p>
    <w:p w14:paraId="3EBBA344" w14:textId="59BDA1A9" w:rsidR="00495739" w:rsidRDefault="00217242" w:rsidP="006C0086">
      <w:pPr>
        <w:spacing w:line="276" w:lineRule="auto"/>
        <w:ind w:left="720"/>
        <w:rPr>
          <w:szCs w:val="24"/>
        </w:rPr>
      </w:pPr>
      <w:r w:rsidRPr="00D948C1">
        <w:rPr>
          <w:szCs w:val="24"/>
        </w:rPr>
        <w:t>Under the contract the Authority pays an annual unitary charge to Fire and Rescue NW L</w:t>
      </w:r>
      <w:r w:rsidR="002B520D" w:rsidRPr="00D948C1">
        <w:rPr>
          <w:szCs w:val="24"/>
        </w:rPr>
        <w:t>imi</w:t>
      </w:r>
      <w:r w:rsidRPr="00D948C1">
        <w:rPr>
          <w:szCs w:val="24"/>
        </w:rPr>
        <w:t>t</w:t>
      </w:r>
      <w:r w:rsidR="002B520D" w:rsidRPr="00D948C1">
        <w:rPr>
          <w:szCs w:val="24"/>
        </w:rPr>
        <w:t>e</w:t>
      </w:r>
      <w:r w:rsidRPr="00D948C1">
        <w:rPr>
          <w:szCs w:val="24"/>
        </w:rPr>
        <w:t xml:space="preserve">d for serviced accommodation over the life of the contract, </w:t>
      </w:r>
      <w:r w:rsidR="008B45EF" w:rsidRPr="00D948C1">
        <w:rPr>
          <w:szCs w:val="24"/>
        </w:rPr>
        <w:t xml:space="preserve">which runs for 25 years from initial handover of each station </w:t>
      </w:r>
      <w:r w:rsidRPr="00D948C1">
        <w:rPr>
          <w:szCs w:val="24"/>
        </w:rPr>
        <w:t xml:space="preserve">commencing in </w:t>
      </w:r>
      <w:r w:rsidR="008B45EF" w:rsidRPr="00D948C1">
        <w:rPr>
          <w:szCs w:val="24"/>
        </w:rPr>
        <w:t xml:space="preserve">March </w:t>
      </w:r>
      <w:r w:rsidRPr="00D948C1">
        <w:rPr>
          <w:szCs w:val="24"/>
        </w:rPr>
        <w:t>20</w:t>
      </w:r>
      <w:r w:rsidR="008B45EF" w:rsidRPr="00D948C1">
        <w:rPr>
          <w:szCs w:val="24"/>
        </w:rPr>
        <w:t>11</w:t>
      </w:r>
      <w:r w:rsidRPr="00D948C1">
        <w:rPr>
          <w:szCs w:val="24"/>
        </w:rPr>
        <w:t>/</w:t>
      </w:r>
      <w:r w:rsidR="008B45EF" w:rsidRPr="00D948C1">
        <w:rPr>
          <w:szCs w:val="24"/>
        </w:rPr>
        <w:t>12 for the Authority</w:t>
      </w:r>
      <w:r w:rsidRPr="00D948C1">
        <w:rPr>
          <w:szCs w:val="24"/>
        </w:rPr>
        <w:t xml:space="preserve">. The buildings and any plant installed in them at the end of the contract will be transferred to the Authority for nil consideration. The estimated capital value of the </w:t>
      </w:r>
      <w:r w:rsidR="008B45EF" w:rsidRPr="00D948C1">
        <w:rPr>
          <w:szCs w:val="24"/>
        </w:rPr>
        <w:t xml:space="preserve">total </w:t>
      </w:r>
      <w:r w:rsidRPr="00D948C1">
        <w:rPr>
          <w:szCs w:val="24"/>
        </w:rPr>
        <w:t>scheme at the point of financial close was £</w:t>
      </w:r>
      <w:r w:rsidR="008B45EF" w:rsidRPr="00D948C1">
        <w:rPr>
          <w:szCs w:val="24"/>
        </w:rPr>
        <w:t>47.886m, and for the Authority was £12.161m</w:t>
      </w:r>
      <w:r w:rsidRPr="00D948C1">
        <w:rPr>
          <w:szCs w:val="24"/>
        </w:rPr>
        <w:t>.</w:t>
      </w:r>
    </w:p>
    <w:p w14:paraId="5AEFBFD0" w14:textId="77777777" w:rsidR="00495739" w:rsidRDefault="00495739" w:rsidP="006C0086">
      <w:pPr>
        <w:spacing w:line="276" w:lineRule="auto"/>
        <w:rPr>
          <w:szCs w:val="24"/>
        </w:rPr>
      </w:pPr>
      <w:r>
        <w:rPr>
          <w:szCs w:val="24"/>
        </w:rPr>
        <w:br w:type="page"/>
      </w:r>
    </w:p>
    <w:p w14:paraId="2CF61D76" w14:textId="0C436176" w:rsidR="00217242" w:rsidRPr="00D948C1" w:rsidRDefault="005A3979" w:rsidP="006C0086">
      <w:pPr>
        <w:spacing w:line="276" w:lineRule="auto"/>
        <w:ind w:left="720"/>
        <w:rPr>
          <w:szCs w:val="24"/>
        </w:rPr>
      </w:pPr>
      <w:r w:rsidRPr="00D948C1">
        <w:rPr>
          <w:szCs w:val="24"/>
        </w:rPr>
        <w:lastRenderedPageBreak/>
        <w:t xml:space="preserve">All </w:t>
      </w:r>
      <w:r w:rsidR="0076078A">
        <w:rPr>
          <w:szCs w:val="24"/>
        </w:rPr>
        <w:t>Private Finance Initiative</w:t>
      </w:r>
      <w:r w:rsidRPr="00D948C1">
        <w:rPr>
          <w:szCs w:val="24"/>
        </w:rPr>
        <w:t xml:space="preserve"> Schemes</w:t>
      </w:r>
    </w:p>
    <w:p w14:paraId="78D506D7" w14:textId="77777777" w:rsidR="00217242" w:rsidRPr="00D948C1" w:rsidRDefault="00217242" w:rsidP="006C0086">
      <w:pPr>
        <w:spacing w:line="276" w:lineRule="auto"/>
        <w:ind w:left="720"/>
        <w:rPr>
          <w:szCs w:val="24"/>
        </w:rPr>
      </w:pPr>
    </w:p>
    <w:p w14:paraId="1F74512E" w14:textId="102A6287" w:rsidR="00D90216" w:rsidRPr="00D948C1" w:rsidRDefault="00217242" w:rsidP="006C0086">
      <w:pPr>
        <w:spacing w:line="276" w:lineRule="auto"/>
        <w:ind w:left="720"/>
        <w:rPr>
          <w:szCs w:val="24"/>
        </w:rPr>
      </w:pPr>
      <w:r w:rsidRPr="00D948C1">
        <w:rPr>
          <w:szCs w:val="24"/>
        </w:rPr>
        <w:t xml:space="preserve">All </w:t>
      </w:r>
      <w:r w:rsidR="0076078A">
        <w:rPr>
          <w:szCs w:val="24"/>
        </w:rPr>
        <w:t>private finance initiative</w:t>
      </w:r>
      <w:r w:rsidR="00D90216" w:rsidRPr="00D948C1">
        <w:rPr>
          <w:szCs w:val="24"/>
        </w:rPr>
        <w:t xml:space="preserve"> stations are recognised on the Authority’s Balance Sheet</w:t>
      </w:r>
      <w:r w:rsidRPr="00D948C1">
        <w:rPr>
          <w:szCs w:val="24"/>
        </w:rPr>
        <w:t xml:space="preserve"> from the date of </w:t>
      </w:r>
      <w:r w:rsidR="008B45EF" w:rsidRPr="00D948C1">
        <w:rPr>
          <w:szCs w:val="24"/>
        </w:rPr>
        <w:t xml:space="preserve">initial </w:t>
      </w:r>
      <w:r w:rsidRPr="00D948C1">
        <w:rPr>
          <w:szCs w:val="24"/>
        </w:rPr>
        <w:t>handover</w:t>
      </w:r>
      <w:r w:rsidR="00D90216" w:rsidRPr="00D948C1">
        <w:rPr>
          <w:szCs w:val="24"/>
        </w:rPr>
        <w:t xml:space="preserve">. Movements in their value over the year are detailed in the analysis of the movement on Property, Plant &amp; Equipment balance in </w:t>
      </w:r>
      <w:hyperlink w:anchor="N6" w:history="1">
        <w:r w:rsidR="007C6DCB" w:rsidRPr="00D948C1">
          <w:rPr>
            <w:rStyle w:val="Hyperlink"/>
            <w:szCs w:val="24"/>
          </w:rPr>
          <w:t>N</w:t>
        </w:r>
        <w:r w:rsidR="00D90216" w:rsidRPr="00D948C1">
          <w:rPr>
            <w:rStyle w:val="Hyperlink"/>
            <w:szCs w:val="24"/>
          </w:rPr>
          <w:t xml:space="preserve">ote </w:t>
        </w:r>
        <w:r w:rsidR="00903724" w:rsidRPr="00D948C1">
          <w:rPr>
            <w:rStyle w:val="Hyperlink"/>
            <w:szCs w:val="24"/>
          </w:rPr>
          <w:t>6</w:t>
        </w:r>
      </w:hyperlink>
      <w:r w:rsidR="00D90216" w:rsidRPr="00D948C1">
        <w:rPr>
          <w:szCs w:val="24"/>
        </w:rPr>
        <w:t xml:space="preserve">. </w:t>
      </w:r>
    </w:p>
    <w:p w14:paraId="4C5B1AEA" w14:textId="77777777" w:rsidR="000669A4" w:rsidRPr="00D948C1" w:rsidRDefault="000669A4" w:rsidP="006C0086">
      <w:pPr>
        <w:spacing w:line="276" w:lineRule="auto"/>
        <w:ind w:left="720"/>
        <w:rPr>
          <w:szCs w:val="24"/>
        </w:rPr>
      </w:pPr>
    </w:p>
    <w:p w14:paraId="5E246E9A" w14:textId="5C0FF620" w:rsidR="00BB58EF" w:rsidRPr="00D948C1" w:rsidRDefault="00D90216" w:rsidP="006C0086">
      <w:pPr>
        <w:spacing w:line="276" w:lineRule="auto"/>
        <w:ind w:left="720"/>
        <w:rPr>
          <w:szCs w:val="24"/>
        </w:rPr>
      </w:pPr>
      <w:r w:rsidRPr="00D948C1">
        <w:rPr>
          <w:szCs w:val="24"/>
        </w:rPr>
        <w:t>Payments made under the contract</w:t>
      </w:r>
      <w:r w:rsidR="005A3979" w:rsidRPr="00D948C1">
        <w:rPr>
          <w:szCs w:val="24"/>
        </w:rPr>
        <w:t>s</w:t>
      </w:r>
      <w:r w:rsidRPr="00D948C1">
        <w:rPr>
          <w:szCs w:val="24"/>
        </w:rPr>
        <w:t xml:space="preserve"> are performance related, so deductions are made if parts of the building are not available or if service performance (including maintenance) falls below an agreed standard. The Authority makes an agreed payment each year which is increased by inflation and can be reduced if the contractor fails to meet availability and performance standards in any </w:t>
      </w:r>
      <w:r w:rsidR="00C35551" w:rsidRPr="00D948C1">
        <w:rPr>
          <w:szCs w:val="24"/>
        </w:rPr>
        <w:t>year but</w:t>
      </w:r>
      <w:r w:rsidRPr="00D948C1">
        <w:rPr>
          <w:szCs w:val="24"/>
        </w:rPr>
        <w:t xml:space="preserve"> is otherwise fixed. In addition, the Authority receives Government Grant to offset some of these costs.</w:t>
      </w:r>
    </w:p>
    <w:p w14:paraId="50FB0BA2" w14:textId="2AC95D85" w:rsidR="00300384" w:rsidRPr="00D948C1" w:rsidRDefault="00300384" w:rsidP="006C0086">
      <w:pPr>
        <w:spacing w:line="276" w:lineRule="auto"/>
        <w:rPr>
          <w:szCs w:val="24"/>
        </w:rPr>
      </w:pPr>
    </w:p>
    <w:p w14:paraId="3304B057" w14:textId="5770255D" w:rsidR="00D90216" w:rsidRPr="00D948C1" w:rsidRDefault="00D90216" w:rsidP="006C0086">
      <w:pPr>
        <w:spacing w:line="276" w:lineRule="auto"/>
        <w:ind w:left="720"/>
        <w:rPr>
          <w:szCs w:val="24"/>
        </w:rPr>
      </w:pPr>
      <w:r w:rsidRPr="00D948C1">
        <w:rPr>
          <w:szCs w:val="24"/>
        </w:rPr>
        <w:t xml:space="preserve">Payments remaining to be made under </w:t>
      </w:r>
      <w:r w:rsidR="005A3979" w:rsidRPr="00D948C1">
        <w:rPr>
          <w:szCs w:val="24"/>
        </w:rPr>
        <w:t>both</w:t>
      </w:r>
      <w:r w:rsidRPr="00D948C1">
        <w:rPr>
          <w:szCs w:val="24"/>
        </w:rPr>
        <w:t xml:space="preserve"> </w:t>
      </w:r>
      <w:r w:rsidR="0076078A">
        <w:rPr>
          <w:szCs w:val="24"/>
        </w:rPr>
        <w:t>Private Finance Initiative</w:t>
      </w:r>
      <w:r w:rsidR="0076078A" w:rsidRPr="00D948C1">
        <w:rPr>
          <w:szCs w:val="24"/>
        </w:rPr>
        <w:t xml:space="preserve"> </w:t>
      </w:r>
      <w:r w:rsidR="000414B9" w:rsidRPr="00D948C1">
        <w:rPr>
          <w:szCs w:val="24"/>
        </w:rPr>
        <w:t>contracts</w:t>
      </w:r>
      <w:r w:rsidRPr="00D948C1">
        <w:rPr>
          <w:szCs w:val="24"/>
        </w:rPr>
        <w:t xml:space="preserve"> and Government Subsidie</w:t>
      </w:r>
      <w:r w:rsidR="00251BB2" w:rsidRPr="00D948C1">
        <w:rPr>
          <w:szCs w:val="24"/>
        </w:rPr>
        <w:t xml:space="preserve">s to be received </w:t>
      </w:r>
      <w:proofErr w:type="gramStart"/>
      <w:r w:rsidR="00251BB2" w:rsidRPr="00D948C1">
        <w:rPr>
          <w:szCs w:val="24"/>
        </w:rPr>
        <w:t>at</w:t>
      </w:r>
      <w:proofErr w:type="gramEnd"/>
      <w:r w:rsidR="00251BB2" w:rsidRPr="00D948C1">
        <w:rPr>
          <w:szCs w:val="24"/>
        </w:rPr>
        <w:t xml:space="preserve"> 31 March 202</w:t>
      </w:r>
      <w:r w:rsidR="008F3F7F" w:rsidRPr="00D948C1">
        <w:rPr>
          <w:szCs w:val="24"/>
        </w:rPr>
        <w:t>4</w:t>
      </w:r>
      <w:r w:rsidR="0003405C" w:rsidRPr="00D948C1">
        <w:rPr>
          <w:szCs w:val="24"/>
        </w:rPr>
        <w:t xml:space="preserve"> </w:t>
      </w:r>
      <w:r w:rsidRPr="00D948C1">
        <w:rPr>
          <w:szCs w:val="24"/>
        </w:rPr>
        <w:t>are as follows:</w:t>
      </w:r>
    </w:p>
    <w:p w14:paraId="55EDD3E5" w14:textId="77777777" w:rsidR="00D90216" w:rsidRPr="00D948C1" w:rsidRDefault="00D90216" w:rsidP="006C0086">
      <w:pPr>
        <w:pStyle w:val="BodyTextIndent"/>
        <w:spacing w:line="276" w:lineRule="auto"/>
        <w:rPr>
          <w:sz w:val="22"/>
          <w:szCs w:val="22"/>
          <w:lang w:val="en-GB"/>
        </w:rPr>
      </w:pPr>
    </w:p>
    <w:tbl>
      <w:tblPr>
        <w:tblW w:w="102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1439"/>
        <w:gridCol w:w="2067"/>
        <w:gridCol w:w="1276"/>
        <w:gridCol w:w="1134"/>
        <w:gridCol w:w="1842"/>
      </w:tblGrid>
      <w:tr w:rsidR="00405586" w:rsidRPr="00D948C1" w14:paraId="0EAF2185" w14:textId="77777777" w:rsidTr="00611673">
        <w:trPr>
          <w:tblHeader/>
        </w:trPr>
        <w:tc>
          <w:tcPr>
            <w:tcW w:w="2481" w:type="dxa"/>
            <w:shd w:val="clear" w:color="auto" w:fill="BD2716"/>
          </w:tcPr>
          <w:p w14:paraId="1FE6CD50" w14:textId="77777777" w:rsidR="00D90216" w:rsidRPr="00D948C1" w:rsidRDefault="00D90216" w:rsidP="006C0086">
            <w:pPr>
              <w:pStyle w:val="BodyTextIndent"/>
              <w:spacing w:line="276" w:lineRule="auto"/>
              <w:ind w:left="0"/>
              <w:rPr>
                <w:color w:val="FFFFFF" w:themeColor="background1"/>
                <w:szCs w:val="24"/>
                <w:lang w:val="en-GB"/>
              </w:rPr>
            </w:pPr>
          </w:p>
        </w:tc>
        <w:tc>
          <w:tcPr>
            <w:tcW w:w="1439" w:type="dxa"/>
            <w:shd w:val="clear" w:color="auto" w:fill="BD2716"/>
            <w:vAlign w:val="center"/>
          </w:tcPr>
          <w:p w14:paraId="2ABC2450" w14:textId="77777777" w:rsidR="00D90216" w:rsidRPr="00D948C1" w:rsidRDefault="00D90216"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Payment for Services</w:t>
            </w:r>
          </w:p>
          <w:p w14:paraId="745F36B9" w14:textId="6980CD51" w:rsidR="0058790E" w:rsidRPr="00D948C1" w:rsidRDefault="0058790E"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2067" w:type="dxa"/>
            <w:shd w:val="clear" w:color="auto" w:fill="BD2716"/>
            <w:vAlign w:val="center"/>
          </w:tcPr>
          <w:p w14:paraId="0E20D5FE" w14:textId="77777777" w:rsidR="00D90216" w:rsidRPr="00D948C1" w:rsidRDefault="00D90216" w:rsidP="006C0086">
            <w:pPr>
              <w:pStyle w:val="BodyTextIndent"/>
              <w:spacing w:line="276" w:lineRule="auto"/>
              <w:ind w:left="0" w:right="139"/>
              <w:jc w:val="right"/>
              <w:rPr>
                <w:color w:val="FFFFFF" w:themeColor="background1"/>
                <w:szCs w:val="24"/>
                <w:lang w:val="en-GB"/>
              </w:rPr>
            </w:pPr>
            <w:r w:rsidRPr="00D948C1">
              <w:rPr>
                <w:color w:val="FFFFFF" w:themeColor="background1"/>
                <w:szCs w:val="24"/>
                <w:lang w:val="en-GB"/>
              </w:rPr>
              <w:t xml:space="preserve">Reimbursement of Capital </w:t>
            </w:r>
            <w:r w:rsidR="00405586" w:rsidRPr="00D948C1">
              <w:rPr>
                <w:color w:val="FFFFFF" w:themeColor="background1"/>
                <w:szCs w:val="24"/>
                <w:lang w:val="en-GB"/>
              </w:rPr>
              <w:t>Expenditure</w:t>
            </w:r>
          </w:p>
          <w:p w14:paraId="03C34E0C" w14:textId="4AD6A4BB" w:rsidR="0058790E" w:rsidRPr="00D948C1" w:rsidRDefault="0058790E" w:rsidP="006C0086">
            <w:pPr>
              <w:pStyle w:val="BodyTextIndent"/>
              <w:spacing w:line="276" w:lineRule="auto"/>
              <w:ind w:left="0" w:right="139"/>
              <w:jc w:val="right"/>
              <w:rPr>
                <w:color w:val="FFFFFF" w:themeColor="background1"/>
                <w:szCs w:val="24"/>
                <w:lang w:val="en-GB"/>
              </w:rPr>
            </w:pPr>
            <w:r w:rsidRPr="00D948C1">
              <w:rPr>
                <w:color w:val="FFFFFF" w:themeColor="background1"/>
                <w:szCs w:val="24"/>
                <w:lang w:val="en-GB"/>
              </w:rPr>
              <w:t>£000</w:t>
            </w:r>
          </w:p>
        </w:tc>
        <w:tc>
          <w:tcPr>
            <w:tcW w:w="1276" w:type="dxa"/>
            <w:shd w:val="clear" w:color="auto" w:fill="BD2716"/>
            <w:vAlign w:val="center"/>
          </w:tcPr>
          <w:p w14:paraId="228F83E2" w14:textId="77777777" w:rsidR="00D90216" w:rsidRPr="00D948C1" w:rsidRDefault="00D90216" w:rsidP="006C0086">
            <w:pPr>
              <w:pStyle w:val="BodyTextIndent"/>
              <w:spacing w:line="276" w:lineRule="auto"/>
              <w:ind w:left="-81" w:right="40"/>
              <w:jc w:val="right"/>
              <w:rPr>
                <w:color w:val="FFFFFF" w:themeColor="background1"/>
                <w:szCs w:val="24"/>
                <w:lang w:val="en-GB"/>
              </w:rPr>
            </w:pPr>
            <w:r w:rsidRPr="00D948C1">
              <w:rPr>
                <w:color w:val="FFFFFF" w:themeColor="background1"/>
                <w:szCs w:val="24"/>
                <w:lang w:val="en-GB"/>
              </w:rPr>
              <w:t>Interest</w:t>
            </w:r>
          </w:p>
          <w:p w14:paraId="7695D921" w14:textId="5A658A82" w:rsidR="0058790E" w:rsidRPr="00D948C1" w:rsidRDefault="0058790E" w:rsidP="006C0086">
            <w:pPr>
              <w:pStyle w:val="BodyTextIndent"/>
              <w:spacing w:line="276" w:lineRule="auto"/>
              <w:ind w:left="-81" w:right="40"/>
              <w:jc w:val="right"/>
              <w:rPr>
                <w:color w:val="FFFFFF" w:themeColor="background1"/>
                <w:szCs w:val="24"/>
                <w:lang w:val="en-GB"/>
              </w:rPr>
            </w:pPr>
            <w:r w:rsidRPr="00D948C1">
              <w:rPr>
                <w:color w:val="FFFFFF" w:themeColor="background1"/>
                <w:szCs w:val="24"/>
                <w:lang w:val="en-GB"/>
              </w:rPr>
              <w:t>£000</w:t>
            </w:r>
          </w:p>
        </w:tc>
        <w:tc>
          <w:tcPr>
            <w:tcW w:w="1134" w:type="dxa"/>
            <w:shd w:val="clear" w:color="auto" w:fill="BD2716"/>
            <w:vAlign w:val="center"/>
          </w:tcPr>
          <w:p w14:paraId="2B7FFC66" w14:textId="77777777" w:rsidR="00D90216" w:rsidRPr="00D948C1" w:rsidRDefault="00D90216"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Total</w:t>
            </w:r>
          </w:p>
          <w:p w14:paraId="6DB7BEB9" w14:textId="193D2B2A" w:rsidR="0058790E" w:rsidRPr="00D948C1" w:rsidRDefault="0058790E"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842" w:type="dxa"/>
            <w:shd w:val="clear" w:color="auto" w:fill="BD2716"/>
            <w:vAlign w:val="center"/>
          </w:tcPr>
          <w:p w14:paraId="511BCBE2" w14:textId="77777777" w:rsidR="00D90216" w:rsidRPr="00D948C1" w:rsidRDefault="00D90216"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Government Subsidy</w:t>
            </w:r>
          </w:p>
          <w:p w14:paraId="3D1CA33D" w14:textId="02871D9C" w:rsidR="0058790E" w:rsidRPr="00D948C1" w:rsidRDefault="0058790E"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915C49" w:rsidRPr="00D948C1" w14:paraId="15DBA55F" w14:textId="77777777" w:rsidTr="00C865B2">
        <w:tc>
          <w:tcPr>
            <w:tcW w:w="2481" w:type="dxa"/>
            <w:shd w:val="clear" w:color="auto" w:fill="auto"/>
            <w:vAlign w:val="bottom"/>
          </w:tcPr>
          <w:p w14:paraId="7EAC91DE" w14:textId="77777777" w:rsidR="00915C49" w:rsidRPr="00D948C1" w:rsidRDefault="00915C49" w:rsidP="006C0086">
            <w:pPr>
              <w:pStyle w:val="BodyTextIndent"/>
              <w:spacing w:line="276" w:lineRule="auto"/>
              <w:ind w:left="0"/>
              <w:rPr>
                <w:szCs w:val="24"/>
                <w:lang w:val="en-GB"/>
              </w:rPr>
            </w:pPr>
            <w:r w:rsidRPr="00D948C1">
              <w:rPr>
                <w:szCs w:val="24"/>
                <w:lang w:val="en-GB"/>
              </w:rPr>
              <w:t>Payable in 1 year</w:t>
            </w:r>
          </w:p>
        </w:tc>
        <w:tc>
          <w:tcPr>
            <w:tcW w:w="1439" w:type="dxa"/>
            <w:shd w:val="clear" w:color="auto" w:fill="auto"/>
          </w:tcPr>
          <w:p w14:paraId="3D64EE68" w14:textId="5DCC4F95" w:rsidR="00915C49" w:rsidRPr="00D948C1" w:rsidRDefault="00915C49" w:rsidP="006C0086">
            <w:pPr>
              <w:tabs>
                <w:tab w:val="decimal" w:pos="648"/>
                <w:tab w:val="decimal" w:pos="738"/>
              </w:tabs>
              <w:spacing w:line="276" w:lineRule="auto"/>
              <w:jc w:val="right"/>
              <w:rPr>
                <w:szCs w:val="24"/>
              </w:rPr>
            </w:pPr>
            <w:r w:rsidRPr="00D948C1">
              <w:rPr>
                <w:szCs w:val="24"/>
              </w:rPr>
              <w:t xml:space="preserve"> 969 </w:t>
            </w:r>
          </w:p>
        </w:tc>
        <w:tc>
          <w:tcPr>
            <w:tcW w:w="2067" w:type="dxa"/>
            <w:shd w:val="clear" w:color="auto" w:fill="auto"/>
          </w:tcPr>
          <w:p w14:paraId="641ACFE4" w14:textId="1FFC3262" w:rsidR="00915C49" w:rsidRPr="00D948C1" w:rsidRDefault="00915C49" w:rsidP="006C0086">
            <w:pPr>
              <w:tabs>
                <w:tab w:val="decimal" w:pos="648"/>
                <w:tab w:val="decimal" w:pos="738"/>
              </w:tabs>
              <w:spacing w:line="276" w:lineRule="auto"/>
              <w:jc w:val="right"/>
              <w:rPr>
                <w:szCs w:val="24"/>
              </w:rPr>
            </w:pPr>
            <w:r w:rsidRPr="00D948C1">
              <w:rPr>
                <w:szCs w:val="24"/>
              </w:rPr>
              <w:t xml:space="preserve"> 528 </w:t>
            </w:r>
          </w:p>
        </w:tc>
        <w:tc>
          <w:tcPr>
            <w:tcW w:w="1276" w:type="dxa"/>
            <w:shd w:val="clear" w:color="auto" w:fill="auto"/>
          </w:tcPr>
          <w:p w14:paraId="73A63BEF" w14:textId="2428B856" w:rsidR="00915C49" w:rsidRPr="00D948C1" w:rsidRDefault="00915C49" w:rsidP="006C0086">
            <w:pPr>
              <w:tabs>
                <w:tab w:val="decimal" w:pos="648"/>
              </w:tabs>
              <w:spacing w:line="276" w:lineRule="auto"/>
              <w:jc w:val="right"/>
              <w:rPr>
                <w:szCs w:val="24"/>
              </w:rPr>
            </w:pPr>
            <w:r w:rsidRPr="00D948C1">
              <w:rPr>
                <w:szCs w:val="24"/>
              </w:rPr>
              <w:t xml:space="preserve"> 1,234 </w:t>
            </w:r>
          </w:p>
        </w:tc>
        <w:tc>
          <w:tcPr>
            <w:tcW w:w="1134" w:type="dxa"/>
            <w:shd w:val="clear" w:color="auto" w:fill="auto"/>
          </w:tcPr>
          <w:p w14:paraId="4B56456C" w14:textId="7BA7F917" w:rsidR="00915C49" w:rsidRPr="00D948C1" w:rsidRDefault="00915C49" w:rsidP="006C0086">
            <w:pPr>
              <w:tabs>
                <w:tab w:val="decimal" w:pos="648"/>
                <w:tab w:val="decimal" w:pos="738"/>
              </w:tabs>
              <w:spacing w:line="276" w:lineRule="auto"/>
              <w:jc w:val="right"/>
              <w:rPr>
                <w:szCs w:val="24"/>
              </w:rPr>
            </w:pPr>
            <w:r w:rsidRPr="00D948C1">
              <w:rPr>
                <w:szCs w:val="24"/>
              </w:rPr>
              <w:t xml:space="preserve"> 2,732 </w:t>
            </w:r>
          </w:p>
        </w:tc>
        <w:tc>
          <w:tcPr>
            <w:tcW w:w="1842" w:type="dxa"/>
            <w:shd w:val="clear" w:color="auto" w:fill="auto"/>
          </w:tcPr>
          <w:p w14:paraId="47B214FA" w14:textId="40A2976D" w:rsidR="00915C49" w:rsidRPr="00D948C1" w:rsidRDefault="00915C49" w:rsidP="006C0086">
            <w:pPr>
              <w:tabs>
                <w:tab w:val="decimal" w:pos="648"/>
                <w:tab w:val="decimal" w:pos="738"/>
                <w:tab w:val="decimal" w:pos="1046"/>
              </w:tabs>
              <w:spacing w:line="276" w:lineRule="auto"/>
              <w:jc w:val="right"/>
              <w:rPr>
                <w:szCs w:val="24"/>
              </w:rPr>
            </w:pPr>
            <w:r w:rsidRPr="00D948C1">
              <w:rPr>
                <w:szCs w:val="24"/>
              </w:rPr>
              <w:t xml:space="preserve"> 1,734 </w:t>
            </w:r>
          </w:p>
        </w:tc>
      </w:tr>
      <w:tr w:rsidR="00915C49" w:rsidRPr="00D948C1" w14:paraId="2FFB281F" w14:textId="77777777" w:rsidTr="00C865B2">
        <w:trPr>
          <w:trHeight w:val="257"/>
        </w:trPr>
        <w:tc>
          <w:tcPr>
            <w:tcW w:w="2481" w:type="dxa"/>
            <w:shd w:val="clear" w:color="auto" w:fill="auto"/>
            <w:vAlign w:val="bottom"/>
          </w:tcPr>
          <w:p w14:paraId="2663EC3B" w14:textId="77777777" w:rsidR="00915C49" w:rsidRPr="00D948C1" w:rsidRDefault="00915C49" w:rsidP="006C0086">
            <w:pPr>
              <w:pStyle w:val="BodyTextIndent"/>
              <w:spacing w:line="276" w:lineRule="auto"/>
              <w:ind w:left="0"/>
              <w:rPr>
                <w:szCs w:val="24"/>
                <w:lang w:val="en-GB"/>
              </w:rPr>
            </w:pPr>
            <w:r w:rsidRPr="00D948C1">
              <w:rPr>
                <w:szCs w:val="24"/>
                <w:lang w:val="en-GB"/>
              </w:rPr>
              <w:t>Payable within 2-5 years</w:t>
            </w:r>
          </w:p>
        </w:tc>
        <w:tc>
          <w:tcPr>
            <w:tcW w:w="1439" w:type="dxa"/>
            <w:shd w:val="clear" w:color="auto" w:fill="auto"/>
          </w:tcPr>
          <w:p w14:paraId="626A482E" w14:textId="39AD5531" w:rsidR="00915C49" w:rsidRPr="00D948C1" w:rsidRDefault="00915C49" w:rsidP="006C0086">
            <w:pPr>
              <w:tabs>
                <w:tab w:val="decimal" w:pos="648"/>
                <w:tab w:val="decimal" w:pos="738"/>
              </w:tabs>
              <w:spacing w:line="276" w:lineRule="auto"/>
              <w:jc w:val="right"/>
              <w:rPr>
                <w:szCs w:val="24"/>
              </w:rPr>
            </w:pPr>
            <w:r w:rsidRPr="00D948C1">
              <w:rPr>
                <w:szCs w:val="24"/>
              </w:rPr>
              <w:t xml:space="preserve"> 4,149 </w:t>
            </w:r>
          </w:p>
        </w:tc>
        <w:tc>
          <w:tcPr>
            <w:tcW w:w="2067" w:type="dxa"/>
            <w:shd w:val="clear" w:color="auto" w:fill="auto"/>
          </w:tcPr>
          <w:p w14:paraId="2260081F" w14:textId="1A60C8DC" w:rsidR="00915C49" w:rsidRPr="00D948C1" w:rsidRDefault="00915C49" w:rsidP="006C0086">
            <w:pPr>
              <w:tabs>
                <w:tab w:val="decimal" w:pos="648"/>
                <w:tab w:val="decimal" w:pos="738"/>
              </w:tabs>
              <w:spacing w:line="276" w:lineRule="auto"/>
              <w:jc w:val="right"/>
              <w:rPr>
                <w:szCs w:val="24"/>
              </w:rPr>
            </w:pPr>
            <w:r w:rsidRPr="00D948C1">
              <w:rPr>
                <w:szCs w:val="24"/>
              </w:rPr>
              <w:t xml:space="preserve"> 2,722 </w:t>
            </w:r>
          </w:p>
        </w:tc>
        <w:tc>
          <w:tcPr>
            <w:tcW w:w="1276" w:type="dxa"/>
            <w:shd w:val="clear" w:color="auto" w:fill="auto"/>
          </w:tcPr>
          <w:p w14:paraId="592446F5" w14:textId="2535B0A8" w:rsidR="00915C49" w:rsidRPr="00D948C1" w:rsidRDefault="00915C49" w:rsidP="006C0086">
            <w:pPr>
              <w:tabs>
                <w:tab w:val="decimal" w:pos="648"/>
              </w:tabs>
              <w:spacing w:line="276" w:lineRule="auto"/>
              <w:jc w:val="right"/>
              <w:rPr>
                <w:szCs w:val="24"/>
              </w:rPr>
            </w:pPr>
            <w:r w:rsidRPr="00D948C1">
              <w:rPr>
                <w:szCs w:val="24"/>
              </w:rPr>
              <w:t xml:space="preserve"> 4,397 </w:t>
            </w:r>
          </w:p>
        </w:tc>
        <w:tc>
          <w:tcPr>
            <w:tcW w:w="1134" w:type="dxa"/>
            <w:shd w:val="clear" w:color="auto" w:fill="auto"/>
          </w:tcPr>
          <w:p w14:paraId="5FC2F999" w14:textId="45DFE75C" w:rsidR="00915C49" w:rsidRPr="00D948C1" w:rsidRDefault="00915C49" w:rsidP="006C0086">
            <w:pPr>
              <w:tabs>
                <w:tab w:val="decimal" w:pos="648"/>
                <w:tab w:val="decimal" w:pos="738"/>
              </w:tabs>
              <w:spacing w:line="276" w:lineRule="auto"/>
              <w:jc w:val="right"/>
              <w:rPr>
                <w:szCs w:val="24"/>
              </w:rPr>
            </w:pPr>
            <w:r w:rsidRPr="00D948C1">
              <w:rPr>
                <w:szCs w:val="24"/>
              </w:rPr>
              <w:t xml:space="preserve"> 11,268 </w:t>
            </w:r>
          </w:p>
        </w:tc>
        <w:tc>
          <w:tcPr>
            <w:tcW w:w="1842" w:type="dxa"/>
            <w:shd w:val="clear" w:color="auto" w:fill="auto"/>
          </w:tcPr>
          <w:p w14:paraId="55EE3F31" w14:textId="68849215" w:rsidR="00915C49" w:rsidRPr="00D948C1" w:rsidRDefault="00915C49" w:rsidP="006C0086">
            <w:pPr>
              <w:tabs>
                <w:tab w:val="decimal" w:pos="648"/>
                <w:tab w:val="decimal" w:pos="738"/>
                <w:tab w:val="decimal" w:pos="1046"/>
              </w:tabs>
              <w:spacing w:line="276" w:lineRule="auto"/>
              <w:jc w:val="right"/>
              <w:rPr>
                <w:szCs w:val="24"/>
              </w:rPr>
            </w:pPr>
            <w:r w:rsidRPr="00D948C1">
              <w:rPr>
                <w:szCs w:val="24"/>
              </w:rPr>
              <w:t xml:space="preserve"> 6,935 </w:t>
            </w:r>
          </w:p>
        </w:tc>
      </w:tr>
      <w:tr w:rsidR="00915C49" w:rsidRPr="00D948C1" w14:paraId="051984C3" w14:textId="77777777" w:rsidTr="00C865B2">
        <w:tc>
          <w:tcPr>
            <w:tcW w:w="2481" w:type="dxa"/>
            <w:shd w:val="clear" w:color="auto" w:fill="auto"/>
            <w:vAlign w:val="bottom"/>
          </w:tcPr>
          <w:p w14:paraId="513F07A0" w14:textId="77777777" w:rsidR="00915C49" w:rsidRPr="00D948C1" w:rsidRDefault="00915C49" w:rsidP="006C0086">
            <w:pPr>
              <w:pStyle w:val="BodyTextIndent"/>
              <w:spacing w:line="276" w:lineRule="auto"/>
              <w:ind w:left="0"/>
              <w:rPr>
                <w:szCs w:val="24"/>
                <w:lang w:val="en-GB"/>
              </w:rPr>
            </w:pPr>
            <w:r w:rsidRPr="00D948C1">
              <w:rPr>
                <w:szCs w:val="24"/>
                <w:lang w:val="en-GB"/>
              </w:rPr>
              <w:t>Payable within 6-10 years</w:t>
            </w:r>
          </w:p>
        </w:tc>
        <w:tc>
          <w:tcPr>
            <w:tcW w:w="1439" w:type="dxa"/>
            <w:shd w:val="clear" w:color="auto" w:fill="auto"/>
          </w:tcPr>
          <w:p w14:paraId="7A146135" w14:textId="3146A8A0" w:rsidR="00915C49" w:rsidRPr="00D948C1" w:rsidRDefault="00915C49" w:rsidP="006C0086">
            <w:pPr>
              <w:tabs>
                <w:tab w:val="decimal" w:pos="648"/>
                <w:tab w:val="decimal" w:pos="738"/>
              </w:tabs>
              <w:spacing w:line="276" w:lineRule="auto"/>
              <w:jc w:val="right"/>
              <w:rPr>
                <w:szCs w:val="24"/>
              </w:rPr>
            </w:pPr>
            <w:r w:rsidRPr="00D948C1">
              <w:rPr>
                <w:szCs w:val="24"/>
              </w:rPr>
              <w:t xml:space="preserve"> 5,312 </w:t>
            </w:r>
          </w:p>
        </w:tc>
        <w:tc>
          <w:tcPr>
            <w:tcW w:w="2067" w:type="dxa"/>
            <w:shd w:val="clear" w:color="auto" w:fill="auto"/>
          </w:tcPr>
          <w:p w14:paraId="7AE23785" w14:textId="1DF10C3D" w:rsidR="00915C49" w:rsidRPr="00D948C1" w:rsidRDefault="00915C49" w:rsidP="006C0086">
            <w:pPr>
              <w:tabs>
                <w:tab w:val="decimal" w:pos="648"/>
                <w:tab w:val="decimal" w:pos="738"/>
              </w:tabs>
              <w:spacing w:line="276" w:lineRule="auto"/>
              <w:jc w:val="right"/>
              <w:rPr>
                <w:szCs w:val="24"/>
              </w:rPr>
            </w:pPr>
            <w:r w:rsidRPr="00D948C1">
              <w:rPr>
                <w:szCs w:val="24"/>
              </w:rPr>
              <w:t xml:space="preserve"> 4,553 </w:t>
            </w:r>
          </w:p>
        </w:tc>
        <w:tc>
          <w:tcPr>
            <w:tcW w:w="1276" w:type="dxa"/>
            <w:shd w:val="clear" w:color="auto" w:fill="auto"/>
          </w:tcPr>
          <w:p w14:paraId="5378E087" w14:textId="1C8FC0B7" w:rsidR="00915C49" w:rsidRPr="00D948C1" w:rsidRDefault="00915C49" w:rsidP="006C0086">
            <w:pPr>
              <w:tabs>
                <w:tab w:val="decimal" w:pos="648"/>
              </w:tabs>
              <w:spacing w:line="276" w:lineRule="auto"/>
              <w:jc w:val="right"/>
              <w:rPr>
                <w:szCs w:val="24"/>
              </w:rPr>
            </w:pPr>
            <w:r w:rsidRPr="00D948C1">
              <w:rPr>
                <w:szCs w:val="24"/>
              </w:rPr>
              <w:t xml:space="preserve"> 3,828 </w:t>
            </w:r>
          </w:p>
        </w:tc>
        <w:tc>
          <w:tcPr>
            <w:tcW w:w="1134" w:type="dxa"/>
            <w:shd w:val="clear" w:color="auto" w:fill="auto"/>
          </w:tcPr>
          <w:p w14:paraId="5F4A7495" w14:textId="3EF61DE5" w:rsidR="00915C49" w:rsidRPr="00D948C1" w:rsidRDefault="00915C49" w:rsidP="006C0086">
            <w:pPr>
              <w:tabs>
                <w:tab w:val="decimal" w:pos="648"/>
                <w:tab w:val="decimal" w:pos="738"/>
              </w:tabs>
              <w:spacing w:line="276" w:lineRule="auto"/>
              <w:jc w:val="right"/>
              <w:rPr>
                <w:szCs w:val="24"/>
              </w:rPr>
            </w:pPr>
            <w:r w:rsidRPr="00D948C1">
              <w:rPr>
                <w:szCs w:val="24"/>
              </w:rPr>
              <w:t xml:space="preserve"> 13,692 </w:t>
            </w:r>
          </w:p>
        </w:tc>
        <w:tc>
          <w:tcPr>
            <w:tcW w:w="1842" w:type="dxa"/>
            <w:shd w:val="clear" w:color="auto" w:fill="auto"/>
          </w:tcPr>
          <w:p w14:paraId="4667544A" w14:textId="40FEEB2A" w:rsidR="00915C49" w:rsidRPr="00D948C1" w:rsidRDefault="00915C49" w:rsidP="006C0086">
            <w:pPr>
              <w:tabs>
                <w:tab w:val="decimal" w:pos="648"/>
                <w:tab w:val="decimal" w:pos="738"/>
                <w:tab w:val="decimal" w:pos="1046"/>
              </w:tabs>
              <w:spacing w:line="276" w:lineRule="auto"/>
              <w:jc w:val="right"/>
              <w:rPr>
                <w:szCs w:val="24"/>
              </w:rPr>
            </w:pPr>
            <w:r w:rsidRPr="00D948C1">
              <w:rPr>
                <w:szCs w:val="24"/>
              </w:rPr>
              <w:t xml:space="preserve"> 8,186 </w:t>
            </w:r>
          </w:p>
        </w:tc>
      </w:tr>
      <w:tr w:rsidR="00915C49" w:rsidRPr="00D948C1" w14:paraId="4AECCF04" w14:textId="77777777" w:rsidTr="00C865B2">
        <w:tc>
          <w:tcPr>
            <w:tcW w:w="2481" w:type="dxa"/>
            <w:shd w:val="clear" w:color="auto" w:fill="auto"/>
            <w:vAlign w:val="bottom"/>
          </w:tcPr>
          <w:p w14:paraId="3F06D334" w14:textId="77777777" w:rsidR="00915C49" w:rsidRPr="00D948C1" w:rsidRDefault="00915C49" w:rsidP="006C0086">
            <w:pPr>
              <w:pStyle w:val="BodyTextIndent"/>
              <w:spacing w:line="276" w:lineRule="auto"/>
              <w:ind w:left="0"/>
              <w:rPr>
                <w:szCs w:val="24"/>
                <w:lang w:val="en-GB"/>
              </w:rPr>
            </w:pPr>
            <w:r w:rsidRPr="00D948C1">
              <w:rPr>
                <w:szCs w:val="24"/>
                <w:lang w:val="en-GB"/>
              </w:rPr>
              <w:t>Payable within 11-15 years</w:t>
            </w:r>
          </w:p>
        </w:tc>
        <w:tc>
          <w:tcPr>
            <w:tcW w:w="1439" w:type="dxa"/>
            <w:shd w:val="clear" w:color="auto" w:fill="auto"/>
          </w:tcPr>
          <w:p w14:paraId="03E14BBC" w14:textId="59F1D2B4" w:rsidR="00915C49" w:rsidRPr="00D948C1" w:rsidRDefault="00915C49" w:rsidP="006C0086">
            <w:pPr>
              <w:tabs>
                <w:tab w:val="decimal" w:pos="648"/>
                <w:tab w:val="decimal" w:pos="738"/>
              </w:tabs>
              <w:spacing w:line="276" w:lineRule="auto"/>
              <w:jc w:val="right"/>
              <w:rPr>
                <w:szCs w:val="24"/>
              </w:rPr>
            </w:pPr>
            <w:r w:rsidRPr="00D948C1">
              <w:rPr>
                <w:szCs w:val="24"/>
              </w:rPr>
              <w:t xml:space="preserve"> 3,237 </w:t>
            </w:r>
          </w:p>
        </w:tc>
        <w:tc>
          <w:tcPr>
            <w:tcW w:w="2067" w:type="dxa"/>
            <w:shd w:val="clear" w:color="auto" w:fill="auto"/>
          </w:tcPr>
          <w:p w14:paraId="7523169A" w14:textId="381D42B7" w:rsidR="00915C49" w:rsidRPr="00D948C1" w:rsidRDefault="00915C49" w:rsidP="006C0086">
            <w:pPr>
              <w:tabs>
                <w:tab w:val="decimal" w:pos="648"/>
                <w:tab w:val="decimal" w:pos="738"/>
              </w:tabs>
              <w:spacing w:line="276" w:lineRule="auto"/>
              <w:jc w:val="right"/>
              <w:rPr>
                <w:szCs w:val="24"/>
              </w:rPr>
            </w:pPr>
            <w:r w:rsidRPr="00D948C1">
              <w:rPr>
                <w:szCs w:val="24"/>
              </w:rPr>
              <w:t xml:space="preserve"> 4,065 </w:t>
            </w:r>
          </w:p>
        </w:tc>
        <w:tc>
          <w:tcPr>
            <w:tcW w:w="1276" w:type="dxa"/>
            <w:shd w:val="clear" w:color="auto" w:fill="auto"/>
          </w:tcPr>
          <w:p w14:paraId="5E2711B2" w14:textId="5AFF2DE1" w:rsidR="00915C49" w:rsidRPr="00D948C1" w:rsidRDefault="00915C49" w:rsidP="006C0086">
            <w:pPr>
              <w:tabs>
                <w:tab w:val="decimal" w:pos="648"/>
              </w:tabs>
              <w:spacing w:line="276" w:lineRule="auto"/>
              <w:jc w:val="right"/>
              <w:rPr>
                <w:szCs w:val="24"/>
              </w:rPr>
            </w:pPr>
            <w:r w:rsidRPr="00D948C1">
              <w:rPr>
                <w:szCs w:val="24"/>
              </w:rPr>
              <w:t xml:space="preserve"> 1,500 </w:t>
            </w:r>
          </w:p>
        </w:tc>
        <w:tc>
          <w:tcPr>
            <w:tcW w:w="1134" w:type="dxa"/>
            <w:shd w:val="clear" w:color="auto" w:fill="auto"/>
          </w:tcPr>
          <w:p w14:paraId="1BDECE54" w14:textId="523A727E" w:rsidR="00915C49" w:rsidRPr="00D948C1" w:rsidRDefault="00915C49" w:rsidP="006C0086">
            <w:pPr>
              <w:tabs>
                <w:tab w:val="decimal" w:pos="648"/>
                <w:tab w:val="decimal" w:pos="738"/>
              </w:tabs>
              <w:spacing w:line="276" w:lineRule="auto"/>
              <w:jc w:val="right"/>
              <w:rPr>
                <w:szCs w:val="24"/>
              </w:rPr>
            </w:pPr>
            <w:r w:rsidRPr="00D948C1">
              <w:rPr>
                <w:szCs w:val="24"/>
              </w:rPr>
              <w:t xml:space="preserve"> 8,802 </w:t>
            </w:r>
          </w:p>
        </w:tc>
        <w:tc>
          <w:tcPr>
            <w:tcW w:w="1842" w:type="dxa"/>
            <w:shd w:val="clear" w:color="auto" w:fill="auto"/>
          </w:tcPr>
          <w:p w14:paraId="4D9E3F3C" w14:textId="6F722A18" w:rsidR="00915C49" w:rsidRPr="00D948C1" w:rsidRDefault="00915C49" w:rsidP="006C0086">
            <w:pPr>
              <w:tabs>
                <w:tab w:val="decimal" w:pos="648"/>
                <w:tab w:val="decimal" w:pos="738"/>
                <w:tab w:val="decimal" w:pos="1046"/>
              </w:tabs>
              <w:spacing w:line="276" w:lineRule="auto"/>
              <w:jc w:val="right"/>
              <w:rPr>
                <w:szCs w:val="24"/>
              </w:rPr>
            </w:pPr>
            <w:r w:rsidRPr="00D948C1">
              <w:rPr>
                <w:szCs w:val="24"/>
              </w:rPr>
              <w:t xml:space="preserve"> 5,371 </w:t>
            </w:r>
          </w:p>
        </w:tc>
      </w:tr>
      <w:tr w:rsidR="006023F6" w:rsidRPr="00D948C1" w14:paraId="40BC5C3B" w14:textId="77777777" w:rsidTr="00DD63D7">
        <w:tc>
          <w:tcPr>
            <w:tcW w:w="2481" w:type="dxa"/>
            <w:shd w:val="clear" w:color="auto" w:fill="auto"/>
            <w:vAlign w:val="bottom"/>
          </w:tcPr>
          <w:p w14:paraId="79CEADB5" w14:textId="77777777" w:rsidR="006023F6" w:rsidRPr="00D948C1" w:rsidRDefault="006023F6" w:rsidP="006C0086">
            <w:pPr>
              <w:pStyle w:val="BodyTextIndent"/>
              <w:spacing w:line="276" w:lineRule="auto"/>
              <w:ind w:left="0"/>
              <w:rPr>
                <w:szCs w:val="24"/>
                <w:lang w:val="en-GB"/>
              </w:rPr>
            </w:pPr>
            <w:r w:rsidRPr="00D948C1">
              <w:rPr>
                <w:szCs w:val="24"/>
                <w:lang w:val="en-GB"/>
              </w:rPr>
              <w:t>Payable within 16-20 years</w:t>
            </w:r>
          </w:p>
        </w:tc>
        <w:tc>
          <w:tcPr>
            <w:tcW w:w="1439" w:type="dxa"/>
            <w:shd w:val="clear" w:color="auto" w:fill="auto"/>
            <w:vAlign w:val="center"/>
          </w:tcPr>
          <w:p w14:paraId="08EAF01E" w14:textId="3A481E94" w:rsidR="006023F6" w:rsidRPr="00D948C1" w:rsidRDefault="009B1FFC" w:rsidP="006C0086">
            <w:pPr>
              <w:tabs>
                <w:tab w:val="decimal" w:pos="648"/>
                <w:tab w:val="decimal" w:pos="738"/>
              </w:tabs>
              <w:spacing w:line="276" w:lineRule="auto"/>
              <w:jc w:val="right"/>
              <w:rPr>
                <w:szCs w:val="24"/>
              </w:rPr>
            </w:pPr>
            <w:r w:rsidRPr="00D948C1">
              <w:rPr>
                <w:szCs w:val="24"/>
              </w:rPr>
              <w:t>-</w:t>
            </w:r>
          </w:p>
        </w:tc>
        <w:tc>
          <w:tcPr>
            <w:tcW w:w="2067" w:type="dxa"/>
            <w:shd w:val="clear" w:color="auto" w:fill="auto"/>
            <w:vAlign w:val="center"/>
          </w:tcPr>
          <w:p w14:paraId="380A7003" w14:textId="7BC9F7A4" w:rsidR="006023F6" w:rsidRPr="00D948C1" w:rsidRDefault="009B1FFC" w:rsidP="006C0086">
            <w:pPr>
              <w:tabs>
                <w:tab w:val="decimal" w:pos="648"/>
                <w:tab w:val="decimal" w:pos="738"/>
              </w:tabs>
              <w:spacing w:line="276" w:lineRule="auto"/>
              <w:jc w:val="right"/>
              <w:rPr>
                <w:szCs w:val="24"/>
              </w:rPr>
            </w:pPr>
            <w:r w:rsidRPr="00D948C1">
              <w:rPr>
                <w:szCs w:val="24"/>
              </w:rPr>
              <w:t>-</w:t>
            </w:r>
          </w:p>
        </w:tc>
        <w:tc>
          <w:tcPr>
            <w:tcW w:w="1276" w:type="dxa"/>
            <w:shd w:val="clear" w:color="auto" w:fill="auto"/>
            <w:vAlign w:val="center"/>
          </w:tcPr>
          <w:p w14:paraId="0377F703" w14:textId="0E2E53A7" w:rsidR="006023F6" w:rsidRPr="00D948C1" w:rsidRDefault="009B1FFC" w:rsidP="006C0086">
            <w:pPr>
              <w:tabs>
                <w:tab w:val="decimal" w:pos="648"/>
              </w:tabs>
              <w:spacing w:line="276" w:lineRule="auto"/>
              <w:jc w:val="right"/>
              <w:rPr>
                <w:szCs w:val="24"/>
              </w:rPr>
            </w:pPr>
            <w:r w:rsidRPr="00D948C1">
              <w:rPr>
                <w:szCs w:val="24"/>
              </w:rPr>
              <w:t>-</w:t>
            </w:r>
          </w:p>
        </w:tc>
        <w:tc>
          <w:tcPr>
            <w:tcW w:w="1134" w:type="dxa"/>
            <w:shd w:val="clear" w:color="auto" w:fill="auto"/>
            <w:vAlign w:val="center"/>
          </w:tcPr>
          <w:p w14:paraId="2C4BF25A" w14:textId="224BF7ED" w:rsidR="006023F6" w:rsidRPr="00D948C1" w:rsidRDefault="009B1FFC" w:rsidP="006C0086">
            <w:pPr>
              <w:tabs>
                <w:tab w:val="decimal" w:pos="648"/>
                <w:tab w:val="decimal" w:pos="738"/>
              </w:tabs>
              <w:spacing w:line="276" w:lineRule="auto"/>
              <w:jc w:val="right"/>
              <w:rPr>
                <w:szCs w:val="24"/>
              </w:rPr>
            </w:pPr>
            <w:r w:rsidRPr="00D948C1">
              <w:rPr>
                <w:szCs w:val="24"/>
              </w:rPr>
              <w:t>-</w:t>
            </w:r>
          </w:p>
        </w:tc>
        <w:tc>
          <w:tcPr>
            <w:tcW w:w="1842" w:type="dxa"/>
            <w:shd w:val="clear" w:color="auto" w:fill="auto"/>
            <w:vAlign w:val="center"/>
          </w:tcPr>
          <w:p w14:paraId="789D2C60" w14:textId="5772F2CC" w:rsidR="006023F6" w:rsidRPr="00D948C1" w:rsidRDefault="009B1FFC" w:rsidP="006C0086">
            <w:pPr>
              <w:tabs>
                <w:tab w:val="decimal" w:pos="648"/>
                <w:tab w:val="decimal" w:pos="738"/>
                <w:tab w:val="decimal" w:pos="1046"/>
              </w:tabs>
              <w:spacing w:line="276" w:lineRule="auto"/>
              <w:jc w:val="right"/>
              <w:rPr>
                <w:szCs w:val="24"/>
              </w:rPr>
            </w:pPr>
            <w:r w:rsidRPr="00D948C1">
              <w:rPr>
                <w:szCs w:val="24"/>
              </w:rPr>
              <w:t>-</w:t>
            </w:r>
          </w:p>
        </w:tc>
      </w:tr>
      <w:tr w:rsidR="00915C49" w:rsidRPr="00D948C1" w14:paraId="6C2262DE" w14:textId="77777777" w:rsidTr="000947E1">
        <w:tc>
          <w:tcPr>
            <w:tcW w:w="2481" w:type="dxa"/>
            <w:shd w:val="clear" w:color="auto" w:fill="auto"/>
            <w:vAlign w:val="bottom"/>
          </w:tcPr>
          <w:p w14:paraId="7A65FD0A" w14:textId="77777777" w:rsidR="00915C49" w:rsidRPr="00D948C1" w:rsidRDefault="00915C49" w:rsidP="006C0086">
            <w:pPr>
              <w:pStyle w:val="BodyTextIndent"/>
              <w:spacing w:line="276" w:lineRule="auto"/>
              <w:ind w:left="0"/>
              <w:rPr>
                <w:szCs w:val="24"/>
                <w:lang w:val="en-GB"/>
              </w:rPr>
            </w:pPr>
            <w:r w:rsidRPr="00D948C1">
              <w:rPr>
                <w:szCs w:val="24"/>
                <w:lang w:val="en-GB"/>
              </w:rPr>
              <w:t>Total</w:t>
            </w:r>
          </w:p>
        </w:tc>
        <w:tc>
          <w:tcPr>
            <w:tcW w:w="1439" w:type="dxa"/>
            <w:shd w:val="clear" w:color="auto" w:fill="auto"/>
          </w:tcPr>
          <w:p w14:paraId="35A95B6D" w14:textId="1A36CF5C" w:rsidR="00915C49" w:rsidRPr="00D948C1" w:rsidRDefault="00915C49" w:rsidP="006C0086">
            <w:pPr>
              <w:tabs>
                <w:tab w:val="decimal" w:pos="648"/>
                <w:tab w:val="decimal" w:pos="738"/>
              </w:tabs>
              <w:spacing w:line="276" w:lineRule="auto"/>
              <w:jc w:val="right"/>
              <w:rPr>
                <w:szCs w:val="24"/>
              </w:rPr>
            </w:pPr>
            <w:r w:rsidRPr="00D948C1">
              <w:t xml:space="preserve"> 13,667 </w:t>
            </w:r>
          </w:p>
        </w:tc>
        <w:tc>
          <w:tcPr>
            <w:tcW w:w="2067" w:type="dxa"/>
            <w:shd w:val="clear" w:color="auto" w:fill="auto"/>
          </w:tcPr>
          <w:p w14:paraId="3D252290" w14:textId="611A24D1" w:rsidR="00915C49" w:rsidRPr="00D948C1" w:rsidRDefault="00915C49" w:rsidP="006C0086">
            <w:pPr>
              <w:tabs>
                <w:tab w:val="decimal" w:pos="648"/>
                <w:tab w:val="decimal" w:pos="738"/>
              </w:tabs>
              <w:spacing w:line="276" w:lineRule="auto"/>
              <w:jc w:val="right"/>
              <w:rPr>
                <w:szCs w:val="24"/>
              </w:rPr>
            </w:pPr>
            <w:r w:rsidRPr="00D948C1">
              <w:t xml:space="preserve"> 11,868 </w:t>
            </w:r>
          </w:p>
        </w:tc>
        <w:tc>
          <w:tcPr>
            <w:tcW w:w="1276" w:type="dxa"/>
            <w:shd w:val="clear" w:color="auto" w:fill="auto"/>
          </w:tcPr>
          <w:p w14:paraId="54ABD078" w14:textId="71D40FCA" w:rsidR="00915C49" w:rsidRPr="00D948C1" w:rsidRDefault="00915C49" w:rsidP="006C0086">
            <w:pPr>
              <w:tabs>
                <w:tab w:val="decimal" w:pos="648"/>
              </w:tabs>
              <w:spacing w:line="276" w:lineRule="auto"/>
              <w:jc w:val="right"/>
              <w:rPr>
                <w:szCs w:val="24"/>
              </w:rPr>
            </w:pPr>
            <w:r w:rsidRPr="00D948C1">
              <w:t xml:space="preserve"> 10,959 </w:t>
            </w:r>
          </w:p>
        </w:tc>
        <w:tc>
          <w:tcPr>
            <w:tcW w:w="1134" w:type="dxa"/>
            <w:shd w:val="clear" w:color="auto" w:fill="auto"/>
          </w:tcPr>
          <w:p w14:paraId="5E69637C" w14:textId="05C60301" w:rsidR="00915C49" w:rsidRPr="00D948C1" w:rsidRDefault="00915C49" w:rsidP="006C0086">
            <w:pPr>
              <w:tabs>
                <w:tab w:val="decimal" w:pos="648"/>
              </w:tabs>
              <w:spacing w:line="276" w:lineRule="auto"/>
              <w:jc w:val="right"/>
              <w:rPr>
                <w:szCs w:val="24"/>
              </w:rPr>
            </w:pPr>
            <w:r w:rsidRPr="00D948C1">
              <w:t xml:space="preserve"> 36,494 </w:t>
            </w:r>
          </w:p>
        </w:tc>
        <w:tc>
          <w:tcPr>
            <w:tcW w:w="1842" w:type="dxa"/>
            <w:shd w:val="clear" w:color="auto" w:fill="auto"/>
          </w:tcPr>
          <w:p w14:paraId="0C1A685D" w14:textId="4CDFB83A" w:rsidR="00915C49" w:rsidRPr="00D948C1" w:rsidRDefault="00915C49" w:rsidP="006C0086">
            <w:pPr>
              <w:tabs>
                <w:tab w:val="decimal" w:pos="648"/>
                <w:tab w:val="decimal" w:pos="1046"/>
              </w:tabs>
              <w:spacing w:line="276" w:lineRule="auto"/>
              <w:jc w:val="right"/>
              <w:rPr>
                <w:szCs w:val="24"/>
              </w:rPr>
            </w:pPr>
            <w:r w:rsidRPr="00D948C1">
              <w:t xml:space="preserve"> 22,225 </w:t>
            </w:r>
          </w:p>
        </w:tc>
      </w:tr>
    </w:tbl>
    <w:p w14:paraId="7BE4AC41" w14:textId="77777777" w:rsidR="00A43D8F" w:rsidRPr="00D948C1" w:rsidRDefault="00A43D8F" w:rsidP="006C0086">
      <w:pPr>
        <w:spacing w:line="276" w:lineRule="auto"/>
        <w:jc w:val="both"/>
        <w:rPr>
          <w:szCs w:val="24"/>
        </w:rPr>
      </w:pPr>
    </w:p>
    <w:p w14:paraId="3D39E7E0" w14:textId="503E2A2C" w:rsidR="0061700B" w:rsidRPr="00D948C1" w:rsidRDefault="0061700B" w:rsidP="006C0086">
      <w:pPr>
        <w:spacing w:line="276" w:lineRule="auto"/>
        <w:ind w:left="720"/>
        <w:rPr>
          <w:szCs w:val="24"/>
        </w:rPr>
      </w:pPr>
      <w:r w:rsidRPr="00D948C1">
        <w:rPr>
          <w:szCs w:val="24"/>
        </w:rPr>
        <w:t xml:space="preserve">Although the payments made to the contractor are described as unitary payments, they have been calculated to compensate the contractor for the fair value of the services they provide, the capital expenditure incurred and interest payable </w:t>
      </w:r>
      <w:r w:rsidR="00B1753C" w:rsidRPr="00D948C1">
        <w:rPr>
          <w:szCs w:val="24"/>
        </w:rPr>
        <w:t>over the life of the contract</w:t>
      </w:r>
      <w:r w:rsidRPr="00D948C1">
        <w:rPr>
          <w:szCs w:val="24"/>
        </w:rPr>
        <w:t>. The liability outstanding to pay the contractor for capital expenditure incurred is as follows:</w:t>
      </w:r>
    </w:p>
    <w:p w14:paraId="71815503" w14:textId="77777777" w:rsidR="0061700B" w:rsidRPr="00D948C1" w:rsidRDefault="0061700B" w:rsidP="006C0086">
      <w:pPr>
        <w:spacing w:line="276" w:lineRule="auto"/>
        <w:ind w:left="720"/>
        <w:jc w:val="both"/>
        <w:rPr>
          <w:sz w:val="22"/>
        </w:rPr>
      </w:pPr>
    </w:p>
    <w:tbl>
      <w:tblPr>
        <w:tblW w:w="90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84"/>
        <w:gridCol w:w="1855"/>
      </w:tblGrid>
      <w:tr w:rsidR="00BA53E7" w:rsidRPr="00D948C1" w14:paraId="517B30A0" w14:textId="77777777" w:rsidTr="00611673">
        <w:trPr>
          <w:tblHeader/>
        </w:trPr>
        <w:tc>
          <w:tcPr>
            <w:tcW w:w="5245" w:type="dxa"/>
            <w:shd w:val="clear" w:color="auto" w:fill="BD2716"/>
          </w:tcPr>
          <w:p w14:paraId="09A74FBA" w14:textId="77777777" w:rsidR="00BA53E7" w:rsidRPr="00D948C1" w:rsidRDefault="00BA53E7" w:rsidP="006C0086">
            <w:pPr>
              <w:spacing w:line="276" w:lineRule="auto"/>
              <w:jc w:val="both"/>
              <w:rPr>
                <w:color w:val="FFFFFF" w:themeColor="background1"/>
                <w:szCs w:val="24"/>
              </w:rPr>
            </w:pPr>
          </w:p>
        </w:tc>
        <w:tc>
          <w:tcPr>
            <w:tcW w:w="1984" w:type="dxa"/>
            <w:shd w:val="clear" w:color="auto" w:fill="BD2716"/>
            <w:vAlign w:val="center"/>
          </w:tcPr>
          <w:p w14:paraId="1D9CBE26" w14:textId="54BE237C" w:rsidR="00BA53E7" w:rsidRPr="00D948C1" w:rsidRDefault="00670DB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w:t>
            </w:r>
            <w:r w:rsidR="008F3F7F" w:rsidRPr="00D948C1">
              <w:rPr>
                <w:color w:val="FFFFFF" w:themeColor="background1"/>
                <w:szCs w:val="24"/>
                <w:lang w:val="en-GB"/>
              </w:rPr>
              <w:t>3</w:t>
            </w:r>
            <w:r w:rsidRPr="00D948C1">
              <w:rPr>
                <w:color w:val="FFFFFF" w:themeColor="background1"/>
                <w:szCs w:val="24"/>
                <w:lang w:val="en-GB"/>
              </w:rPr>
              <w:t>/2</w:t>
            </w:r>
            <w:r w:rsidR="008F3F7F" w:rsidRPr="00D948C1">
              <w:rPr>
                <w:color w:val="FFFFFF" w:themeColor="background1"/>
                <w:szCs w:val="24"/>
                <w:lang w:val="en-GB"/>
              </w:rPr>
              <w:t>4</w:t>
            </w:r>
          </w:p>
          <w:p w14:paraId="72AA3AF4" w14:textId="4DBC5745" w:rsidR="00C67044" w:rsidRPr="00D948C1" w:rsidRDefault="00C67044"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855" w:type="dxa"/>
            <w:shd w:val="clear" w:color="auto" w:fill="BD2716"/>
            <w:vAlign w:val="center"/>
          </w:tcPr>
          <w:p w14:paraId="6155FAC5" w14:textId="1F65454B" w:rsidR="00BA53E7" w:rsidRPr="00D948C1" w:rsidRDefault="00BA53E7"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w:t>
            </w:r>
            <w:r w:rsidR="008F3F7F" w:rsidRPr="00D948C1">
              <w:rPr>
                <w:color w:val="FFFFFF" w:themeColor="background1"/>
                <w:szCs w:val="24"/>
                <w:lang w:val="en-GB"/>
              </w:rPr>
              <w:t>2</w:t>
            </w:r>
            <w:r w:rsidRPr="00D948C1">
              <w:rPr>
                <w:color w:val="FFFFFF" w:themeColor="background1"/>
                <w:szCs w:val="24"/>
                <w:lang w:val="en-GB"/>
              </w:rPr>
              <w:t>/2</w:t>
            </w:r>
            <w:r w:rsidR="008F3F7F" w:rsidRPr="00D948C1">
              <w:rPr>
                <w:color w:val="FFFFFF" w:themeColor="background1"/>
                <w:szCs w:val="24"/>
                <w:lang w:val="en-GB"/>
              </w:rPr>
              <w:t>3</w:t>
            </w:r>
          </w:p>
          <w:p w14:paraId="285EF060" w14:textId="368957FF" w:rsidR="00C67044" w:rsidRPr="00D948C1" w:rsidRDefault="00C67044"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8F3F7F" w:rsidRPr="00D948C1" w14:paraId="488B905B" w14:textId="77777777" w:rsidTr="00DD63D7">
        <w:tc>
          <w:tcPr>
            <w:tcW w:w="5245" w:type="dxa"/>
            <w:shd w:val="clear" w:color="auto" w:fill="auto"/>
          </w:tcPr>
          <w:p w14:paraId="1FF56D3D" w14:textId="77777777" w:rsidR="008F3F7F" w:rsidRPr="00D948C1" w:rsidRDefault="008F3F7F" w:rsidP="006C0086">
            <w:pPr>
              <w:spacing w:line="276" w:lineRule="auto"/>
              <w:rPr>
                <w:szCs w:val="24"/>
              </w:rPr>
            </w:pPr>
            <w:r w:rsidRPr="00D948C1">
              <w:rPr>
                <w:szCs w:val="24"/>
              </w:rPr>
              <w:t>Balance outstanding at the start of the year</w:t>
            </w:r>
          </w:p>
        </w:tc>
        <w:tc>
          <w:tcPr>
            <w:tcW w:w="1984" w:type="dxa"/>
            <w:shd w:val="clear" w:color="auto" w:fill="auto"/>
            <w:vAlign w:val="center"/>
          </w:tcPr>
          <w:p w14:paraId="256C7309" w14:textId="562B8502" w:rsidR="008F3F7F" w:rsidRPr="00D948C1" w:rsidRDefault="00856724" w:rsidP="006C0086">
            <w:pPr>
              <w:tabs>
                <w:tab w:val="decimal" w:pos="648"/>
                <w:tab w:val="decimal" w:pos="738"/>
              </w:tabs>
              <w:spacing w:line="276" w:lineRule="auto"/>
              <w:jc w:val="right"/>
              <w:rPr>
                <w:szCs w:val="24"/>
              </w:rPr>
            </w:pPr>
            <w:r w:rsidRPr="00D948C1">
              <w:rPr>
                <w:szCs w:val="24"/>
              </w:rPr>
              <w:t>12,351</w:t>
            </w:r>
          </w:p>
        </w:tc>
        <w:tc>
          <w:tcPr>
            <w:tcW w:w="1855" w:type="dxa"/>
            <w:shd w:val="clear" w:color="auto" w:fill="auto"/>
            <w:vAlign w:val="center"/>
          </w:tcPr>
          <w:p w14:paraId="15F244E1" w14:textId="591F709D" w:rsidR="008F3F7F" w:rsidRPr="00D948C1" w:rsidRDefault="008F3F7F" w:rsidP="006C0086">
            <w:pPr>
              <w:tabs>
                <w:tab w:val="decimal" w:pos="648"/>
                <w:tab w:val="decimal" w:pos="738"/>
              </w:tabs>
              <w:spacing w:line="276" w:lineRule="auto"/>
              <w:jc w:val="right"/>
              <w:rPr>
                <w:szCs w:val="24"/>
              </w:rPr>
            </w:pPr>
            <w:r w:rsidRPr="00D948C1">
              <w:rPr>
                <w:szCs w:val="24"/>
              </w:rPr>
              <w:t>12,795</w:t>
            </w:r>
          </w:p>
        </w:tc>
      </w:tr>
      <w:tr w:rsidR="008F3F7F" w:rsidRPr="00D948C1" w14:paraId="3A357D1B" w14:textId="77777777" w:rsidTr="00DD63D7">
        <w:tc>
          <w:tcPr>
            <w:tcW w:w="5245" w:type="dxa"/>
            <w:shd w:val="clear" w:color="auto" w:fill="auto"/>
          </w:tcPr>
          <w:p w14:paraId="2D2DCD46" w14:textId="77777777" w:rsidR="008F3F7F" w:rsidRPr="00D948C1" w:rsidRDefault="008F3F7F" w:rsidP="006C0086">
            <w:pPr>
              <w:spacing w:line="276" w:lineRule="auto"/>
              <w:rPr>
                <w:szCs w:val="24"/>
              </w:rPr>
            </w:pPr>
            <w:r w:rsidRPr="00D948C1">
              <w:rPr>
                <w:szCs w:val="24"/>
              </w:rPr>
              <w:t>Payments during the year</w:t>
            </w:r>
          </w:p>
        </w:tc>
        <w:tc>
          <w:tcPr>
            <w:tcW w:w="1984" w:type="dxa"/>
            <w:shd w:val="clear" w:color="auto" w:fill="auto"/>
            <w:vAlign w:val="center"/>
          </w:tcPr>
          <w:p w14:paraId="5128C494" w14:textId="5774280C" w:rsidR="008F3F7F" w:rsidRPr="00D948C1" w:rsidRDefault="008F3F7F" w:rsidP="006C0086">
            <w:pPr>
              <w:tabs>
                <w:tab w:val="decimal" w:pos="648"/>
                <w:tab w:val="decimal" w:pos="738"/>
              </w:tabs>
              <w:spacing w:line="276" w:lineRule="auto"/>
              <w:jc w:val="right"/>
              <w:rPr>
                <w:szCs w:val="24"/>
              </w:rPr>
            </w:pPr>
            <w:r w:rsidRPr="00D948C1">
              <w:rPr>
                <w:szCs w:val="24"/>
              </w:rPr>
              <w:t>(4</w:t>
            </w:r>
            <w:r w:rsidR="00915C49" w:rsidRPr="00D948C1">
              <w:rPr>
                <w:szCs w:val="24"/>
              </w:rPr>
              <w:t>83</w:t>
            </w:r>
            <w:r w:rsidRPr="00D948C1">
              <w:rPr>
                <w:szCs w:val="24"/>
              </w:rPr>
              <w:t>)</w:t>
            </w:r>
          </w:p>
        </w:tc>
        <w:tc>
          <w:tcPr>
            <w:tcW w:w="1855" w:type="dxa"/>
            <w:shd w:val="clear" w:color="auto" w:fill="auto"/>
            <w:vAlign w:val="center"/>
          </w:tcPr>
          <w:p w14:paraId="34EB73E0" w14:textId="1E998C47" w:rsidR="008F3F7F" w:rsidRPr="00D948C1" w:rsidRDefault="008F3F7F" w:rsidP="006C0086">
            <w:pPr>
              <w:tabs>
                <w:tab w:val="decimal" w:pos="648"/>
                <w:tab w:val="decimal" w:pos="738"/>
              </w:tabs>
              <w:spacing w:line="276" w:lineRule="auto"/>
              <w:jc w:val="right"/>
              <w:rPr>
                <w:szCs w:val="24"/>
              </w:rPr>
            </w:pPr>
            <w:r w:rsidRPr="00D948C1">
              <w:rPr>
                <w:szCs w:val="24"/>
              </w:rPr>
              <w:t>(444)</w:t>
            </w:r>
          </w:p>
        </w:tc>
      </w:tr>
      <w:tr w:rsidR="008F3F7F" w:rsidRPr="00D948C1" w14:paraId="713B56E3" w14:textId="77777777" w:rsidTr="00DD63D7">
        <w:tc>
          <w:tcPr>
            <w:tcW w:w="5245" w:type="dxa"/>
            <w:shd w:val="clear" w:color="auto" w:fill="auto"/>
          </w:tcPr>
          <w:p w14:paraId="310D5551" w14:textId="77777777" w:rsidR="008F3F7F" w:rsidRPr="00D948C1" w:rsidRDefault="008F3F7F" w:rsidP="006C0086">
            <w:pPr>
              <w:spacing w:line="276" w:lineRule="auto"/>
              <w:rPr>
                <w:szCs w:val="24"/>
              </w:rPr>
            </w:pPr>
            <w:r w:rsidRPr="00D948C1">
              <w:rPr>
                <w:szCs w:val="24"/>
              </w:rPr>
              <w:t>Balance outstanding at year end</w:t>
            </w:r>
          </w:p>
        </w:tc>
        <w:tc>
          <w:tcPr>
            <w:tcW w:w="1984" w:type="dxa"/>
            <w:shd w:val="clear" w:color="auto" w:fill="auto"/>
            <w:vAlign w:val="center"/>
          </w:tcPr>
          <w:p w14:paraId="678EDC77" w14:textId="46299755" w:rsidR="008F3F7F" w:rsidRPr="00D948C1" w:rsidRDefault="008F3F7F" w:rsidP="006C0086">
            <w:pPr>
              <w:tabs>
                <w:tab w:val="decimal" w:pos="648"/>
                <w:tab w:val="decimal" w:pos="738"/>
              </w:tabs>
              <w:spacing w:line="276" w:lineRule="auto"/>
              <w:jc w:val="right"/>
              <w:rPr>
                <w:szCs w:val="24"/>
              </w:rPr>
            </w:pPr>
            <w:r w:rsidRPr="00D948C1">
              <w:rPr>
                <w:szCs w:val="24"/>
              </w:rPr>
              <w:t>1</w:t>
            </w:r>
            <w:r w:rsidR="00915C49" w:rsidRPr="00D948C1">
              <w:rPr>
                <w:szCs w:val="24"/>
              </w:rPr>
              <w:t>1,868</w:t>
            </w:r>
          </w:p>
        </w:tc>
        <w:tc>
          <w:tcPr>
            <w:tcW w:w="1855" w:type="dxa"/>
            <w:shd w:val="clear" w:color="auto" w:fill="auto"/>
            <w:vAlign w:val="center"/>
          </w:tcPr>
          <w:p w14:paraId="09455FF0" w14:textId="440A05D6" w:rsidR="008F3F7F" w:rsidRPr="00D948C1" w:rsidRDefault="008F3F7F" w:rsidP="006C0086">
            <w:pPr>
              <w:tabs>
                <w:tab w:val="decimal" w:pos="648"/>
                <w:tab w:val="decimal" w:pos="738"/>
              </w:tabs>
              <w:spacing w:line="276" w:lineRule="auto"/>
              <w:jc w:val="right"/>
              <w:rPr>
                <w:szCs w:val="24"/>
              </w:rPr>
            </w:pPr>
            <w:r w:rsidRPr="00D948C1">
              <w:rPr>
                <w:szCs w:val="24"/>
              </w:rPr>
              <w:t>12,351</w:t>
            </w:r>
          </w:p>
        </w:tc>
      </w:tr>
    </w:tbl>
    <w:p w14:paraId="3429CAB3" w14:textId="7B67C600" w:rsidR="003278CF" w:rsidRPr="00D948C1" w:rsidRDefault="003278CF" w:rsidP="006C0086">
      <w:pPr>
        <w:spacing w:line="276" w:lineRule="auto"/>
        <w:rPr>
          <w:b/>
          <w:szCs w:val="24"/>
        </w:rPr>
      </w:pPr>
    </w:p>
    <w:p w14:paraId="52D3CF4D" w14:textId="6646D895" w:rsidR="00D90216" w:rsidRPr="00D948C1" w:rsidRDefault="001C592E" w:rsidP="006C0086">
      <w:pPr>
        <w:pStyle w:val="Heading2"/>
        <w:spacing w:line="276" w:lineRule="auto"/>
        <w:jc w:val="left"/>
        <w:rPr>
          <w:sz w:val="24"/>
          <w:szCs w:val="24"/>
        </w:rPr>
      </w:pPr>
      <w:bookmarkStart w:id="52" w:name="_Toc171068799"/>
      <w:r w:rsidRPr="00D948C1">
        <w:rPr>
          <w:sz w:val="24"/>
          <w:szCs w:val="24"/>
        </w:rPr>
        <w:t>1</w:t>
      </w:r>
      <w:r w:rsidR="00445D8B" w:rsidRPr="00D948C1">
        <w:rPr>
          <w:sz w:val="24"/>
          <w:szCs w:val="24"/>
        </w:rPr>
        <w:t>5</w:t>
      </w:r>
      <w:r w:rsidR="00D90216" w:rsidRPr="00D948C1">
        <w:rPr>
          <w:sz w:val="24"/>
          <w:szCs w:val="24"/>
        </w:rPr>
        <w:tab/>
      </w:r>
      <w:bookmarkStart w:id="53" w:name="N15"/>
      <w:bookmarkEnd w:id="53"/>
      <w:r w:rsidR="00D90216" w:rsidRPr="00D948C1">
        <w:rPr>
          <w:sz w:val="24"/>
          <w:szCs w:val="24"/>
        </w:rPr>
        <w:t>Net</w:t>
      </w:r>
      <w:r w:rsidR="00F26246" w:rsidRPr="00D948C1">
        <w:rPr>
          <w:sz w:val="24"/>
          <w:szCs w:val="24"/>
        </w:rPr>
        <w:t xml:space="preserve"> </w:t>
      </w:r>
      <w:r w:rsidR="00D90216" w:rsidRPr="00D948C1">
        <w:rPr>
          <w:sz w:val="24"/>
          <w:szCs w:val="24"/>
        </w:rPr>
        <w:t>Liability Related to Local Government and Firefighters’ Pensions Schemes</w:t>
      </w:r>
      <w:bookmarkEnd w:id="52"/>
      <w:r w:rsidR="00D90216" w:rsidRPr="00D948C1">
        <w:rPr>
          <w:sz w:val="24"/>
          <w:szCs w:val="24"/>
        </w:rPr>
        <w:t xml:space="preserve"> </w:t>
      </w:r>
    </w:p>
    <w:p w14:paraId="6E52B345" w14:textId="597C7A7E" w:rsidR="00D90216" w:rsidRPr="00D948C1" w:rsidRDefault="00D90216" w:rsidP="006C0086">
      <w:pPr>
        <w:spacing w:line="276" w:lineRule="auto"/>
      </w:pPr>
      <w:r w:rsidRPr="00D948C1">
        <w:tab/>
      </w:r>
    </w:p>
    <w:p w14:paraId="75B45666" w14:textId="77777777" w:rsidR="00D90216" w:rsidRPr="00D948C1" w:rsidRDefault="00D90216" w:rsidP="006C0086">
      <w:pPr>
        <w:pStyle w:val="BodyTextIndent"/>
        <w:spacing w:line="276" w:lineRule="auto"/>
        <w:rPr>
          <w:szCs w:val="24"/>
        </w:rPr>
      </w:pPr>
      <w:r w:rsidRPr="00D948C1">
        <w:rPr>
          <w:szCs w:val="24"/>
        </w:rPr>
        <w:lastRenderedPageBreak/>
        <w:t xml:space="preserve">During the year the Authority made contributions to the cost of pensions for all employees (except for those who chose not to be members of the scheme) as required by statute. </w:t>
      </w:r>
    </w:p>
    <w:p w14:paraId="22637C78" w14:textId="77777777" w:rsidR="00D90216" w:rsidRPr="00D948C1" w:rsidRDefault="00D90216" w:rsidP="006C0086">
      <w:pPr>
        <w:pStyle w:val="BodyText2"/>
        <w:spacing w:line="276" w:lineRule="auto"/>
        <w:rPr>
          <w:color w:val="auto"/>
          <w:szCs w:val="24"/>
        </w:rPr>
      </w:pPr>
    </w:p>
    <w:p w14:paraId="5DAAD358" w14:textId="77777777" w:rsidR="00D90216" w:rsidRPr="00D948C1" w:rsidRDefault="00D90216" w:rsidP="006C0086">
      <w:pPr>
        <w:pStyle w:val="BodyText2"/>
        <w:spacing w:line="276" w:lineRule="auto"/>
        <w:ind w:left="720"/>
        <w:rPr>
          <w:color w:val="auto"/>
          <w:szCs w:val="24"/>
        </w:rPr>
      </w:pPr>
      <w:r w:rsidRPr="00D948C1">
        <w:rPr>
          <w:color w:val="auto"/>
          <w:szCs w:val="24"/>
        </w:rPr>
        <w:t>The Authority participates in two pension schemes:</w:t>
      </w:r>
    </w:p>
    <w:p w14:paraId="7D7AC94E" w14:textId="77777777" w:rsidR="00D90216" w:rsidRPr="00D948C1" w:rsidRDefault="00D90216" w:rsidP="006C0086">
      <w:pPr>
        <w:spacing w:line="276" w:lineRule="auto"/>
        <w:rPr>
          <w:szCs w:val="24"/>
        </w:rPr>
      </w:pPr>
    </w:p>
    <w:p w14:paraId="6A89BC94" w14:textId="14B44C25" w:rsidR="00D90216" w:rsidRPr="00D948C1" w:rsidRDefault="00D90216" w:rsidP="006C0086">
      <w:pPr>
        <w:pStyle w:val="BodyTextIndent"/>
        <w:spacing w:line="276" w:lineRule="auto"/>
        <w:ind w:left="1440" w:hanging="720"/>
        <w:rPr>
          <w:szCs w:val="24"/>
          <w:lang w:val="en-GB"/>
        </w:rPr>
      </w:pPr>
      <w:proofErr w:type="spellStart"/>
      <w:r w:rsidRPr="00D948C1">
        <w:rPr>
          <w:szCs w:val="24"/>
          <w:lang w:val="en-GB"/>
        </w:rPr>
        <w:t>i</w:t>
      </w:r>
      <w:proofErr w:type="spellEnd"/>
      <w:r w:rsidRPr="00D948C1">
        <w:rPr>
          <w:szCs w:val="24"/>
          <w:lang w:val="en-GB"/>
        </w:rPr>
        <w:t>)</w:t>
      </w:r>
      <w:r w:rsidRPr="00D948C1">
        <w:rPr>
          <w:szCs w:val="24"/>
          <w:lang w:val="en-GB"/>
        </w:rPr>
        <w:tab/>
        <w:t xml:space="preserve">Uniformed Firefighters are covered by an unfunded, defined benefit scheme, meaning that there </w:t>
      </w:r>
      <w:proofErr w:type="gramStart"/>
      <w:r w:rsidRPr="00D948C1">
        <w:rPr>
          <w:szCs w:val="24"/>
          <w:lang w:val="en-GB"/>
        </w:rPr>
        <w:t>are</w:t>
      </w:r>
      <w:proofErr w:type="gramEnd"/>
      <w:r w:rsidRPr="00D948C1">
        <w:rPr>
          <w:szCs w:val="24"/>
          <w:lang w:val="en-GB"/>
        </w:rPr>
        <w:t xml:space="preserve"> no investment assets built up to meet the pensions liabilities and that cash </w:t>
      </w:r>
      <w:r w:rsidR="000A40E3" w:rsidRPr="00D948C1">
        <w:rPr>
          <w:szCs w:val="24"/>
          <w:lang w:val="en-GB"/>
        </w:rPr>
        <w:t>must</w:t>
      </w:r>
      <w:r w:rsidRPr="00D948C1">
        <w:rPr>
          <w:szCs w:val="24"/>
          <w:lang w:val="en-GB"/>
        </w:rPr>
        <w:t xml:space="preserve"> be generated by the Authority to meet actual pensions payments as they fall due.</w:t>
      </w:r>
    </w:p>
    <w:p w14:paraId="411474B9" w14:textId="77777777" w:rsidR="00D90216" w:rsidRPr="00D948C1" w:rsidRDefault="00D90216" w:rsidP="006C0086">
      <w:pPr>
        <w:spacing w:line="276" w:lineRule="auto"/>
        <w:ind w:hanging="425"/>
        <w:rPr>
          <w:szCs w:val="24"/>
        </w:rPr>
      </w:pPr>
    </w:p>
    <w:p w14:paraId="260979E0" w14:textId="77777777" w:rsidR="00DD63D7" w:rsidRPr="00D948C1" w:rsidRDefault="00D90216" w:rsidP="006C0086">
      <w:pPr>
        <w:pStyle w:val="BodyTextIndent"/>
        <w:spacing w:line="276" w:lineRule="auto"/>
        <w:ind w:left="1440" w:hanging="720"/>
        <w:rPr>
          <w:szCs w:val="24"/>
          <w:lang w:val="en-GB"/>
        </w:rPr>
      </w:pPr>
      <w:r w:rsidRPr="00D948C1">
        <w:rPr>
          <w:szCs w:val="24"/>
          <w:lang w:val="en-GB"/>
        </w:rPr>
        <w:t>ii)</w:t>
      </w:r>
      <w:r w:rsidRPr="00D948C1">
        <w:rPr>
          <w:szCs w:val="24"/>
          <w:lang w:val="en-GB"/>
        </w:rPr>
        <w:tab/>
      </w:r>
      <w:proofErr w:type="gramStart"/>
      <w:r w:rsidRPr="00D948C1">
        <w:rPr>
          <w:szCs w:val="24"/>
          <w:lang w:val="en-GB"/>
        </w:rPr>
        <w:t>Other</w:t>
      </w:r>
      <w:proofErr w:type="gramEnd"/>
      <w:r w:rsidRPr="00D948C1">
        <w:rPr>
          <w:szCs w:val="24"/>
          <w:lang w:val="en-GB"/>
        </w:rPr>
        <w:t xml:space="preserve"> staff pensions are provided from the Lancashire County Pension Fund. This is a funded scheme, meaning that the Authority and employees pay contributions into a fund calculated at a level intended to balance the pensions liabilities with the investment assets. </w:t>
      </w:r>
    </w:p>
    <w:p w14:paraId="075C01AD" w14:textId="77777777" w:rsidR="00CD1AE8" w:rsidRDefault="00CD1AE8" w:rsidP="006C0086">
      <w:pPr>
        <w:spacing w:line="276" w:lineRule="auto"/>
        <w:rPr>
          <w:b/>
          <w:color w:val="000000"/>
          <w:szCs w:val="24"/>
        </w:rPr>
      </w:pPr>
    </w:p>
    <w:p w14:paraId="5B676F40" w14:textId="5CFD9578" w:rsidR="00D90216" w:rsidRPr="00D948C1" w:rsidRDefault="00D90216" w:rsidP="006C0086">
      <w:pPr>
        <w:spacing w:line="276" w:lineRule="auto"/>
        <w:rPr>
          <w:szCs w:val="24"/>
        </w:rPr>
      </w:pPr>
      <w:r w:rsidRPr="00D948C1">
        <w:rPr>
          <w:b/>
          <w:color w:val="000000"/>
          <w:szCs w:val="24"/>
        </w:rPr>
        <w:t>Transactions Relating to Post-employment Benefits</w:t>
      </w:r>
    </w:p>
    <w:p w14:paraId="2A23C657" w14:textId="77777777" w:rsidR="00D90216" w:rsidRPr="00D948C1" w:rsidRDefault="00D90216" w:rsidP="006C0086">
      <w:pPr>
        <w:pStyle w:val="BodyTextIndent"/>
        <w:spacing w:line="276" w:lineRule="auto"/>
        <w:ind w:left="0" w:hanging="425"/>
        <w:rPr>
          <w:szCs w:val="24"/>
          <w:lang w:val="en-GB"/>
        </w:rPr>
      </w:pPr>
    </w:p>
    <w:p w14:paraId="294822B1" w14:textId="4C12164C" w:rsidR="003278CF" w:rsidRPr="00D948C1" w:rsidRDefault="00D90216" w:rsidP="006C0086">
      <w:pPr>
        <w:spacing w:line="276" w:lineRule="auto"/>
        <w:ind w:left="720"/>
        <w:rPr>
          <w:color w:val="000000"/>
          <w:szCs w:val="24"/>
        </w:rPr>
      </w:pPr>
      <w:r w:rsidRPr="00D948C1">
        <w:rPr>
          <w:color w:val="000000"/>
          <w:szCs w:val="24"/>
        </w:rPr>
        <w:t>We recognise the cost of retirement benefits in the reported cost of services when they are earned by employees, rather than when the benefits are eventually paid as pensions.</w:t>
      </w:r>
      <w:r w:rsidR="00607136" w:rsidRPr="00D948C1">
        <w:rPr>
          <w:color w:val="000000"/>
          <w:szCs w:val="24"/>
        </w:rPr>
        <w:t xml:space="preserve"> </w:t>
      </w:r>
      <w:r w:rsidRPr="00D948C1">
        <w:rPr>
          <w:color w:val="000000"/>
          <w:szCs w:val="24"/>
        </w:rPr>
        <w:t xml:space="preserve">However, the charge we are required to make against council tax is based on the cash payable in the year, so the real cost of </w:t>
      </w:r>
      <w:r w:rsidR="003278CF" w:rsidRPr="00D948C1">
        <w:rPr>
          <w:color w:val="000000"/>
          <w:szCs w:val="24"/>
        </w:rPr>
        <w:t>post-employment</w:t>
      </w:r>
      <w:r w:rsidRPr="00D948C1">
        <w:rPr>
          <w:color w:val="000000"/>
          <w:szCs w:val="24"/>
        </w:rPr>
        <w:t xml:space="preserve">/retirement benefits is reversed out of the General Fund via the Movement in Reserves Statement. </w:t>
      </w:r>
    </w:p>
    <w:p w14:paraId="594B8986" w14:textId="5723E9C8" w:rsidR="003278CF" w:rsidRPr="00D948C1" w:rsidRDefault="003278CF" w:rsidP="006C0086">
      <w:pPr>
        <w:spacing w:line="276" w:lineRule="auto"/>
        <w:rPr>
          <w:color w:val="000000"/>
          <w:szCs w:val="24"/>
        </w:rPr>
      </w:pPr>
    </w:p>
    <w:p w14:paraId="0017E6A8" w14:textId="4F67B9B1" w:rsidR="006454EE" w:rsidRPr="00D948C1" w:rsidRDefault="00D90216" w:rsidP="006C0086">
      <w:pPr>
        <w:spacing w:line="276" w:lineRule="auto"/>
        <w:ind w:left="720"/>
        <w:rPr>
          <w:color w:val="000000"/>
          <w:szCs w:val="24"/>
        </w:rPr>
      </w:pPr>
      <w:r w:rsidRPr="00D948C1">
        <w:rPr>
          <w:color w:val="000000"/>
          <w:szCs w:val="24"/>
        </w:rPr>
        <w:t>The following transactions have been made in the Comprehensive Income &amp; Expenditure Statement and the General Fund Balance Fund via the Movement in Reserves Statement during the year:</w:t>
      </w:r>
    </w:p>
    <w:p w14:paraId="1A789028" w14:textId="77777777" w:rsidR="001E71F1" w:rsidRPr="00D948C1" w:rsidRDefault="001E71F1" w:rsidP="006C0086">
      <w:pPr>
        <w:spacing w:line="276" w:lineRule="auto"/>
        <w:ind w:left="720"/>
        <w:rPr>
          <w:color w:val="000000"/>
          <w:szCs w:val="24"/>
        </w:rPr>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67"/>
        <w:gridCol w:w="1243"/>
      </w:tblGrid>
      <w:tr w:rsidR="00D90216" w:rsidRPr="00D948C1" w14:paraId="7B108B96" w14:textId="77777777" w:rsidTr="00611673">
        <w:trPr>
          <w:trHeight w:val="300"/>
          <w:tblHeader/>
        </w:trPr>
        <w:tc>
          <w:tcPr>
            <w:tcW w:w="4536" w:type="dxa"/>
            <w:shd w:val="clear" w:color="auto" w:fill="BD2716"/>
          </w:tcPr>
          <w:p w14:paraId="2FF86E22" w14:textId="77777777" w:rsidR="00D90216" w:rsidRPr="00D948C1" w:rsidRDefault="006454EE" w:rsidP="006C0086">
            <w:pPr>
              <w:spacing w:line="276" w:lineRule="auto"/>
              <w:ind w:left="34"/>
              <w:jc w:val="center"/>
              <w:rPr>
                <w:color w:val="FFFFFF" w:themeColor="background1"/>
                <w:szCs w:val="24"/>
              </w:rPr>
            </w:pPr>
            <w:r w:rsidRPr="00D948C1">
              <w:rPr>
                <w:color w:val="FFFFFF" w:themeColor="background1"/>
                <w:szCs w:val="24"/>
              </w:rPr>
              <w:br w:type="page"/>
            </w:r>
          </w:p>
        </w:tc>
        <w:tc>
          <w:tcPr>
            <w:tcW w:w="2410" w:type="dxa"/>
            <w:gridSpan w:val="2"/>
            <w:shd w:val="clear" w:color="auto" w:fill="BD2716"/>
            <w:vAlign w:val="center"/>
          </w:tcPr>
          <w:p w14:paraId="68A5E38B" w14:textId="77777777" w:rsidR="00D90216" w:rsidRPr="00D948C1" w:rsidRDefault="00D90216" w:rsidP="006C0086">
            <w:pPr>
              <w:spacing w:line="276" w:lineRule="auto"/>
              <w:ind w:left="34"/>
              <w:jc w:val="center"/>
              <w:rPr>
                <w:color w:val="FFFFFF" w:themeColor="background1"/>
                <w:szCs w:val="24"/>
              </w:rPr>
            </w:pPr>
            <w:r w:rsidRPr="00D948C1">
              <w:rPr>
                <w:color w:val="FFFFFF" w:themeColor="background1"/>
                <w:szCs w:val="24"/>
              </w:rPr>
              <w:t>Local Government Pension Scheme</w:t>
            </w:r>
          </w:p>
        </w:tc>
        <w:tc>
          <w:tcPr>
            <w:tcW w:w="2552" w:type="dxa"/>
            <w:gridSpan w:val="3"/>
            <w:shd w:val="clear" w:color="auto" w:fill="BD2716"/>
            <w:vAlign w:val="center"/>
          </w:tcPr>
          <w:p w14:paraId="3F174721" w14:textId="77777777" w:rsidR="00D90216" w:rsidRPr="00D948C1" w:rsidRDefault="00D90216" w:rsidP="006C0086">
            <w:pPr>
              <w:spacing w:line="276" w:lineRule="auto"/>
              <w:ind w:left="34"/>
              <w:jc w:val="center"/>
              <w:rPr>
                <w:color w:val="FFFFFF" w:themeColor="background1"/>
                <w:szCs w:val="24"/>
              </w:rPr>
            </w:pPr>
            <w:r w:rsidRPr="00D948C1">
              <w:rPr>
                <w:color w:val="FFFFFF" w:themeColor="background1"/>
                <w:szCs w:val="24"/>
              </w:rPr>
              <w:t>Uniformed Firefighters’ Pension Scheme</w:t>
            </w:r>
          </w:p>
        </w:tc>
      </w:tr>
      <w:tr w:rsidR="008F3F7F" w:rsidRPr="00D948C1" w14:paraId="58F96BC7" w14:textId="77777777" w:rsidTr="00611673">
        <w:trPr>
          <w:trHeight w:val="300"/>
          <w:tblHeader/>
        </w:trPr>
        <w:tc>
          <w:tcPr>
            <w:tcW w:w="4536" w:type="dxa"/>
            <w:shd w:val="clear" w:color="auto" w:fill="BD2716"/>
          </w:tcPr>
          <w:p w14:paraId="44C7E816" w14:textId="77777777" w:rsidR="008F3F7F" w:rsidRPr="00D948C1" w:rsidRDefault="008F3F7F" w:rsidP="006C0086">
            <w:pPr>
              <w:spacing w:line="276" w:lineRule="auto"/>
              <w:ind w:left="34"/>
              <w:jc w:val="center"/>
              <w:rPr>
                <w:color w:val="FFFFFF" w:themeColor="background1"/>
                <w:szCs w:val="24"/>
              </w:rPr>
            </w:pPr>
          </w:p>
        </w:tc>
        <w:tc>
          <w:tcPr>
            <w:tcW w:w="1168" w:type="dxa"/>
            <w:shd w:val="clear" w:color="auto" w:fill="BD2716"/>
            <w:vAlign w:val="center"/>
          </w:tcPr>
          <w:p w14:paraId="0FC8E6CC" w14:textId="77777777"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441F71BA" w14:textId="294ACC65"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242" w:type="dxa"/>
            <w:shd w:val="clear" w:color="auto" w:fill="BD2716"/>
            <w:vAlign w:val="center"/>
          </w:tcPr>
          <w:p w14:paraId="704CB624" w14:textId="77777777"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055ACF54" w14:textId="49F47A10"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309" w:type="dxa"/>
            <w:gridSpan w:val="2"/>
            <w:shd w:val="clear" w:color="auto" w:fill="BD2716"/>
            <w:vAlign w:val="center"/>
          </w:tcPr>
          <w:p w14:paraId="4A9EE7DA" w14:textId="77777777"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2023/24</w:t>
            </w:r>
          </w:p>
          <w:p w14:paraId="07D08C6E" w14:textId="4D318311"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c>
          <w:tcPr>
            <w:tcW w:w="1243" w:type="dxa"/>
            <w:shd w:val="clear" w:color="auto" w:fill="BD2716"/>
            <w:vAlign w:val="center"/>
          </w:tcPr>
          <w:p w14:paraId="1EF0392C" w14:textId="77777777"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2022/23</w:t>
            </w:r>
          </w:p>
          <w:p w14:paraId="66A8134D" w14:textId="00CE075C" w:rsidR="008F3F7F" w:rsidRPr="00D948C1" w:rsidRDefault="008F3F7F" w:rsidP="006C0086">
            <w:pPr>
              <w:pStyle w:val="BodyTextIndent"/>
              <w:spacing w:line="276" w:lineRule="auto"/>
              <w:ind w:left="0"/>
              <w:jc w:val="right"/>
              <w:rPr>
                <w:color w:val="FFFFFF" w:themeColor="background1"/>
                <w:szCs w:val="24"/>
                <w:lang w:val="en-GB"/>
              </w:rPr>
            </w:pPr>
            <w:r w:rsidRPr="00D948C1">
              <w:rPr>
                <w:color w:val="FFFFFF" w:themeColor="background1"/>
                <w:szCs w:val="24"/>
                <w:lang w:val="en-GB"/>
              </w:rPr>
              <w:t>£000</w:t>
            </w:r>
          </w:p>
        </w:tc>
      </w:tr>
      <w:tr w:rsidR="00053629" w:rsidRPr="00D948C1" w14:paraId="4C252FE8" w14:textId="77777777" w:rsidTr="007641BA">
        <w:trPr>
          <w:trHeight w:val="300"/>
        </w:trPr>
        <w:tc>
          <w:tcPr>
            <w:tcW w:w="9498" w:type="dxa"/>
            <w:gridSpan w:val="6"/>
            <w:shd w:val="clear" w:color="auto" w:fill="D9D9D9" w:themeFill="background1" w:themeFillShade="D9"/>
          </w:tcPr>
          <w:p w14:paraId="6131BCCF" w14:textId="0457A4AF" w:rsidR="00053629" w:rsidRPr="00D948C1" w:rsidRDefault="00053629" w:rsidP="006C0086">
            <w:pPr>
              <w:spacing w:line="276" w:lineRule="auto"/>
              <w:ind w:left="34"/>
              <w:rPr>
                <w:b/>
                <w:bCs/>
                <w:szCs w:val="24"/>
              </w:rPr>
            </w:pPr>
            <w:r w:rsidRPr="00D948C1">
              <w:rPr>
                <w:b/>
                <w:bCs/>
                <w:color w:val="000000"/>
                <w:szCs w:val="24"/>
              </w:rPr>
              <w:t>Comprehensive Income &amp; Expenditure Statement</w:t>
            </w:r>
          </w:p>
        </w:tc>
      </w:tr>
      <w:tr w:rsidR="00053629" w:rsidRPr="00D948C1" w14:paraId="62E32643" w14:textId="77777777" w:rsidTr="007641BA">
        <w:trPr>
          <w:trHeight w:val="300"/>
        </w:trPr>
        <w:tc>
          <w:tcPr>
            <w:tcW w:w="9498" w:type="dxa"/>
            <w:gridSpan w:val="6"/>
            <w:shd w:val="clear" w:color="auto" w:fill="D9D9D9" w:themeFill="background1" w:themeFillShade="D9"/>
          </w:tcPr>
          <w:p w14:paraId="5423222E" w14:textId="2EEC8719" w:rsidR="00053629" w:rsidRPr="00D948C1" w:rsidRDefault="00053629" w:rsidP="006C0086">
            <w:pPr>
              <w:spacing w:line="276" w:lineRule="auto"/>
              <w:ind w:left="34"/>
              <w:rPr>
                <w:b/>
                <w:bCs/>
                <w:szCs w:val="24"/>
              </w:rPr>
            </w:pPr>
            <w:r w:rsidRPr="00D948C1">
              <w:rPr>
                <w:b/>
                <w:bCs/>
                <w:szCs w:val="24"/>
              </w:rPr>
              <w:t>Cost of Services:</w:t>
            </w:r>
          </w:p>
        </w:tc>
      </w:tr>
      <w:tr w:rsidR="008F3F7F" w:rsidRPr="00D948C1" w14:paraId="71095A47" w14:textId="77777777" w:rsidTr="008F6F5D">
        <w:trPr>
          <w:trHeight w:val="300"/>
        </w:trPr>
        <w:tc>
          <w:tcPr>
            <w:tcW w:w="4536" w:type="dxa"/>
          </w:tcPr>
          <w:p w14:paraId="3F3FB33A"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Current service cost</w:t>
            </w:r>
          </w:p>
        </w:tc>
        <w:tc>
          <w:tcPr>
            <w:tcW w:w="1168" w:type="dxa"/>
            <w:vAlign w:val="center"/>
          </w:tcPr>
          <w:p w14:paraId="09CB9E93" w14:textId="2EAC4C15" w:rsidR="00A72871" w:rsidRPr="00D948C1" w:rsidRDefault="00A72871" w:rsidP="006C0086">
            <w:pPr>
              <w:tabs>
                <w:tab w:val="decimal" w:pos="717"/>
              </w:tabs>
              <w:spacing w:line="276" w:lineRule="auto"/>
              <w:ind w:left="34"/>
              <w:jc w:val="right"/>
              <w:rPr>
                <w:szCs w:val="24"/>
              </w:rPr>
            </w:pPr>
            <w:r w:rsidRPr="00D948C1">
              <w:rPr>
                <w:szCs w:val="24"/>
              </w:rPr>
              <w:t>1,414</w:t>
            </w:r>
          </w:p>
        </w:tc>
        <w:tc>
          <w:tcPr>
            <w:tcW w:w="1242" w:type="dxa"/>
            <w:vAlign w:val="center"/>
          </w:tcPr>
          <w:p w14:paraId="638F3375" w14:textId="75EAEF02" w:rsidR="008F3F7F" w:rsidRPr="00D948C1" w:rsidRDefault="008F3F7F" w:rsidP="006C0086">
            <w:pPr>
              <w:tabs>
                <w:tab w:val="decimal" w:pos="717"/>
              </w:tabs>
              <w:spacing w:line="276" w:lineRule="auto"/>
              <w:ind w:left="34"/>
              <w:jc w:val="right"/>
              <w:rPr>
                <w:szCs w:val="24"/>
              </w:rPr>
            </w:pPr>
            <w:r w:rsidRPr="00D948C1">
              <w:rPr>
                <w:szCs w:val="24"/>
              </w:rPr>
              <w:t>2,900</w:t>
            </w:r>
          </w:p>
        </w:tc>
        <w:tc>
          <w:tcPr>
            <w:tcW w:w="1242" w:type="dxa"/>
            <w:vAlign w:val="center"/>
          </w:tcPr>
          <w:p w14:paraId="07B60957" w14:textId="6AA795C5" w:rsidR="008F3F7F" w:rsidRPr="00D948C1" w:rsidRDefault="00A72871" w:rsidP="006C0086">
            <w:pPr>
              <w:tabs>
                <w:tab w:val="decimal" w:pos="884"/>
              </w:tabs>
              <w:spacing w:line="276" w:lineRule="auto"/>
              <w:ind w:left="34"/>
              <w:jc w:val="right"/>
              <w:rPr>
                <w:szCs w:val="24"/>
              </w:rPr>
            </w:pPr>
            <w:r w:rsidRPr="00D948C1">
              <w:rPr>
                <w:szCs w:val="24"/>
              </w:rPr>
              <w:t>3,670</w:t>
            </w:r>
          </w:p>
        </w:tc>
        <w:tc>
          <w:tcPr>
            <w:tcW w:w="1310" w:type="dxa"/>
            <w:gridSpan w:val="2"/>
            <w:vAlign w:val="center"/>
          </w:tcPr>
          <w:p w14:paraId="6D910F6A" w14:textId="4D50CF3D" w:rsidR="008F3F7F" w:rsidRPr="00D948C1" w:rsidRDefault="008F3F7F" w:rsidP="006C0086">
            <w:pPr>
              <w:tabs>
                <w:tab w:val="decimal" w:pos="884"/>
              </w:tabs>
              <w:spacing w:line="276" w:lineRule="auto"/>
              <w:ind w:left="34"/>
              <w:jc w:val="right"/>
              <w:rPr>
                <w:szCs w:val="24"/>
              </w:rPr>
            </w:pPr>
            <w:r w:rsidRPr="00D948C1">
              <w:rPr>
                <w:szCs w:val="24"/>
              </w:rPr>
              <w:t>13,640</w:t>
            </w:r>
          </w:p>
        </w:tc>
      </w:tr>
      <w:tr w:rsidR="008F3F7F" w:rsidRPr="00D948C1" w14:paraId="3580E7D0" w14:textId="77777777" w:rsidTr="008F6F5D">
        <w:trPr>
          <w:trHeight w:val="300"/>
        </w:trPr>
        <w:tc>
          <w:tcPr>
            <w:tcW w:w="4536" w:type="dxa"/>
          </w:tcPr>
          <w:p w14:paraId="0ED950E7"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Administrative expenses</w:t>
            </w:r>
          </w:p>
        </w:tc>
        <w:tc>
          <w:tcPr>
            <w:tcW w:w="1168" w:type="dxa"/>
            <w:vAlign w:val="center"/>
          </w:tcPr>
          <w:p w14:paraId="4201722E" w14:textId="5A40BDE4" w:rsidR="008F3F7F" w:rsidRPr="00D948C1" w:rsidRDefault="008F3F7F" w:rsidP="006C0086">
            <w:pPr>
              <w:tabs>
                <w:tab w:val="decimal" w:pos="717"/>
              </w:tabs>
              <w:spacing w:line="276" w:lineRule="auto"/>
              <w:ind w:left="34"/>
              <w:jc w:val="right"/>
              <w:rPr>
                <w:szCs w:val="24"/>
              </w:rPr>
            </w:pPr>
            <w:r w:rsidRPr="00D948C1">
              <w:rPr>
                <w:szCs w:val="24"/>
              </w:rPr>
              <w:t>4</w:t>
            </w:r>
            <w:r w:rsidR="00A72871" w:rsidRPr="00D948C1">
              <w:rPr>
                <w:szCs w:val="24"/>
              </w:rPr>
              <w:t>6</w:t>
            </w:r>
          </w:p>
        </w:tc>
        <w:tc>
          <w:tcPr>
            <w:tcW w:w="1242" w:type="dxa"/>
            <w:vAlign w:val="center"/>
          </w:tcPr>
          <w:p w14:paraId="4C861465" w14:textId="41AB99D5" w:rsidR="008F3F7F" w:rsidRPr="00D948C1" w:rsidRDefault="008F3F7F" w:rsidP="006C0086">
            <w:pPr>
              <w:tabs>
                <w:tab w:val="decimal" w:pos="717"/>
              </w:tabs>
              <w:spacing w:line="276" w:lineRule="auto"/>
              <w:ind w:left="34"/>
              <w:jc w:val="right"/>
              <w:rPr>
                <w:szCs w:val="24"/>
              </w:rPr>
            </w:pPr>
            <w:r w:rsidRPr="00D948C1">
              <w:rPr>
                <w:szCs w:val="24"/>
              </w:rPr>
              <w:t>41</w:t>
            </w:r>
          </w:p>
        </w:tc>
        <w:tc>
          <w:tcPr>
            <w:tcW w:w="1242" w:type="dxa"/>
            <w:vAlign w:val="center"/>
          </w:tcPr>
          <w:p w14:paraId="4EC93DAF" w14:textId="20BA494D" w:rsidR="008F3F7F" w:rsidRPr="00D948C1" w:rsidRDefault="008F3F7F" w:rsidP="006C0086">
            <w:pPr>
              <w:tabs>
                <w:tab w:val="decimal" w:pos="884"/>
              </w:tabs>
              <w:spacing w:line="276" w:lineRule="auto"/>
              <w:ind w:left="34"/>
              <w:jc w:val="right"/>
              <w:rPr>
                <w:szCs w:val="24"/>
              </w:rPr>
            </w:pPr>
            <w:r w:rsidRPr="00D948C1">
              <w:rPr>
                <w:szCs w:val="24"/>
              </w:rPr>
              <w:t>-</w:t>
            </w:r>
          </w:p>
        </w:tc>
        <w:tc>
          <w:tcPr>
            <w:tcW w:w="1310" w:type="dxa"/>
            <w:gridSpan w:val="2"/>
            <w:vAlign w:val="center"/>
          </w:tcPr>
          <w:p w14:paraId="195037FF" w14:textId="031AC927" w:rsidR="008F3F7F" w:rsidRPr="00D948C1" w:rsidRDefault="008F3F7F" w:rsidP="006C0086">
            <w:pPr>
              <w:tabs>
                <w:tab w:val="decimal" w:pos="884"/>
              </w:tabs>
              <w:spacing w:line="276" w:lineRule="auto"/>
              <w:ind w:left="34"/>
              <w:jc w:val="right"/>
              <w:rPr>
                <w:szCs w:val="24"/>
              </w:rPr>
            </w:pPr>
            <w:r w:rsidRPr="00D948C1">
              <w:rPr>
                <w:szCs w:val="24"/>
              </w:rPr>
              <w:t>-</w:t>
            </w:r>
          </w:p>
        </w:tc>
      </w:tr>
      <w:tr w:rsidR="008F3F7F" w:rsidRPr="00D948C1" w14:paraId="128CFDA4" w14:textId="77777777" w:rsidTr="008F6F5D">
        <w:trPr>
          <w:trHeight w:val="300"/>
        </w:trPr>
        <w:tc>
          <w:tcPr>
            <w:tcW w:w="4536" w:type="dxa"/>
          </w:tcPr>
          <w:p w14:paraId="2D49D68D"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Past service cost</w:t>
            </w:r>
          </w:p>
        </w:tc>
        <w:tc>
          <w:tcPr>
            <w:tcW w:w="1168" w:type="dxa"/>
            <w:vAlign w:val="center"/>
          </w:tcPr>
          <w:p w14:paraId="04B8BDB6" w14:textId="11E19824" w:rsidR="008F3F7F" w:rsidRPr="00D948C1" w:rsidRDefault="008F3F7F" w:rsidP="006C0086">
            <w:pPr>
              <w:tabs>
                <w:tab w:val="decimal" w:pos="717"/>
              </w:tabs>
              <w:spacing w:line="276" w:lineRule="auto"/>
              <w:ind w:left="34"/>
              <w:jc w:val="right"/>
              <w:rPr>
                <w:szCs w:val="24"/>
              </w:rPr>
            </w:pPr>
            <w:r w:rsidRPr="00D948C1">
              <w:rPr>
                <w:szCs w:val="24"/>
              </w:rPr>
              <w:t>-</w:t>
            </w:r>
          </w:p>
        </w:tc>
        <w:tc>
          <w:tcPr>
            <w:tcW w:w="1242" w:type="dxa"/>
            <w:vAlign w:val="center"/>
          </w:tcPr>
          <w:p w14:paraId="3E52A477" w14:textId="03E2A391" w:rsidR="008F3F7F" w:rsidRPr="00D948C1" w:rsidRDefault="008F3F7F" w:rsidP="006C0086">
            <w:pPr>
              <w:tabs>
                <w:tab w:val="decimal" w:pos="717"/>
              </w:tabs>
              <w:spacing w:line="276" w:lineRule="auto"/>
              <w:ind w:left="34"/>
              <w:jc w:val="right"/>
              <w:rPr>
                <w:szCs w:val="24"/>
              </w:rPr>
            </w:pPr>
            <w:r w:rsidRPr="00D948C1">
              <w:rPr>
                <w:szCs w:val="24"/>
              </w:rPr>
              <w:t>-</w:t>
            </w:r>
          </w:p>
        </w:tc>
        <w:tc>
          <w:tcPr>
            <w:tcW w:w="1242" w:type="dxa"/>
            <w:vAlign w:val="center"/>
          </w:tcPr>
          <w:p w14:paraId="037C4FA9" w14:textId="74798DC3" w:rsidR="008F3F7F" w:rsidRPr="00D948C1" w:rsidRDefault="008F3F7F" w:rsidP="006C0086">
            <w:pPr>
              <w:tabs>
                <w:tab w:val="decimal" w:pos="884"/>
              </w:tabs>
              <w:spacing w:line="276" w:lineRule="auto"/>
              <w:ind w:left="34"/>
              <w:jc w:val="right"/>
              <w:rPr>
                <w:szCs w:val="24"/>
              </w:rPr>
            </w:pPr>
            <w:r w:rsidRPr="00D948C1">
              <w:rPr>
                <w:szCs w:val="24"/>
              </w:rPr>
              <w:t>-</w:t>
            </w:r>
          </w:p>
        </w:tc>
        <w:tc>
          <w:tcPr>
            <w:tcW w:w="1310" w:type="dxa"/>
            <w:gridSpan w:val="2"/>
            <w:vAlign w:val="center"/>
          </w:tcPr>
          <w:p w14:paraId="5308C57C" w14:textId="5D27D02D" w:rsidR="008F3F7F" w:rsidRPr="00D948C1" w:rsidRDefault="008F3F7F" w:rsidP="006C0086">
            <w:pPr>
              <w:tabs>
                <w:tab w:val="decimal" w:pos="884"/>
              </w:tabs>
              <w:spacing w:line="276" w:lineRule="auto"/>
              <w:ind w:left="34"/>
              <w:jc w:val="right"/>
              <w:rPr>
                <w:szCs w:val="24"/>
              </w:rPr>
            </w:pPr>
            <w:r w:rsidRPr="00D948C1">
              <w:rPr>
                <w:szCs w:val="24"/>
              </w:rPr>
              <w:t>-</w:t>
            </w:r>
          </w:p>
        </w:tc>
      </w:tr>
      <w:tr w:rsidR="008F3F7F" w:rsidRPr="00D948C1" w14:paraId="508DC4B6" w14:textId="77777777" w:rsidTr="008F6F5D">
        <w:trPr>
          <w:trHeight w:val="300"/>
        </w:trPr>
        <w:tc>
          <w:tcPr>
            <w:tcW w:w="4536" w:type="dxa"/>
          </w:tcPr>
          <w:p w14:paraId="45EB3D04" w14:textId="4A25C72F" w:rsidR="008F3F7F" w:rsidRPr="00D948C1" w:rsidRDefault="008F3F7F" w:rsidP="006C0086">
            <w:pPr>
              <w:spacing w:line="276" w:lineRule="auto"/>
              <w:ind w:left="34"/>
              <w:rPr>
                <w:b/>
                <w:bCs/>
                <w:szCs w:val="24"/>
              </w:rPr>
            </w:pPr>
            <w:r w:rsidRPr="00D948C1">
              <w:rPr>
                <w:b/>
                <w:bCs/>
                <w:szCs w:val="24"/>
              </w:rPr>
              <w:t>Cost of Services total</w:t>
            </w:r>
          </w:p>
        </w:tc>
        <w:tc>
          <w:tcPr>
            <w:tcW w:w="1168" w:type="dxa"/>
            <w:vAlign w:val="center"/>
          </w:tcPr>
          <w:p w14:paraId="6C90A462" w14:textId="1F1546CB" w:rsidR="008F3F7F" w:rsidRPr="00D948C1" w:rsidRDefault="00A72871" w:rsidP="006C0086">
            <w:pPr>
              <w:tabs>
                <w:tab w:val="decimal" w:pos="717"/>
              </w:tabs>
              <w:spacing w:line="276" w:lineRule="auto"/>
              <w:ind w:left="34"/>
              <w:jc w:val="right"/>
              <w:rPr>
                <w:b/>
                <w:bCs/>
                <w:szCs w:val="24"/>
              </w:rPr>
            </w:pPr>
            <w:r w:rsidRPr="00D948C1">
              <w:rPr>
                <w:b/>
                <w:bCs/>
                <w:szCs w:val="24"/>
              </w:rPr>
              <w:t>1,460</w:t>
            </w:r>
          </w:p>
        </w:tc>
        <w:tc>
          <w:tcPr>
            <w:tcW w:w="1242" w:type="dxa"/>
            <w:vAlign w:val="center"/>
          </w:tcPr>
          <w:p w14:paraId="03FF2CF4" w14:textId="0E73E361" w:rsidR="008F3F7F" w:rsidRPr="00D948C1" w:rsidRDefault="008F3F7F" w:rsidP="006C0086">
            <w:pPr>
              <w:tabs>
                <w:tab w:val="decimal" w:pos="717"/>
              </w:tabs>
              <w:spacing w:line="276" w:lineRule="auto"/>
              <w:ind w:left="34"/>
              <w:jc w:val="right"/>
              <w:rPr>
                <w:b/>
                <w:bCs/>
                <w:szCs w:val="24"/>
              </w:rPr>
            </w:pPr>
            <w:r w:rsidRPr="00D948C1">
              <w:rPr>
                <w:b/>
                <w:bCs/>
                <w:szCs w:val="24"/>
              </w:rPr>
              <w:t>2,941</w:t>
            </w:r>
          </w:p>
        </w:tc>
        <w:tc>
          <w:tcPr>
            <w:tcW w:w="1242" w:type="dxa"/>
            <w:vAlign w:val="center"/>
          </w:tcPr>
          <w:p w14:paraId="6F6C4F19" w14:textId="285C6A63" w:rsidR="008F3F7F" w:rsidRPr="00D948C1" w:rsidRDefault="00A72871" w:rsidP="006C0086">
            <w:pPr>
              <w:tabs>
                <w:tab w:val="decimal" w:pos="884"/>
              </w:tabs>
              <w:spacing w:line="276" w:lineRule="auto"/>
              <w:ind w:left="34"/>
              <w:jc w:val="right"/>
              <w:rPr>
                <w:b/>
                <w:bCs/>
                <w:szCs w:val="24"/>
              </w:rPr>
            </w:pPr>
            <w:r w:rsidRPr="00D948C1">
              <w:rPr>
                <w:b/>
                <w:bCs/>
                <w:szCs w:val="24"/>
              </w:rPr>
              <w:t>3,670</w:t>
            </w:r>
          </w:p>
        </w:tc>
        <w:tc>
          <w:tcPr>
            <w:tcW w:w="1310" w:type="dxa"/>
            <w:gridSpan w:val="2"/>
            <w:vAlign w:val="center"/>
          </w:tcPr>
          <w:p w14:paraId="292376B5" w14:textId="166B9EE2" w:rsidR="008F3F7F" w:rsidRPr="00D948C1" w:rsidRDefault="008F3F7F" w:rsidP="006C0086">
            <w:pPr>
              <w:tabs>
                <w:tab w:val="decimal" w:pos="884"/>
              </w:tabs>
              <w:spacing w:line="276" w:lineRule="auto"/>
              <w:ind w:left="34"/>
              <w:jc w:val="right"/>
              <w:rPr>
                <w:b/>
                <w:bCs/>
                <w:szCs w:val="24"/>
              </w:rPr>
            </w:pPr>
            <w:r w:rsidRPr="00D948C1">
              <w:rPr>
                <w:b/>
                <w:bCs/>
                <w:szCs w:val="24"/>
              </w:rPr>
              <w:t>13,640</w:t>
            </w:r>
          </w:p>
        </w:tc>
      </w:tr>
    </w:tbl>
    <w:p w14:paraId="72EF1061" w14:textId="77777777" w:rsidR="001E71F1" w:rsidRPr="00D948C1" w:rsidRDefault="001E71F1" w:rsidP="006C0086">
      <w:pPr>
        <w:spacing w:line="276" w:lineRule="auto"/>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D948C1" w14:paraId="42636F51" w14:textId="77777777" w:rsidTr="007641BA">
        <w:trPr>
          <w:trHeight w:val="300"/>
        </w:trPr>
        <w:tc>
          <w:tcPr>
            <w:tcW w:w="9498" w:type="dxa"/>
            <w:gridSpan w:val="5"/>
            <w:shd w:val="clear" w:color="auto" w:fill="D9D9D9" w:themeFill="background1" w:themeFillShade="D9"/>
          </w:tcPr>
          <w:p w14:paraId="77A6504C" w14:textId="3B17E845" w:rsidR="00053629" w:rsidRPr="00D948C1" w:rsidRDefault="00053629" w:rsidP="006C0086">
            <w:pPr>
              <w:tabs>
                <w:tab w:val="decimal" w:pos="884"/>
              </w:tabs>
              <w:spacing w:line="276" w:lineRule="auto"/>
              <w:ind w:left="34"/>
              <w:rPr>
                <w:b/>
                <w:bCs/>
                <w:szCs w:val="24"/>
              </w:rPr>
            </w:pPr>
            <w:r w:rsidRPr="00D948C1">
              <w:rPr>
                <w:b/>
                <w:bCs/>
                <w:szCs w:val="24"/>
              </w:rPr>
              <w:t>Financing and Investment Income and Expenditure:</w:t>
            </w:r>
          </w:p>
        </w:tc>
      </w:tr>
      <w:tr w:rsidR="008F3F7F" w:rsidRPr="00D948C1" w14:paraId="5A46A9E6" w14:textId="77777777" w:rsidTr="008F6F5D">
        <w:trPr>
          <w:trHeight w:val="300"/>
        </w:trPr>
        <w:tc>
          <w:tcPr>
            <w:tcW w:w="4536" w:type="dxa"/>
          </w:tcPr>
          <w:p w14:paraId="7BB24C11"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Interest cost</w:t>
            </w:r>
          </w:p>
        </w:tc>
        <w:tc>
          <w:tcPr>
            <w:tcW w:w="1168" w:type="dxa"/>
            <w:vAlign w:val="center"/>
          </w:tcPr>
          <w:p w14:paraId="021D199F" w14:textId="559CD4CE" w:rsidR="008F3F7F" w:rsidRPr="00D948C1" w:rsidRDefault="008F3F7F" w:rsidP="006C0086">
            <w:pPr>
              <w:tabs>
                <w:tab w:val="decimal" w:pos="717"/>
              </w:tabs>
              <w:spacing w:line="276" w:lineRule="auto"/>
              <w:ind w:left="34"/>
              <w:jc w:val="right"/>
              <w:rPr>
                <w:szCs w:val="24"/>
              </w:rPr>
            </w:pPr>
            <w:r w:rsidRPr="00D948C1">
              <w:rPr>
                <w:szCs w:val="24"/>
              </w:rPr>
              <w:t>2,</w:t>
            </w:r>
            <w:r w:rsidR="00A72871" w:rsidRPr="00D948C1">
              <w:rPr>
                <w:szCs w:val="24"/>
              </w:rPr>
              <w:t>785</w:t>
            </w:r>
          </w:p>
        </w:tc>
        <w:tc>
          <w:tcPr>
            <w:tcW w:w="1242" w:type="dxa"/>
            <w:vAlign w:val="center"/>
          </w:tcPr>
          <w:p w14:paraId="316C9C8A" w14:textId="666D305F" w:rsidR="008F3F7F" w:rsidRPr="00D948C1" w:rsidRDefault="008F3F7F" w:rsidP="006C0086">
            <w:pPr>
              <w:tabs>
                <w:tab w:val="decimal" w:pos="717"/>
              </w:tabs>
              <w:spacing w:line="276" w:lineRule="auto"/>
              <w:ind w:left="34"/>
              <w:jc w:val="right"/>
              <w:rPr>
                <w:szCs w:val="24"/>
              </w:rPr>
            </w:pPr>
            <w:r w:rsidRPr="00D948C1">
              <w:rPr>
                <w:szCs w:val="24"/>
              </w:rPr>
              <w:t>2,343</w:t>
            </w:r>
          </w:p>
        </w:tc>
        <w:tc>
          <w:tcPr>
            <w:tcW w:w="1242" w:type="dxa"/>
            <w:vAlign w:val="center"/>
          </w:tcPr>
          <w:p w14:paraId="2EBE2152" w14:textId="3FA1141E" w:rsidR="008F3F7F" w:rsidRPr="00D948C1" w:rsidRDefault="008F3F7F" w:rsidP="006C0086">
            <w:pPr>
              <w:tabs>
                <w:tab w:val="decimal" w:pos="884"/>
              </w:tabs>
              <w:spacing w:line="276" w:lineRule="auto"/>
              <w:ind w:left="34"/>
              <w:jc w:val="right"/>
              <w:rPr>
                <w:szCs w:val="24"/>
              </w:rPr>
            </w:pPr>
            <w:r w:rsidRPr="00D948C1">
              <w:rPr>
                <w:szCs w:val="24"/>
              </w:rPr>
              <w:t>2</w:t>
            </w:r>
            <w:r w:rsidR="00A72871" w:rsidRPr="00D948C1">
              <w:rPr>
                <w:szCs w:val="24"/>
              </w:rPr>
              <w:t>9,710</w:t>
            </w:r>
          </w:p>
        </w:tc>
        <w:tc>
          <w:tcPr>
            <w:tcW w:w="1310" w:type="dxa"/>
            <w:vAlign w:val="center"/>
          </w:tcPr>
          <w:p w14:paraId="4F110055" w14:textId="34E43D21" w:rsidR="008F3F7F" w:rsidRPr="00D948C1" w:rsidRDefault="008F3F7F" w:rsidP="006C0086">
            <w:pPr>
              <w:tabs>
                <w:tab w:val="decimal" w:pos="884"/>
              </w:tabs>
              <w:spacing w:line="276" w:lineRule="auto"/>
              <w:ind w:left="34"/>
              <w:jc w:val="right"/>
              <w:rPr>
                <w:szCs w:val="24"/>
              </w:rPr>
            </w:pPr>
            <w:r w:rsidRPr="00D948C1">
              <w:rPr>
                <w:szCs w:val="24"/>
              </w:rPr>
              <w:t>23,040</w:t>
            </w:r>
          </w:p>
        </w:tc>
      </w:tr>
      <w:tr w:rsidR="008F3F7F" w:rsidRPr="00D948C1" w14:paraId="598567C1" w14:textId="77777777" w:rsidTr="008F6F5D">
        <w:trPr>
          <w:trHeight w:val="300"/>
        </w:trPr>
        <w:tc>
          <w:tcPr>
            <w:tcW w:w="4536" w:type="dxa"/>
          </w:tcPr>
          <w:p w14:paraId="63F0C168"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Interest on scheme assets</w:t>
            </w:r>
          </w:p>
        </w:tc>
        <w:tc>
          <w:tcPr>
            <w:tcW w:w="1168" w:type="dxa"/>
            <w:vAlign w:val="center"/>
          </w:tcPr>
          <w:p w14:paraId="26389F5B" w14:textId="6591FB82" w:rsidR="008F3F7F" w:rsidRPr="00D948C1" w:rsidRDefault="008F3F7F" w:rsidP="006C0086">
            <w:pPr>
              <w:tabs>
                <w:tab w:val="decimal" w:pos="717"/>
              </w:tabs>
              <w:spacing w:line="276" w:lineRule="auto"/>
              <w:ind w:left="34"/>
              <w:jc w:val="right"/>
              <w:rPr>
                <w:szCs w:val="24"/>
              </w:rPr>
            </w:pPr>
            <w:r w:rsidRPr="00D948C1">
              <w:rPr>
                <w:szCs w:val="24"/>
              </w:rPr>
              <w:t>(</w:t>
            </w:r>
            <w:r w:rsidR="00A72871" w:rsidRPr="00D948C1">
              <w:rPr>
                <w:szCs w:val="24"/>
              </w:rPr>
              <w:t>3,745</w:t>
            </w:r>
            <w:r w:rsidRPr="00D948C1">
              <w:rPr>
                <w:szCs w:val="24"/>
              </w:rPr>
              <w:t>)</w:t>
            </w:r>
          </w:p>
        </w:tc>
        <w:tc>
          <w:tcPr>
            <w:tcW w:w="1242" w:type="dxa"/>
            <w:vAlign w:val="center"/>
          </w:tcPr>
          <w:p w14:paraId="6546211A" w14:textId="5217F417" w:rsidR="008F3F7F" w:rsidRPr="00D948C1" w:rsidRDefault="008F3F7F" w:rsidP="006C0086">
            <w:pPr>
              <w:tabs>
                <w:tab w:val="decimal" w:pos="717"/>
              </w:tabs>
              <w:spacing w:line="276" w:lineRule="auto"/>
              <w:ind w:left="34"/>
              <w:jc w:val="right"/>
              <w:rPr>
                <w:szCs w:val="24"/>
              </w:rPr>
            </w:pPr>
            <w:r w:rsidRPr="00D948C1">
              <w:rPr>
                <w:szCs w:val="24"/>
              </w:rPr>
              <w:t>(2,137)</w:t>
            </w:r>
          </w:p>
        </w:tc>
        <w:tc>
          <w:tcPr>
            <w:tcW w:w="1242" w:type="dxa"/>
            <w:vAlign w:val="center"/>
          </w:tcPr>
          <w:p w14:paraId="4E70C161" w14:textId="5CA034FC" w:rsidR="008F3F7F" w:rsidRPr="00D948C1" w:rsidRDefault="008F3F7F" w:rsidP="006C0086">
            <w:pPr>
              <w:tabs>
                <w:tab w:val="decimal" w:pos="884"/>
              </w:tabs>
              <w:spacing w:line="276" w:lineRule="auto"/>
              <w:ind w:left="34"/>
              <w:jc w:val="right"/>
              <w:rPr>
                <w:szCs w:val="24"/>
              </w:rPr>
            </w:pPr>
            <w:r w:rsidRPr="00D948C1">
              <w:rPr>
                <w:szCs w:val="24"/>
              </w:rPr>
              <w:t>-</w:t>
            </w:r>
          </w:p>
        </w:tc>
        <w:tc>
          <w:tcPr>
            <w:tcW w:w="1310" w:type="dxa"/>
            <w:vAlign w:val="center"/>
          </w:tcPr>
          <w:p w14:paraId="56B78565" w14:textId="1E364F62" w:rsidR="008F3F7F" w:rsidRPr="00D948C1" w:rsidRDefault="008F3F7F" w:rsidP="006C0086">
            <w:pPr>
              <w:tabs>
                <w:tab w:val="decimal" w:pos="884"/>
              </w:tabs>
              <w:spacing w:line="276" w:lineRule="auto"/>
              <w:ind w:left="34"/>
              <w:jc w:val="right"/>
              <w:rPr>
                <w:szCs w:val="24"/>
              </w:rPr>
            </w:pPr>
            <w:r w:rsidRPr="00D948C1">
              <w:rPr>
                <w:szCs w:val="24"/>
              </w:rPr>
              <w:t>-</w:t>
            </w:r>
          </w:p>
        </w:tc>
      </w:tr>
      <w:tr w:rsidR="008F3F7F" w:rsidRPr="00D948C1" w14:paraId="2A2920CB" w14:textId="77777777" w:rsidTr="008F6F5D">
        <w:trPr>
          <w:trHeight w:val="300"/>
        </w:trPr>
        <w:tc>
          <w:tcPr>
            <w:tcW w:w="4536" w:type="dxa"/>
          </w:tcPr>
          <w:p w14:paraId="6DEA3ED0" w14:textId="14D6CEDB" w:rsidR="008F3F7F" w:rsidRPr="00D948C1" w:rsidRDefault="008F3F7F" w:rsidP="006C0086">
            <w:pPr>
              <w:spacing w:line="276" w:lineRule="auto"/>
              <w:ind w:left="34"/>
              <w:rPr>
                <w:b/>
                <w:bCs/>
                <w:szCs w:val="24"/>
              </w:rPr>
            </w:pPr>
            <w:r w:rsidRPr="00D948C1">
              <w:rPr>
                <w:b/>
                <w:bCs/>
                <w:szCs w:val="24"/>
              </w:rPr>
              <w:t>Financing total</w:t>
            </w:r>
          </w:p>
        </w:tc>
        <w:tc>
          <w:tcPr>
            <w:tcW w:w="1168" w:type="dxa"/>
            <w:vAlign w:val="center"/>
          </w:tcPr>
          <w:p w14:paraId="4E789A63" w14:textId="15F90768" w:rsidR="008F3F7F" w:rsidRPr="00D948C1" w:rsidRDefault="00A72871" w:rsidP="006C0086">
            <w:pPr>
              <w:tabs>
                <w:tab w:val="decimal" w:pos="717"/>
              </w:tabs>
              <w:spacing w:line="276" w:lineRule="auto"/>
              <w:ind w:left="34"/>
              <w:jc w:val="right"/>
              <w:rPr>
                <w:b/>
                <w:bCs/>
                <w:szCs w:val="24"/>
              </w:rPr>
            </w:pPr>
            <w:r w:rsidRPr="00D948C1">
              <w:rPr>
                <w:b/>
                <w:bCs/>
                <w:szCs w:val="24"/>
              </w:rPr>
              <w:t>(960)</w:t>
            </w:r>
          </w:p>
        </w:tc>
        <w:tc>
          <w:tcPr>
            <w:tcW w:w="1242" w:type="dxa"/>
            <w:vAlign w:val="center"/>
          </w:tcPr>
          <w:p w14:paraId="03C7A64E" w14:textId="0BE13857" w:rsidR="008F3F7F" w:rsidRPr="00D948C1" w:rsidRDefault="008F3F7F" w:rsidP="006C0086">
            <w:pPr>
              <w:tabs>
                <w:tab w:val="decimal" w:pos="717"/>
              </w:tabs>
              <w:spacing w:line="276" w:lineRule="auto"/>
              <w:ind w:left="34"/>
              <w:jc w:val="right"/>
              <w:rPr>
                <w:b/>
                <w:bCs/>
                <w:szCs w:val="24"/>
              </w:rPr>
            </w:pPr>
            <w:r w:rsidRPr="00D948C1">
              <w:rPr>
                <w:b/>
                <w:bCs/>
                <w:szCs w:val="24"/>
              </w:rPr>
              <w:t>206</w:t>
            </w:r>
          </w:p>
        </w:tc>
        <w:tc>
          <w:tcPr>
            <w:tcW w:w="1242" w:type="dxa"/>
            <w:vAlign w:val="center"/>
          </w:tcPr>
          <w:p w14:paraId="1D43A5C0" w14:textId="0D3FF68A" w:rsidR="008F3F7F" w:rsidRPr="00D948C1" w:rsidRDefault="008F3F7F" w:rsidP="006C0086">
            <w:pPr>
              <w:tabs>
                <w:tab w:val="decimal" w:pos="884"/>
              </w:tabs>
              <w:spacing w:line="276" w:lineRule="auto"/>
              <w:ind w:left="34"/>
              <w:jc w:val="right"/>
              <w:rPr>
                <w:b/>
                <w:bCs/>
                <w:szCs w:val="24"/>
              </w:rPr>
            </w:pPr>
            <w:r w:rsidRPr="00D948C1">
              <w:rPr>
                <w:b/>
                <w:bCs/>
                <w:szCs w:val="24"/>
              </w:rPr>
              <w:t>2</w:t>
            </w:r>
            <w:r w:rsidR="00A72871" w:rsidRPr="00D948C1">
              <w:rPr>
                <w:b/>
                <w:bCs/>
                <w:szCs w:val="24"/>
              </w:rPr>
              <w:t>9,710</w:t>
            </w:r>
          </w:p>
        </w:tc>
        <w:tc>
          <w:tcPr>
            <w:tcW w:w="1310" w:type="dxa"/>
            <w:vAlign w:val="center"/>
          </w:tcPr>
          <w:p w14:paraId="473A7F0E" w14:textId="47AE834C" w:rsidR="008F3F7F" w:rsidRPr="00D948C1" w:rsidRDefault="008F3F7F" w:rsidP="006C0086">
            <w:pPr>
              <w:tabs>
                <w:tab w:val="decimal" w:pos="884"/>
              </w:tabs>
              <w:spacing w:line="276" w:lineRule="auto"/>
              <w:ind w:left="34"/>
              <w:jc w:val="right"/>
              <w:rPr>
                <w:b/>
                <w:bCs/>
                <w:szCs w:val="24"/>
              </w:rPr>
            </w:pPr>
            <w:r w:rsidRPr="00D948C1">
              <w:rPr>
                <w:b/>
                <w:bCs/>
                <w:szCs w:val="24"/>
              </w:rPr>
              <w:t>23,040</w:t>
            </w:r>
          </w:p>
        </w:tc>
      </w:tr>
      <w:tr w:rsidR="008F3F7F" w:rsidRPr="00D948C1" w14:paraId="3B64AF29" w14:textId="77777777" w:rsidTr="008F6F5D">
        <w:trPr>
          <w:trHeight w:val="300"/>
        </w:trPr>
        <w:tc>
          <w:tcPr>
            <w:tcW w:w="4536" w:type="dxa"/>
          </w:tcPr>
          <w:p w14:paraId="06DBC405" w14:textId="1D049912" w:rsidR="008F3F7F" w:rsidRPr="00D948C1" w:rsidRDefault="008F3F7F" w:rsidP="006C0086">
            <w:pPr>
              <w:spacing w:line="276" w:lineRule="auto"/>
              <w:ind w:left="34"/>
              <w:rPr>
                <w:b/>
                <w:szCs w:val="24"/>
              </w:rPr>
            </w:pPr>
            <w:r w:rsidRPr="00D948C1">
              <w:rPr>
                <w:b/>
                <w:szCs w:val="24"/>
              </w:rPr>
              <w:lastRenderedPageBreak/>
              <w:t>Total post-employment benefit charged to the deficit on provision of services</w:t>
            </w:r>
          </w:p>
        </w:tc>
        <w:tc>
          <w:tcPr>
            <w:tcW w:w="1168" w:type="dxa"/>
            <w:vAlign w:val="center"/>
          </w:tcPr>
          <w:p w14:paraId="37FBB71A" w14:textId="400E611D" w:rsidR="008F3F7F" w:rsidRPr="00D948C1" w:rsidRDefault="00A72871" w:rsidP="006C0086">
            <w:pPr>
              <w:tabs>
                <w:tab w:val="decimal" w:pos="717"/>
              </w:tabs>
              <w:spacing w:line="276" w:lineRule="auto"/>
              <w:ind w:left="34"/>
              <w:jc w:val="right"/>
              <w:rPr>
                <w:b/>
                <w:szCs w:val="24"/>
              </w:rPr>
            </w:pPr>
            <w:r w:rsidRPr="00D948C1">
              <w:rPr>
                <w:b/>
                <w:szCs w:val="24"/>
              </w:rPr>
              <w:t>500</w:t>
            </w:r>
          </w:p>
        </w:tc>
        <w:tc>
          <w:tcPr>
            <w:tcW w:w="1242" w:type="dxa"/>
            <w:vAlign w:val="center"/>
          </w:tcPr>
          <w:p w14:paraId="40EB8CB1" w14:textId="065850EC" w:rsidR="008F3F7F" w:rsidRPr="00D948C1" w:rsidRDefault="008F3F7F" w:rsidP="006C0086">
            <w:pPr>
              <w:tabs>
                <w:tab w:val="decimal" w:pos="717"/>
              </w:tabs>
              <w:spacing w:line="276" w:lineRule="auto"/>
              <w:ind w:left="34"/>
              <w:jc w:val="right"/>
              <w:rPr>
                <w:b/>
                <w:szCs w:val="24"/>
              </w:rPr>
            </w:pPr>
            <w:r w:rsidRPr="00D948C1">
              <w:rPr>
                <w:b/>
                <w:szCs w:val="24"/>
              </w:rPr>
              <w:t>3,147</w:t>
            </w:r>
          </w:p>
        </w:tc>
        <w:tc>
          <w:tcPr>
            <w:tcW w:w="1242" w:type="dxa"/>
            <w:vAlign w:val="center"/>
          </w:tcPr>
          <w:p w14:paraId="278132DA" w14:textId="67A8EE13" w:rsidR="008F3F7F" w:rsidRPr="00D948C1" w:rsidRDefault="008F3F7F" w:rsidP="006C0086">
            <w:pPr>
              <w:tabs>
                <w:tab w:val="decimal" w:pos="884"/>
              </w:tabs>
              <w:spacing w:line="276" w:lineRule="auto"/>
              <w:ind w:left="34"/>
              <w:jc w:val="right"/>
              <w:rPr>
                <w:b/>
                <w:szCs w:val="24"/>
              </w:rPr>
            </w:pPr>
            <w:r w:rsidRPr="00D948C1">
              <w:rPr>
                <w:b/>
                <w:szCs w:val="24"/>
              </w:rPr>
              <w:t>3</w:t>
            </w:r>
            <w:r w:rsidR="00A72871" w:rsidRPr="00D948C1">
              <w:rPr>
                <w:b/>
                <w:szCs w:val="24"/>
              </w:rPr>
              <w:t>3,380</w:t>
            </w:r>
          </w:p>
        </w:tc>
        <w:tc>
          <w:tcPr>
            <w:tcW w:w="1310" w:type="dxa"/>
            <w:vAlign w:val="center"/>
          </w:tcPr>
          <w:p w14:paraId="6C740EB2" w14:textId="73E4183C" w:rsidR="008F3F7F" w:rsidRPr="00D948C1" w:rsidRDefault="008F3F7F" w:rsidP="006C0086">
            <w:pPr>
              <w:tabs>
                <w:tab w:val="decimal" w:pos="884"/>
              </w:tabs>
              <w:spacing w:line="276" w:lineRule="auto"/>
              <w:ind w:left="34"/>
              <w:jc w:val="right"/>
              <w:rPr>
                <w:b/>
                <w:szCs w:val="24"/>
              </w:rPr>
            </w:pPr>
            <w:r w:rsidRPr="00D948C1">
              <w:rPr>
                <w:b/>
                <w:szCs w:val="24"/>
              </w:rPr>
              <w:t>36,680</w:t>
            </w:r>
          </w:p>
        </w:tc>
      </w:tr>
    </w:tbl>
    <w:p w14:paraId="58543FAA" w14:textId="77777777" w:rsidR="001E71F1" w:rsidRPr="00D948C1" w:rsidRDefault="001E71F1" w:rsidP="006C0086">
      <w:pPr>
        <w:spacing w:line="276" w:lineRule="auto"/>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D948C1" w14:paraId="371E6237" w14:textId="77777777" w:rsidTr="007641BA">
        <w:trPr>
          <w:trHeight w:val="300"/>
        </w:trPr>
        <w:tc>
          <w:tcPr>
            <w:tcW w:w="9498" w:type="dxa"/>
            <w:gridSpan w:val="5"/>
            <w:shd w:val="clear" w:color="auto" w:fill="D9D9D9" w:themeFill="background1" w:themeFillShade="D9"/>
          </w:tcPr>
          <w:p w14:paraId="16758FE8" w14:textId="0EBF0A18" w:rsidR="00053629" w:rsidRPr="00D948C1" w:rsidRDefault="00053629" w:rsidP="006C0086">
            <w:pPr>
              <w:tabs>
                <w:tab w:val="decimal" w:pos="717"/>
              </w:tabs>
              <w:spacing w:line="276" w:lineRule="auto"/>
              <w:ind w:left="34"/>
              <w:rPr>
                <w:b/>
                <w:szCs w:val="24"/>
              </w:rPr>
            </w:pPr>
            <w:r w:rsidRPr="00D948C1">
              <w:rPr>
                <w:b/>
                <w:szCs w:val="24"/>
              </w:rPr>
              <w:t>Other post-employment benefit charged to the Comprehensive Income and Expenditure Statement</w:t>
            </w:r>
          </w:p>
        </w:tc>
      </w:tr>
      <w:tr w:rsidR="008F3F7F" w:rsidRPr="00D948C1" w14:paraId="04158396" w14:textId="77777777" w:rsidTr="008F6F5D">
        <w:trPr>
          <w:trHeight w:val="300"/>
        </w:trPr>
        <w:tc>
          <w:tcPr>
            <w:tcW w:w="4536" w:type="dxa"/>
          </w:tcPr>
          <w:p w14:paraId="23AAB4E5" w14:textId="77777777" w:rsidR="008F3F7F" w:rsidRPr="00D948C1" w:rsidRDefault="008F3F7F" w:rsidP="006C0086">
            <w:pPr>
              <w:numPr>
                <w:ilvl w:val="0"/>
                <w:numId w:val="16"/>
              </w:numPr>
              <w:tabs>
                <w:tab w:val="clear" w:pos="754"/>
                <w:tab w:val="num" w:pos="459"/>
              </w:tabs>
              <w:spacing w:line="276" w:lineRule="auto"/>
              <w:ind w:hanging="720"/>
              <w:rPr>
                <w:szCs w:val="24"/>
              </w:rPr>
            </w:pPr>
            <w:r w:rsidRPr="00D948C1">
              <w:rPr>
                <w:szCs w:val="24"/>
              </w:rPr>
              <w:t>Actuarial (gains) and losses</w:t>
            </w:r>
          </w:p>
        </w:tc>
        <w:tc>
          <w:tcPr>
            <w:tcW w:w="1168" w:type="dxa"/>
            <w:vAlign w:val="center"/>
          </w:tcPr>
          <w:p w14:paraId="66EA71A8" w14:textId="2B8C7795" w:rsidR="008F3F7F" w:rsidRPr="00D948C1" w:rsidRDefault="008F3F7F" w:rsidP="006C0086">
            <w:pPr>
              <w:tabs>
                <w:tab w:val="decimal" w:pos="717"/>
              </w:tabs>
              <w:spacing w:line="276" w:lineRule="auto"/>
              <w:ind w:left="34"/>
              <w:jc w:val="right"/>
              <w:rPr>
                <w:szCs w:val="24"/>
              </w:rPr>
            </w:pPr>
            <w:r w:rsidRPr="00D948C1">
              <w:rPr>
                <w:szCs w:val="24"/>
              </w:rPr>
              <w:t>(</w:t>
            </w:r>
            <w:r w:rsidR="00A72871" w:rsidRPr="00D948C1">
              <w:rPr>
                <w:szCs w:val="24"/>
              </w:rPr>
              <w:t>5</w:t>
            </w:r>
            <w:r w:rsidR="00984859">
              <w:rPr>
                <w:szCs w:val="24"/>
              </w:rPr>
              <w:t>0</w:t>
            </w:r>
            <w:r w:rsidRPr="00D948C1">
              <w:rPr>
                <w:szCs w:val="24"/>
              </w:rPr>
              <w:t>)</w:t>
            </w:r>
          </w:p>
        </w:tc>
        <w:tc>
          <w:tcPr>
            <w:tcW w:w="1242" w:type="dxa"/>
            <w:vAlign w:val="center"/>
          </w:tcPr>
          <w:p w14:paraId="4B172A46" w14:textId="081DF349" w:rsidR="008F3F7F" w:rsidRPr="00D948C1" w:rsidRDefault="008F3F7F" w:rsidP="006C0086">
            <w:pPr>
              <w:tabs>
                <w:tab w:val="decimal" w:pos="717"/>
              </w:tabs>
              <w:spacing w:line="276" w:lineRule="auto"/>
              <w:ind w:left="34"/>
              <w:jc w:val="right"/>
              <w:rPr>
                <w:szCs w:val="24"/>
              </w:rPr>
            </w:pPr>
            <w:r w:rsidRPr="00D948C1">
              <w:rPr>
                <w:szCs w:val="24"/>
              </w:rPr>
              <w:t>(10,297)</w:t>
            </w:r>
          </w:p>
        </w:tc>
        <w:tc>
          <w:tcPr>
            <w:tcW w:w="1242" w:type="dxa"/>
            <w:vAlign w:val="center"/>
          </w:tcPr>
          <w:p w14:paraId="52BD9D04" w14:textId="787EEAEC" w:rsidR="008F3F7F" w:rsidRPr="00D948C1" w:rsidRDefault="008F3F7F" w:rsidP="006C0086">
            <w:pPr>
              <w:tabs>
                <w:tab w:val="decimal" w:pos="884"/>
              </w:tabs>
              <w:spacing w:line="276" w:lineRule="auto"/>
              <w:ind w:left="34"/>
              <w:jc w:val="right"/>
              <w:rPr>
                <w:bCs/>
                <w:szCs w:val="24"/>
              </w:rPr>
            </w:pPr>
            <w:r w:rsidRPr="00D948C1">
              <w:rPr>
                <w:bCs/>
                <w:szCs w:val="24"/>
              </w:rPr>
              <w:t>(</w:t>
            </w:r>
            <w:r w:rsidR="00A72871" w:rsidRPr="00D948C1">
              <w:rPr>
                <w:bCs/>
                <w:szCs w:val="24"/>
              </w:rPr>
              <w:t>4,120</w:t>
            </w:r>
            <w:r w:rsidRPr="00D948C1">
              <w:rPr>
                <w:bCs/>
                <w:szCs w:val="24"/>
              </w:rPr>
              <w:t>)</w:t>
            </w:r>
          </w:p>
        </w:tc>
        <w:tc>
          <w:tcPr>
            <w:tcW w:w="1310" w:type="dxa"/>
            <w:vAlign w:val="center"/>
          </w:tcPr>
          <w:p w14:paraId="4F3D7745" w14:textId="094A7A70" w:rsidR="008F3F7F" w:rsidRPr="00D948C1" w:rsidRDefault="008F3F7F" w:rsidP="006C0086">
            <w:pPr>
              <w:tabs>
                <w:tab w:val="decimal" w:pos="884"/>
              </w:tabs>
              <w:spacing w:line="276" w:lineRule="auto"/>
              <w:ind w:left="34"/>
              <w:jc w:val="right"/>
              <w:rPr>
                <w:szCs w:val="24"/>
              </w:rPr>
            </w:pPr>
            <w:r w:rsidRPr="00D948C1">
              <w:rPr>
                <w:bCs/>
                <w:szCs w:val="24"/>
              </w:rPr>
              <w:t>(234,480)</w:t>
            </w:r>
          </w:p>
        </w:tc>
      </w:tr>
      <w:tr w:rsidR="008F3F7F" w:rsidRPr="00D948C1" w14:paraId="3C89A1E0" w14:textId="77777777" w:rsidTr="008F6F5D">
        <w:trPr>
          <w:trHeight w:val="300"/>
        </w:trPr>
        <w:tc>
          <w:tcPr>
            <w:tcW w:w="4536" w:type="dxa"/>
          </w:tcPr>
          <w:p w14:paraId="4865CC16" w14:textId="6DC01BD2" w:rsidR="008F3F7F" w:rsidRPr="00D948C1" w:rsidRDefault="008F3F7F" w:rsidP="006C0086">
            <w:pPr>
              <w:spacing w:line="276" w:lineRule="auto"/>
              <w:ind w:left="34"/>
              <w:rPr>
                <w:b/>
                <w:szCs w:val="24"/>
              </w:rPr>
            </w:pPr>
            <w:r w:rsidRPr="00D948C1">
              <w:rPr>
                <w:b/>
                <w:szCs w:val="24"/>
              </w:rPr>
              <w:t>Total post-employment benefit charged to the Comprehensive Income and Expenditure Statement</w:t>
            </w:r>
          </w:p>
        </w:tc>
        <w:tc>
          <w:tcPr>
            <w:tcW w:w="1168" w:type="dxa"/>
            <w:vAlign w:val="center"/>
          </w:tcPr>
          <w:p w14:paraId="0453437C" w14:textId="32A66CE6" w:rsidR="008F3F7F" w:rsidRPr="00D948C1" w:rsidRDefault="00984859" w:rsidP="006C0086">
            <w:pPr>
              <w:tabs>
                <w:tab w:val="decimal" w:pos="717"/>
              </w:tabs>
              <w:spacing w:line="276" w:lineRule="auto"/>
              <w:ind w:left="34"/>
              <w:jc w:val="right"/>
              <w:rPr>
                <w:b/>
                <w:szCs w:val="24"/>
              </w:rPr>
            </w:pPr>
            <w:r>
              <w:rPr>
                <w:b/>
                <w:szCs w:val="24"/>
              </w:rPr>
              <w:t>450</w:t>
            </w:r>
          </w:p>
        </w:tc>
        <w:tc>
          <w:tcPr>
            <w:tcW w:w="1242" w:type="dxa"/>
            <w:vAlign w:val="center"/>
          </w:tcPr>
          <w:p w14:paraId="7E59D138" w14:textId="40A6D368" w:rsidR="008F3F7F" w:rsidRPr="00D948C1" w:rsidRDefault="008F3F7F" w:rsidP="006C0086">
            <w:pPr>
              <w:tabs>
                <w:tab w:val="decimal" w:pos="717"/>
              </w:tabs>
              <w:spacing w:line="276" w:lineRule="auto"/>
              <w:ind w:left="34"/>
              <w:jc w:val="right"/>
              <w:rPr>
                <w:b/>
                <w:szCs w:val="24"/>
              </w:rPr>
            </w:pPr>
            <w:r w:rsidRPr="00D948C1">
              <w:rPr>
                <w:b/>
                <w:szCs w:val="24"/>
              </w:rPr>
              <w:t>(7,150)</w:t>
            </w:r>
          </w:p>
        </w:tc>
        <w:tc>
          <w:tcPr>
            <w:tcW w:w="1242" w:type="dxa"/>
            <w:vAlign w:val="center"/>
          </w:tcPr>
          <w:p w14:paraId="56BC42DC" w14:textId="713244B6" w:rsidR="008F3F7F" w:rsidRPr="00D948C1" w:rsidRDefault="00A72871" w:rsidP="006C0086">
            <w:pPr>
              <w:tabs>
                <w:tab w:val="decimal" w:pos="884"/>
              </w:tabs>
              <w:spacing w:line="276" w:lineRule="auto"/>
              <w:ind w:left="34"/>
              <w:jc w:val="right"/>
              <w:rPr>
                <w:b/>
                <w:szCs w:val="24"/>
              </w:rPr>
            </w:pPr>
            <w:r w:rsidRPr="00D948C1">
              <w:rPr>
                <w:b/>
                <w:szCs w:val="24"/>
              </w:rPr>
              <w:t>29,260</w:t>
            </w:r>
          </w:p>
        </w:tc>
        <w:tc>
          <w:tcPr>
            <w:tcW w:w="1310" w:type="dxa"/>
            <w:vAlign w:val="center"/>
          </w:tcPr>
          <w:p w14:paraId="55CD357B" w14:textId="4AD1F6E2" w:rsidR="008F3F7F" w:rsidRPr="00D948C1" w:rsidRDefault="008F3F7F" w:rsidP="006C0086">
            <w:pPr>
              <w:tabs>
                <w:tab w:val="decimal" w:pos="884"/>
              </w:tabs>
              <w:spacing w:line="276" w:lineRule="auto"/>
              <w:ind w:left="34"/>
              <w:jc w:val="right"/>
              <w:rPr>
                <w:b/>
                <w:szCs w:val="24"/>
              </w:rPr>
            </w:pPr>
            <w:r w:rsidRPr="00D948C1">
              <w:rPr>
                <w:b/>
                <w:szCs w:val="24"/>
              </w:rPr>
              <w:t>(197,800)</w:t>
            </w:r>
          </w:p>
        </w:tc>
      </w:tr>
    </w:tbl>
    <w:p w14:paraId="000F9498" w14:textId="77777777" w:rsidR="00495739" w:rsidRDefault="00495739" w:rsidP="006C0086">
      <w:pPr>
        <w:spacing w:line="276" w:lineRule="auto"/>
      </w:pPr>
      <w:r>
        <w:br w:type="page"/>
      </w: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D948C1" w14:paraId="41B1CF30" w14:textId="77777777" w:rsidTr="00982FEC">
        <w:trPr>
          <w:trHeight w:val="300"/>
        </w:trPr>
        <w:tc>
          <w:tcPr>
            <w:tcW w:w="9498" w:type="dxa"/>
            <w:gridSpan w:val="5"/>
            <w:shd w:val="clear" w:color="auto" w:fill="D9D9D9" w:themeFill="background1" w:themeFillShade="D9"/>
          </w:tcPr>
          <w:p w14:paraId="446DC1D5" w14:textId="155A813C" w:rsidR="00053629" w:rsidRPr="00D948C1" w:rsidRDefault="00053629" w:rsidP="006C0086">
            <w:pPr>
              <w:tabs>
                <w:tab w:val="decimal" w:pos="717"/>
              </w:tabs>
              <w:spacing w:line="276" w:lineRule="auto"/>
              <w:ind w:left="34"/>
              <w:rPr>
                <w:b/>
                <w:szCs w:val="24"/>
              </w:rPr>
            </w:pPr>
            <w:r w:rsidRPr="00D948C1">
              <w:rPr>
                <w:b/>
                <w:szCs w:val="24"/>
              </w:rPr>
              <w:lastRenderedPageBreak/>
              <w:t>Movement in reserves statement</w:t>
            </w:r>
          </w:p>
        </w:tc>
      </w:tr>
      <w:tr w:rsidR="008F3F7F" w:rsidRPr="00D948C1" w14:paraId="1FEE3C73" w14:textId="77777777" w:rsidTr="008F6F5D">
        <w:trPr>
          <w:trHeight w:val="300"/>
        </w:trPr>
        <w:tc>
          <w:tcPr>
            <w:tcW w:w="4536" w:type="dxa"/>
          </w:tcPr>
          <w:p w14:paraId="5D6630DD" w14:textId="16676097" w:rsidR="008F3F7F" w:rsidRPr="00D948C1" w:rsidRDefault="008F3F7F" w:rsidP="006C0086">
            <w:pPr>
              <w:numPr>
                <w:ilvl w:val="0"/>
                <w:numId w:val="16"/>
              </w:numPr>
              <w:tabs>
                <w:tab w:val="clear" w:pos="754"/>
                <w:tab w:val="num" w:pos="459"/>
              </w:tabs>
              <w:spacing w:line="276" w:lineRule="auto"/>
              <w:ind w:left="459" w:hanging="425"/>
              <w:rPr>
                <w:b/>
                <w:szCs w:val="24"/>
              </w:rPr>
            </w:pPr>
            <w:r w:rsidRPr="00D948C1">
              <w:rPr>
                <w:szCs w:val="24"/>
              </w:rPr>
              <w:t>Reversal of net charges made to the</w:t>
            </w:r>
            <w:r w:rsidRPr="00D948C1">
              <w:rPr>
                <w:b/>
                <w:szCs w:val="24"/>
              </w:rPr>
              <w:t xml:space="preserve"> </w:t>
            </w:r>
            <w:r w:rsidRPr="00D948C1">
              <w:rPr>
                <w:szCs w:val="24"/>
              </w:rPr>
              <w:t>deficit on provision of services in accordance with the code</w:t>
            </w:r>
          </w:p>
        </w:tc>
        <w:tc>
          <w:tcPr>
            <w:tcW w:w="1168" w:type="dxa"/>
            <w:vAlign w:val="center"/>
          </w:tcPr>
          <w:p w14:paraId="346D729D" w14:textId="79B6BAA1" w:rsidR="008F3F7F" w:rsidRPr="00D948C1" w:rsidRDefault="008F3F7F" w:rsidP="006C0086">
            <w:pPr>
              <w:tabs>
                <w:tab w:val="decimal" w:pos="717"/>
              </w:tabs>
              <w:spacing w:line="276" w:lineRule="auto"/>
              <w:ind w:left="34"/>
              <w:jc w:val="right"/>
              <w:rPr>
                <w:szCs w:val="24"/>
              </w:rPr>
            </w:pPr>
            <w:r w:rsidRPr="00D948C1">
              <w:rPr>
                <w:szCs w:val="24"/>
              </w:rPr>
              <w:t>(</w:t>
            </w:r>
            <w:r w:rsidR="00A72871" w:rsidRPr="00D948C1">
              <w:rPr>
                <w:szCs w:val="24"/>
              </w:rPr>
              <w:t>144</w:t>
            </w:r>
            <w:r w:rsidRPr="00D948C1">
              <w:rPr>
                <w:szCs w:val="24"/>
              </w:rPr>
              <w:t>)</w:t>
            </w:r>
          </w:p>
        </w:tc>
        <w:tc>
          <w:tcPr>
            <w:tcW w:w="1242" w:type="dxa"/>
            <w:vAlign w:val="center"/>
          </w:tcPr>
          <w:p w14:paraId="75C5209C" w14:textId="050FF728" w:rsidR="008F3F7F" w:rsidRPr="00D948C1" w:rsidRDefault="008F3F7F" w:rsidP="006C0086">
            <w:pPr>
              <w:tabs>
                <w:tab w:val="decimal" w:pos="717"/>
              </w:tabs>
              <w:spacing w:line="276" w:lineRule="auto"/>
              <w:ind w:left="34"/>
              <w:jc w:val="right"/>
              <w:rPr>
                <w:szCs w:val="24"/>
              </w:rPr>
            </w:pPr>
            <w:r w:rsidRPr="00D948C1">
              <w:rPr>
                <w:szCs w:val="24"/>
              </w:rPr>
              <w:t>(2,799)</w:t>
            </w:r>
          </w:p>
        </w:tc>
        <w:tc>
          <w:tcPr>
            <w:tcW w:w="1242" w:type="dxa"/>
            <w:vAlign w:val="center"/>
          </w:tcPr>
          <w:p w14:paraId="2680F87C" w14:textId="418F4AF2" w:rsidR="008F3F7F" w:rsidRPr="00D948C1" w:rsidRDefault="008F3F7F" w:rsidP="006C0086">
            <w:pPr>
              <w:tabs>
                <w:tab w:val="decimal" w:pos="884"/>
              </w:tabs>
              <w:spacing w:line="276" w:lineRule="auto"/>
              <w:ind w:left="34"/>
              <w:jc w:val="right"/>
              <w:rPr>
                <w:szCs w:val="24"/>
              </w:rPr>
            </w:pPr>
            <w:r w:rsidRPr="00D948C1">
              <w:rPr>
                <w:szCs w:val="24"/>
              </w:rPr>
              <w:t>(</w:t>
            </w:r>
            <w:r w:rsidR="00A72871" w:rsidRPr="00D948C1">
              <w:rPr>
                <w:szCs w:val="24"/>
              </w:rPr>
              <w:t>4,410</w:t>
            </w:r>
            <w:r w:rsidRPr="00D948C1">
              <w:rPr>
                <w:szCs w:val="24"/>
              </w:rPr>
              <w:t>)</w:t>
            </w:r>
          </w:p>
        </w:tc>
        <w:tc>
          <w:tcPr>
            <w:tcW w:w="1310" w:type="dxa"/>
            <w:vAlign w:val="center"/>
          </w:tcPr>
          <w:p w14:paraId="14E49329" w14:textId="6979FAF9" w:rsidR="008F3F7F" w:rsidRPr="00D948C1" w:rsidRDefault="008F3F7F" w:rsidP="006C0086">
            <w:pPr>
              <w:tabs>
                <w:tab w:val="decimal" w:pos="884"/>
              </w:tabs>
              <w:spacing w:line="276" w:lineRule="auto"/>
              <w:ind w:left="34"/>
              <w:jc w:val="right"/>
              <w:rPr>
                <w:szCs w:val="24"/>
              </w:rPr>
            </w:pPr>
            <w:r w:rsidRPr="00D948C1">
              <w:rPr>
                <w:szCs w:val="24"/>
              </w:rPr>
              <w:t>(10,080)</w:t>
            </w:r>
          </w:p>
        </w:tc>
      </w:tr>
    </w:tbl>
    <w:p w14:paraId="37CAC914" w14:textId="77777777" w:rsidR="001E71F1" w:rsidRPr="00D948C1" w:rsidRDefault="001E71F1" w:rsidP="006C0086">
      <w:pPr>
        <w:spacing w:line="276" w:lineRule="auto"/>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242"/>
        <w:gridCol w:w="1310"/>
      </w:tblGrid>
      <w:tr w:rsidR="00053629" w:rsidRPr="00D948C1" w14:paraId="3DC62280" w14:textId="77777777" w:rsidTr="00982FEC">
        <w:trPr>
          <w:trHeight w:val="300"/>
        </w:trPr>
        <w:tc>
          <w:tcPr>
            <w:tcW w:w="9498" w:type="dxa"/>
            <w:gridSpan w:val="5"/>
            <w:shd w:val="clear" w:color="auto" w:fill="D9D9D9" w:themeFill="background1" w:themeFillShade="D9"/>
          </w:tcPr>
          <w:p w14:paraId="0D74329B" w14:textId="57BAD4BD" w:rsidR="00053629" w:rsidRPr="00D948C1" w:rsidRDefault="00053629" w:rsidP="006C0086">
            <w:pPr>
              <w:tabs>
                <w:tab w:val="decimal" w:pos="717"/>
              </w:tabs>
              <w:spacing w:line="276" w:lineRule="auto"/>
              <w:ind w:left="34"/>
              <w:rPr>
                <w:b/>
                <w:szCs w:val="24"/>
              </w:rPr>
            </w:pPr>
            <w:r w:rsidRPr="00D948C1">
              <w:rPr>
                <w:b/>
                <w:szCs w:val="24"/>
              </w:rPr>
              <w:t>Actual amount charged against the General Fund Balance for pensions in the year:</w:t>
            </w:r>
          </w:p>
        </w:tc>
      </w:tr>
      <w:tr w:rsidR="00053629" w:rsidRPr="00D948C1" w14:paraId="6F8300F6" w14:textId="77777777" w:rsidTr="008F6F5D">
        <w:trPr>
          <w:trHeight w:val="300"/>
        </w:trPr>
        <w:tc>
          <w:tcPr>
            <w:tcW w:w="4536" w:type="dxa"/>
          </w:tcPr>
          <w:p w14:paraId="75265932" w14:textId="77777777" w:rsidR="00053629" w:rsidRPr="00D948C1" w:rsidRDefault="00053629" w:rsidP="006C0086">
            <w:pPr>
              <w:pStyle w:val="Footer"/>
              <w:tabs>
                <w:tab w:val="clear" w:pos="4153"/>
                <w:tab w:val="clear" w:pos="8306"/>
              </w:tabs>
              <w:spacing w:line="276" w:lineRule="auto"/>
              <w:ind w:left="34"/>
              <w:rPr>
                <w:szCs w:val="24"/>
              </w:rPr>
            </w:pPr>
            <w:r w:rsidRPr="00D948C1">
              <w:rPr>
                <w:szCs w:val="24"/>
              </w:rPr>
              <w:t>Employers’ contributions payable to the scheme</w:t>
            </w:r>
          </w:p>
        </w:tc>
        <w:tc>
          <w:tcPr>
            <w:tcW w:w="1168" w:type="dxa"/>
            <w:vAlign w:val="center"/>
          </w:tcPr>
          <w:p w14:paraId="5B38C50E" w14:textId="03210047" w:rsidR="00053629" w:rsidRPr="00D948C1" w:rsidRDefault="00053629" w:rsidP="006C0086">
            <w:pPr>
              <w:tabs>
                <w:tab w:val="decimal" w:pos="717"/>
              </w:tabs>
              <w:spacing w:line="276" w:lineRule="auto"/>
              <w:ind w:left="34"/>
              <w:jc w:val="right"/>
              <w:rPr>
                <w:szCs w:val="24"/>
              </w:rPr>
            </w:pPr>
            <w:r w:rsidRPr="00D948C1">
              <w:rPr>
                <w:szCs w:val="24"/>
              </w:rPr>
              <w:t>(3</w:t>
            </w:r>
            <w:r w:rsidR="00A72871" w:rsidRPr="00D948C1">
              <w:rPr>
                <w:szCs w:val="24"/>
              </w:rPr>
              <w:t>56</w:t>
            </w:r>
            <w:r w:rsidRPr="00D948C1">
              <w:rPr>
                <w:szCs w:val="24"/>
              </w:rPr>
              <w:t>)</w:t>
            </w:r>
          </w:p>
        </w:tc>
        <w:tc>
          <w:tcPr>
            <w:tcW w:w="1242" w:type="dxa"/>
            <w:vAlign w:val="center"/>
          </w:tcPr>
          <w:p w14:paraId="2BEC8786" w14:textId="58796101" w:rsidR="00053629" w:rsidRPr="00D948C1" w:rsidRDefault="00053629" w:rsidP="006C0086">
            <w:pPr>
              <w:tabs>
                <w:tab w:val="decimal" w:pos="717"/>
              </w:tabs>
              <w:spacing w:line="276" w:lineRule="auto"/>
              <w:ind w:left="34"/>
              <w:jc w:val="right"/>
              <w:rPr>
                <w:szCs w:val="24"/>
              </w:rPr>
            </w:pPr>
            <w:r w:rsidRPr="00D948C1">
              <w:rPr>
                <w:szCs w:val="24"/>
              </w:rPr>
              <w:t>(34</w:t>
            </w:r>
            <w:r w:rsidR="008F3F7F" w:rsidRPr="00D948C1">
              <w:rPr>
                <w:szCs w:val="24"/>
              </w:rPr>
              <w:t>8</w:t>
            </w:r>
            <w:r w:rsidRPr="00D948C1">
              <w:rPr>
                <w:szCs w:val="24"/>
              </w:rPr>
              <w:t>)</w:t>
            </w:r>
          </w:p>
        </w:tc>
        <w:tc>
          <w:tcPr>
            <w:tcW w:w="1242" w:type="dxa"/>
            <w:vAlign w:val="center"/>
          </w:tcPr>
          <w:p w14:paraId="2C17E690" w14:textId="41F643D1" w:rsidR="00053629" w:rsidRPr="00D948C1" w:rsidRDefault="00A72871" w:rsidP="006C0086">
            <w:pPr>
              <w:tabs>
                <w:tab w:val="decimal" w:pos="717"/>
              </w:tabs>
              <w:spacing w:line="276" w:lineRule="auto"/>
              <w:ind w:left="34"/>
              <w:jc w:val="right"/>
              <w:rPr>
                <w:szCs w:val="24"/>
              </w:rPr>
            </w:pPr>
            <w:r w:rsidRPr="00D948C1">
              <w:rPr>
                <w:szCs w:val="24"/>
              </w:rPr>
              <w:t>-</w:t>
            </w:r>
          </w:p>
        </w:tc>
        <w:tc>
          <w:tcPr>
            <w:tcW w:w="1310" w:type="dxa"/>
            <w:vAlign w:val="center"/>
          </w:tcPr>
          <w:p w14:paraId="2BF4F5B6" w14:textId="7DFED2CA" w:rsidR="00053629" w:rsidRPr="00D948C1" w:rsidRDefault="00053629" w:rsidP="006C0086">
            <w:pPr>
              <w:tabs>
                <w:tab w:val="decimal" w:pos="717"/>
              </w:tabs>
              <w:spacing w:line="276" w:lineRule="auto"/>
              <w:ind w:left="34"/>
              <w:jc w:val="right"/>
              <w:rPr>
                <w:szCs w:val="24"/>
              </w:rPr>
            </w:pPr>
            <w:r w:rsidRPr="00D948C1">
              <w:rPr>
                <w:szCs w:val="24"/>
              </w:rPr>
              <w:t>-</w:t>
            </w:r>
          </w:p>
        </w:tc>
      </w:tr>
      <w:tr w:rsidR="00053629" w:rsidRPr="00D948C1" w14:paraId="30B5A597" w14:textId="77777777" w:rsidTr="008F6F5D">
        <w:trPr>
          <w:trHeight w:val="300"/>
        </w:trPr>
        <w:tc>
          <w:tcPr>
            <w:tcW w:w="4536" w:type="dxa"/>
          </w:tcPr>
          <w:p w14:paraId="0FC8BFE7" w14:textId="77777777" w:rsidR="00053629" w:rsidRPr="00D948C1" w:rsidRDefault="00053629" w:rsidP="006C0086">
            <w:pPr>
              <w:pStyle w:val="Footer"/>
              <w:tabs>
                <w:tab w:val="clear" w:pos="4153"/>
                <w:tab w:val="clear" w:pos="8306"/>
              </w:tabs>
              <w:spacing w:line="276" w:lineRule="auto"/>
              <w:ind w:left="34"/>
              <w:rPr>
                <w:szCs w:val="24"/>
              </w:rPr>
            </w:pPr>
            <w:r w:rsidRPr="00D948C1">
              <w:rPr>
                <w:szCs w:val="24"/>
              </w:rPr>
              <w:t>Net retirement benefits payable to pensioners</w:t>
            </w:r>
          </w:p>
        </w:tc>
        <w:tc>
          <w:tcPr>
            <w:tcW w:w="1168" w:type="dxa"/>
            <w:vAlign w:val="center"/>
          </w:tcPr>
          <w:p w14:paraId="2376AF00" w14:textId="77777777" w:rsidR="00053629" w:rsidRPr="00D948C1" w:rsidRDefault="00053629" w:rsidP="006C0086">
            <w:pPr>
              <w:tabs>
                <w:tab w:val="decimal" w:pos="717"/>
              </w:tabs>
              <w:spacing w:line="276" w:lineRule="auto"/>
              <w:ind w:left="34"/>
              <w:jc w:val="right"/>
              <w:rPr>
                <w:szCs w:val="24"/>
              </w:rPr>
            </w:pPr>
            <w:r w:rsidRPr="00D948C1">
              <w:rPr>
                <w:szCs w:val="24"/>
              </w:rPr>
              <w:t>-</w:t>
            </w:r>
          </w:p>
        </w:tc>
        <w:tc>
          <w:tcPr>
            <w:tcW w:w="1242" w:type="dxa"/>
            <w:vAlign w:val="center"/>
          </w:tcPr>
          <w:p w14:paraId="1B2461AD" w14:textId="62AB1A8F" w:rsidR="00053629" w:rsidRPr="00D948C1" w:rsidRDefault="00053629" w:rsidP="006C0086">
            <w:pPr>
              <w:tabs>
                <w:tab w:val="decimal" w:pos="717"/>
              </w:tabs>
              <w:spacing w:line="276" w:lineRule="auto"/>
              <w:ind w:left="34"/>
              <w:jc w:val="right"/>
              <w:rPr>
                <w:szCs w:val="24"/>
              </w:rPr>
            </w:pPr>
            <w:r w:rsidRPr="00D948C1">
              <w:rPr>
                <w:szCs w:val="24"/>
              </w:rPr>
              <w:t>-</w:t>
            </w:r>
          </w:p>
        </w:tc>
        <w:tc>
          <w:tcPr>
            <w:tcW w:w="1242" w:type="dxa"/>
            <w:vAlign w:val="center"/>
          </w:tcPr>
          <w:p w14:paraId="5DC3F90C" w14:textId="03F333C8" w:rsidR="00053629" w:rsidRPr="00D948C1" w:rsidRDefault="00053629" w:rsidP="006C0086">
            <w:pPr>
              <w:tabs>
                <w:tab w:val="decimal" w:pos="884"/>
              </w:tabs>
              <w:spacing w:line="276" w:lineRule="auto"/>
              <w:ind w:left="34"/>
              <w:jc w:val="right"/>
              <w:rPr>
                <w:szCs w:val="24"/>
              </w:rPr>
            </w:pPr>
            <w:r w:rsidRPr="00D948C1">
              <w:rPr>
                <w:szCs w:val="24"/>
              </w:rPr>
              <w:t>(</w:t>
            </w:r>
            <w:r w:rsidR="00A72871" w:rsidRPr="00D948C1">
              <w:rPr>
                <w:szCs w:val="24"/>
              </w:rPr>
              <w:t>28,970</w:t>
            </w:r>
            <w:r w:rsidRPr="00D948C1">
              <w:rPr>
                <w:szCs w:val="24"/>
              </w:rPr>
              <w:t>)</w:t>
            </w:r>
          </w:p>
        </w:tc>
        <w:tc>
          <w:tcPr>
            <w:tcW w:w="1310" w:type="dxa"/>
            <w:vAlign w:val="center"/>
          </w:tcPr>
          <w:p w14:paraId="42361AF9" w14:textId="22FF7630" w:rsidR="00053629" w:rsidRPr="00D948C1" w:rsidRDefault="00053629" w:rsidP="006C0086">
            <w:pPr>
              <w:tabs>
                <w:tab w:val="decimal" w:pos="884"/>
              </w:tabs>
              <w:spacing w:line="276" w:lineRule="auto"/>
              <w:ind w:left="34"/>
              <w:jc w:val="right"/>
              <w:rPr>
                <w:szCs w:val="24"/>
              </w:rPr>
            </w:pPr>
            <w:r w:rsidRPr="00D948C1">
              <w:rPr>
                <w:szCs w:val="24"/>
              </w:rPr>
              <w:t>(26,600)</w:t>
            </w:r>
          </w:p>
        </w:tc>
      </w:tr>
    </w:tbl>
    <w:p w14:paraId="3638E25C" w14:textId="77777777" w:rsidR="00F663CF" w:rsidRPr="00D948C1" w:rsidRDefault="00F663CF" w:rsidP="006C0086">
      <w:pPr>
        <w:spacing w:line="276" w:lineRule="auto"/>
        <w:ind w:left="706"/>
        <w:jc w:val="both"/>
        <w:rPr>
          <w:sz w:val="22"/>
        </w:rPr>
      </w:pPr>
    </w:p>
    <w:p w14:paraId="001D32CF" w14:textId="5BDA0B1D" w:rsidR="00D90216" w:rsidRPr="00D948C1" w:rsidRDefault="00D90216" w:rsidP="006C0086">
      <w:pPr>
        <w:spacing w:line="276" w:lineRule="auto"/>
        <w:ind w:left="706"/>
        <w:rPr>
          <w:szCs w:val="24"/>
        </w:rPr>
      </w:pPr>
      <w:r w:rsidRPr="00D948C1">
        <w:rPr>
          <w:szCs w:val="24"/>
        </w:rPr>
        <w:t xml:space="preserve">The change in the net </w:t>
      </w:r>
      <w:r w:rsidR="003278CF" w:rsidRPr="00D948C1">
        <w:rPr>
          <w:szCs w:val="24"/>
        </w:rPr>
        <w:t>pension</w:t>
      </w:r>
      <w:r w:rsidRPr="00D948C1">
        <w:rPr>
          <w:szCs w:val="24"/>
        </w:rPr>
        <w:t xml:space="preserve"> liability is analysed into seven components:</w:t>
      </w:r>
    </w:p>
    <w:p w14:paraId="7B32DB07" w14:textId="77777777" w:rsidR="00D90216" w:rsidRPr="00D948C1" w:rsidRDefault="00D90216" w:rsidP="006C0086">
      <w:pPr>
        <w:spacing w:line="276" w:lineRule="auto"/>
        <w:ind w:left="706"/>
        <w:rPr>
          <w:b/>
          <w:szCs w:val="24"/>
        </w:rPr>
      </w:pPr>
    </w:p>
    <w:p w14:paraId="6909A5B6" w14:textId="2854286F" w:rsidR="00D90216" w:rsidRPr="00D948C1" w:rsidRDefault="00D90216" w:rsidP="006C0086">
      <w:pPr>
        <w:spacing w:line="276" w:lineRule="auto"/>
        <w:ind w:left="706"/>
        <w:rPr>
          <w:szCs w:val="24"/>
        </w:rPr>
      </w:pPr>
      <w:r w:rsidRPr="00D948C1">
        <w:rPr>
          <w:b/>
          <w:szCs w:val="24"/>
        </w:rPr>
        <w:t>Current service cost</w:t>
      </w:r>
      <w:r w:rsidRPr="00D948C1">
        <w:rPr>
          <w:szCs w:val="24"/>
        </w:rPr>
        <w:t xml:space="preserve"> – the increase in liabilities </w:t>
      </w:r>
      <w:r w:rsidR="00010C11" w:rsidRPr="00D948C1">
        <w:rPr>
          <w:szCs w:val="24"/>
        </w:rPr>
        <w:t>because of</w:t>
      </w:r>
      <w:r w:rsidRPr="00D948C1">
        <w:rPr>
          <w:szCs w:val="24"/>
        </w:rPr>
        <w:t xml:space="preserve"> years of service earned this year – allocated in the Comprehensive Income and Expenditure Statement to the services for which the employees worked. </w:t>
      </w:r>
    </w:p>
    <w:p w14:paraId="32271D3F" w14:textId="77777777" w:rsidR="00D90216" w:rsidRPr="00D948C1" w:rsidRDefault="00D90216" w:rsidP="006C0086">
      <w:pPr>
        <w:spacing w:line="276" w:lineRule="auto"/>
        <w:ind w:left="706"/>
        <w:rPr>
          <w:b/>
          <w:szCs w:val="24"/>
        </w:rPr>
      </w:pPr>
    </w:p>
    <w:p w14:paraId="2199C378" w14:textId="1734978B" w:rsidR="00D90216" w:rsidRPr="00D948C1" w:rsidRDefault="00D90216" w:rsidP="006C0086">
      <w:pPr>
        <w:spacing w:line="276" w:lineRule="auto"/>
        <w:ind w:left="706"/>
        <w:rPr>
          <w:szCs w:val="24"/>
        </w:rPr>
      </w:pPr>
      <w:r w:rsidRPr="00D948C1">
        <w:rPr>
          <w:b/>
          <w:szCs w:val="24"/>
        </w:rPr>
        <w:t>Past service cost</w:t>
      </w:r>
      <w:r w:rsidR="00075D09" w:rsidRPr="00D948C1">
        <w:rPr>
          <w:b/>
          <w:szCs w:val="24"/>
        </w:rPr>
        <w:t>/(gain)</w:t>
      </w:r>
      <w:r w:rsidRPr="00D948C1">
        <w:rPr>
          <w:szCs w:val="24"/>
        </w:rPr>
        <w:t xml:space="preserve"> – the increase</w:t>
      </w:r>
      <w:r w:rsidR="00075D09" w:rsidRPr="00D948C1">
        <w:rPr>
          <w:szCs w:val="24"/>
        </w:rPr>
        <w:t>/(decrease)</w:t>
      </w:r>
      <w:r w:rsidRPr="00D948C1">
        <w:rPr>
          <w:szCs w:val="24"/>
        </w:rPr>
        <w:t xml:space="preserve"> in liabilities arising from current year decisions whose effect relates to years of service earned in earlier years – debited</w:t>
      </w:r>
      <w:r w:rsidR="00075D09" w:rsidRPr="00D948C1">
        <w:rPr>
          <w:szCs w:val="24"/>
        </w:rPr>
        <w:t>/(credited)</w:t>
      </w:r>
      <w:r w:rsidRPr="00D948C1">
        <w:rPr>
          <w:szCs w:val="24"/>
        </w:rPr>
        <w:t xml:space="preserve"> to the deficit on the provision of services in the Comprehensive Income and Expenditure Statement</w:t>
      </w:r>
      <w:r w:rsidR="006454EE" w:rsidRPr="00D948C1">
        <w:rPr>
          <w:szCs w:val="24"/>
        </w:rPr>
        <w:t>.</w:t>
      </w:r>
    </w:p>
    <w:p w14:paraId="22EC944F" w14:textId="77777777" w:rsidR="00D90216" w:rsidRPr="00D948C1" w:rsidRDefault="00D90216" w:rsidP="006C0086">
      <w:pPr>
        <w:spacing w:line="276" w:lineRule="auto"/>
        <w:ind w:left="706"/>
        <w:rPr>
          <w:szCs w:val="24"/>
        </w:rPr>
      </w:pPr>
    </w:p>
    <w:p w14:paraId="690259A3" w14:textId="77777777" w:rsidR="00D90216" w:rsidRPr="00D948C1" w:rsidRDefault="00D90216" w:rsidP="006C0086">
      <w:pPr>
        <w:spacing w:line="276" w:lineRule="auto"/>
        <w:ind w:left="706"/>
        <w:rPr>
          <w:szCs w:val="24"/>
        </w:rPr>
      </w:pPr>
      <w:r w:rsidRPr="00D948C1">
        <w:rPr>
          <w:b/>
          <w:szCs w:val="24"/>
        </w:rPr>
        <w:t xml:space="preserve">Interest </w:t>
      </w:r>
      <w:r w:rsidR="0078056C" w:rsidRPr="00D948C1">
        <w:rPr>
          <w:b/>
          <w:szCs w:val="24"/>
        </w:rPr>
        <w:t>on liabilities</w:t>
      </w:r>
      <w:r w:rsidRPr="00D948C1">
        <w:rPr>
          <w:szCs w:val="24"/>
        </w:rPr>
        <w:t xml:space="preserve"> – the expected increase in the present value of liabilities during the year as they move one year closer to being paid.</w:t>
      </w:r>
    </w:p>
    <w:p w14:paraId="1A35B23C" w14:textId="77777777" w:rsidR="00D90216" w:rsidRPr="00D948C1" w:rsidRDefault="00D90216" w:rsidP="006C0086">
      <w:pPr>
        <w:spacing w:line="276" w:lineRule="auto"/>
        <w:ind w:left="706"/>
        <w:rPr>
          <w:szCs w:val="24"/>
        </w:rPr>
      </w:pPr>
    </w:p>
    <w:p w14:paraId="1903707B" w14:textId="77777777" w:rsidR="00D90216" w:rsidRPr="00D948C1" w:rsidRDefault="0078056C" w:rsidP="006C0086">
      <w:pPr>
        <w:spacing w:line="276" w:lineRule="auto"/>
        <w:ind w:left="706"/>
        <w:rPr>
          <w:szCs w:val="24"/>
        </w:rPr>
      </w:pPr>
      <w:r w:rsidRPr="00D948C1">
        <w:rPr>
          <w:b/>
          <w:szCs w:val="24"/>
        </w:rPr>
        <w:t>Interest</w:t>
      </w:r>
      <w:r w:rsidR="00D90216" w:rsidRPr="00D948C1">
        <w:rPr>
          <w:b/>
          <w:szCs w:val="24"/>
        </w:rPr>
        <w:t xml:space="preserve"> on </w:t>
      </w:r>
      <w:r w:rsidRPr="00D948C1">
        <w:rPr>
          <w:b/>
          <w:szCs w:val="24"/>
        </w:rPr>
        <w:t>a</w:t>
      </w:r>
      <w:r w:rsidR="00D90216" w:rsidRPr="00D948C1">
        <w:rPr>
          <w:b/>
          <w:szCs w:val="24"/>
        </w:rPr>
        <w:t>ssets</w:t>
      </w:r>
      <w:r w:rsidR="00D90216" w:rsidRPr="00D948C1">
        <w:rPr>
          <w:szCs w:val="24"/>
        </w:rPr>
        <w:t xml:space="preserve"> – the average rate of return expected on the investment assets held by the pension scheme.</w:t>
      </w:r>
    </w:p>
    <w:p w14:paraId="33FED981" w14:textId="77777777" w:rsidR="00D90216" w:rsidRPr="00D948C1" w:rsidRDefault="00D90216" w:rsidP="006C0086">
      <w:pPr>
        <w:spacing w:line="276" w:lineRule="auto"/>
        <w:ind w:left="706"/>
        <w:rPr>
          <w:szCs w:val="24"/>
        </w:rPr>
      </w:pPr>
    </w:p>
    <w:p w14:paraId="52EAF3E4" w14:textId="77777777" w:rsidR="00D90216" w:rsidRPr="00D948C1" w:rsidRDefault="00D90216" w:rsidP="006C0086">
      <w:pPr>
        <w:spacing w:line="276" w:lineRule="auto"/>
        <w:ind w:left="706"/>
        <w:rPr>
          <w:szCs w:val="24"/>
        </w:rPr>
      </w:pPr>
      <w:r w:rsidRPr="00D948C1">
        <w:rPr>
          <w:b/>
          <w:szCs w:val="24"/>
        </w:rPr>
        <w:t xml:space="preserve">Actuarial (gains) and losses </w:t>
      </w:r>
      <w:r w:rsidRPr="00D948C1">
        <w:rPr>
          <w:szCs w:val="24"/>
        </w:rPr>
        <w:t xml:space="preserve">– changes in the net pension liability that arise because events have not coincided with assumptions made at the last actuarial valuation or because the actuaries have updated their assumptions – </w:t>
      </w:r>
      <w:r w:rsidR="00DF3E5F" w:rsidRPr="00D948C1">
        <w:rPr>
          <w:szCs w:val="24"/>
        </w:rPr>
        <w:t>(credited)/</w:t>
      </w:r>
      <w:r w:rsidRPr="00D948C1">
        <w:rPr>
          <w:szCs w:val="24"/>
        </w:rPr>
        <w:t>debited to the pensions reserve.</w:t>
      </w:r>
    </w:p>
    <w:p w14:paraId="1A9B5D5A" w14:textId="77777777" w:rsidR="00D90216" w:rsidRPr="00D948C1" w:rsidRDefault="00D90216" w:rsidP="006C0086">
      <w:pPr>
        <w:spacing w:line="276" w:lineRule="auto"/>
        <w:ind w:left="706"/>
        <w:rPr>
          <w:szCs w:val="24"/>
        </w:rPr>
      </w:pPr>
    </w:p>
    <w:p w14:paraId="55591245" w14:textId="77777777" w:rsidR="00D90216" w:rsidRPr="00D948C1" w:rsidRDefault="00D90216" w:rsidP="006C0086">
      <w:pPr>
        <w:spacing w:line="276" w:lineRule="auto"/>
        <w:ind w:left="706"/>
        <w:rPr>
          <w:szCs w:val="24"/>
        </w:rPr>
      </w:pPr>
      <w:r w:rsidRPr="00D948C1">
        <w:rPr>
          <w:b/>
          <w:szCs w:val="24"/>
        </w:rPr>
        <w:t>Employers’ contributions</w:t>
      </w:r>
      <w:r w:rsidRPr="00D948C1">
        <w:rPr>
          <w:szCs w:val="24"/>
        </w:rPr>
        <w:t xml:space="preserve"> – the payments made into the pension scheme by the Authority during the year in respect of current employees. </w:t>
      </w:r>
    </w:p>
    <w:p w14:paraId="551ED355" w14:textId="77777777" w:rsidR="00D90216" w:rsidRPr="00D948C1" w:rsidRDefault="00D90216" w:rsidP="006C0086">
      <w:pPr>
        <w:spacing w:line="276" w:lineRule="auto"/>
        <w:ind w:left="706"/>
        <w:rPr>
          <w:b/>
          <w:szCs w:val="24"/>
        </w:rPr>
      </w:pPr>
    </w:p>
    <w:p w14:paraId="1A9E3DCC" w14:textId="507982F0" w:rsidR="00D90216" w:rsidRPr="00D948C1" w:rsidRDefault="00D90216" w:rsidP="006C0086">
      <w:pPr>
        <w:spacing w:line="276" w:lineRule="auto"/>
        <w:ind w:left="706"/>
        <w:rPr>
          <w:szCs w:val="24"/>
        </w:rPr>
      </w:pPr>
      <w:r w:rsidRPr="00D948C1">
        <w:rPr>
          <w:b/>
          <w:szCs w:val="24"/>
        </w:rPr>
        <w:t xml:space="preserve">Retirement benefits payable to pensioners – </w:t>
      </w:r>
      <w:r w:rsidRPr="00D948C1">
        <w:rPr>
          <w:szCs w:val="24"/>
        </w:rPr>
        <w:t xml:space="preserve">the net payments made in respect of the Firefighter pension scheme. Note, the fund also received a top up grant of </w:t>
      </w:r>
      <w:r w:rsidR="0004720E" w:rsidRPr="00D948C1">
        <w:rPr>
          <w:szCs w:val="24"/>
        </w:rPr>
        <w:t>£</w:t>
      </w:r>
      <w:r w:rsidR="00676AE5" w:rsidRPr="00D948C1">
        <w:rPr>
          <w:szCs w:val="24"/>
        </w:rPr>
        <w:t>1</w:t>
      </w:r>
      <w:r w:rsidR="00392535" w:rsidRPr="00D948C1">
        <w:rPr>
          <w:szCs w:val="24"/>
        </w:rPr>
        <w:t>9.508</w:t>
      </w:r>
      <w:r w:rsidR="006605BB" w:rsidRPr="00D948C1">
        <w:rPr>
          <w:szCs w:val="24"/>
        </w:rPr>
        <w:t xml:space="preserve">m </w:t>
      </w:r>
      <w:r w:rsidRPr="00D948C1">
        <w:rPr>
          <w:szCs w:val="24"/>
        </w:rPr>
        <w:t>(</w:t>
      </w:r>
      <w:r w:rsidR="00535F5B" w:rsidRPr="00D948C1">
        <w:rPr>
          <w:szCs w:val="24"/>
        </w:rPr>
        <w:t>20</w:t>
      </w:r>
      <w:r w:rsidR="006B2155" w:rsidRPr="00D948C1">
        <w:rPr>
          <w:szCs w:val="24"/>
        </w:rPr>
        <w:t>2</w:t>
      </w:r>
      <w:r w:rsidR="008F3F7F" w:rsidRPr="00D948C1">
        <w:rPr>
          <w:szCs w:val="24"/>
        </w:rPr>
        <w:t>2</w:t>
      </w:r>
      <w:r w:rsidR="006B2155" w:rsidRPr="00D948C1">
        <w:rPr>
          <w:szCs w:val="24"/>
        </w:rPr>
        <w:t>/2</w:t>
      </w:r>
      <w:r w:rsidR="008F3F7F" w:rsidRPr="00D948C1">
        <w:rPr>
          <w:szCs w:val="24"/>
        </w:rPr>
        <w:t>3</w:t>
      </w:r>
      <w:r w:rsidRPr="00D948C1">
        <w:rPr>
          <w:szCs w:val="24"/>
        </w:rPr>
        <w:t>: £</w:t>
      </w:r>
      <w:r w:rsidR="00E66DE8" w:rsidRPr="00D948C1">
        <w:rPr>
          <w:szCs w:val="24"/>
        </w:rPr>
        <w:t>1</w:t>
      </w:r>
      <w:r w:rsidR="008F3F7F" w:rsidRPr="00D948C1">
        <w:rPr>
          <w:szCs w:val="24"/>
        </w:rPr>
        <w:t>7</w:t>
      </w:r>
      <w:r w:rsidR="00E66DE8" w:rsidRPr="00D948C1">
        <w:rPr>
          <w:szCs w:val="24"/>
        </w:rPr>
        <w:t>.</w:t>
      </w:r>
      <w:r w:rsidR="008F3F7F" w:rsidRPr="00D948C1">
        <w:rPr>
          <w:szCs w:val="24"/>
        </w:rPr>
        <w:t>794</w:t>
      </w:r>
      <w:r w:rsidR="00E66DE8" w:rsidRPr="00D948C1">
        <w:rPr>
          <w:szCs w:val="24"/>
        </w:rPr>
        <w:t>m</w:t>
      </w:r>
      <w:r w:rsidRPr="00D948C1">
        <w:rPr>
          <w:szCs w:val="24"/>
        </w:rPr>
        <w:t xml:space="preserve">) in addition to these, which can be seen in the Firefighters Pension Fund Account on </w:t>
      </w:r>
      <w:r w:rsidR="003D483B" w:rsidRPr="00D948C1">
        <w:rPr>
          <w:szCs w:val="24"/>
        </w:rPr>
        <w:t xml:space="preserve">page </w:t>
      </w:r>
      <w:r w:rsidR="005138FC" w:rsidRPr="00D948C1">
        <w:rPr>
          <w:szCs w:val="24"/>
        </w:rPr>
        <w:t>70</w:t>
      </w:r>
      <w:r w:rsidRPr="00D948C1">
        <w:rPr>
          <w:szCs w:val="24"/>
        </w:rPr>
        <w:t>.</w:t>
      </w:r>
    </w:p>
    <w:p w14:paraId="43B56D63" w14:textId="77777777" w:rsidR="00D90216" w:rsidRPr="00D948C1" w:rsidRDefault="00D90216" w:rsidP="006C0086">
      <w:pPr>
        <w:spacing w:line="276" w:lineRule="auto"/>
        <w:ind w:left="706"/>
        <w:rPr>
          <w:szCs w:val="24"/>
        </w:rPr>
      </w:pPr>
    </w:p>
    <w:p w14:paraId="2232443C" w14:textId="5C4D1405" w:rsidR="00D90216" w:rsidRPr="00D948C1" w:rsidRDefault="00D90216" w:rsidP="006C0086">
      <w:pPr>
        <w:spacing w:line="276" w:lineRule="auto"/>
        <w:ind w:left="709"/>
        <w:rPr>
          <w:szCs w:val="24"/>
        </w:rPr>
      </w:pPr>
      <w:r w:rsidRPr="00D948C1">
        <w:rPr>
          <w:szCs w:val="24"/>
        </w:rPr>
        <w:t xml:space="preserve">A full set of audited accounts for the Lancashire County Pension Fund, together with information relating to membership, actuarial and investment </w:t>
      </w:r>
      <w:r w:rsidR="00804E6C" w:rsidRPr="00D948C1">
        <w:rPr>
          <w:szCs w:val="24"/>
        </w:rPr>
        <w:t>policy,</w:t>
      </w:r>
      <w:r w:rsidRPr="00D948C1">
        <w:rPr>
          <w:szCs w:val="24"/>
        </w:rPr>
        <w:t xml:space="preserve"> and investment performance, are published in the ‘Lancashire County Pension Fund Annual Report’, available from the administering authority, Lancashire County Council, on request.</w:t>
      </w:r>
    </w:p>
    <w:p w14:paraId="7D708065" w14:textId="77777777" w:rsidR="00D90216" w:rsidRPr="00D948C1" w:rsidRDefault="00D90216" w:rsidP="006C0086">
      <w:pPr>
        <w:spacing w:line="276" w:lineRule="auto"/>
        <w:rPr>
          <w:szCs w:val="24"/>
        </w:rPr>
      </w:pPr>
    </w:p>
    <w:p w14:paraId="5FFA9149" w14:textId="77777777" w:rsidR="00D90216" w:rsidRPr="00D948C1" w:rsidRDefault="00D90216" w:rsidP="006C0086">
      <w:pPr>
        <w:spacing w:line="276" w:lineRule="auto"/>
        <w:ind w:left="709"/>
        <w:rPr>
          <w:b/>
          <w:szCs w:val="24"/>
        </w:rPr>
      </w:pPr>
      <w:r w:rsidRPr="00D948C1">
        <w:rPr>
          <w:b/>
          <w:szCs w:val="24"/>
        </w:rPr>
        <w:t>Assets and Liabilities in Relation to Post-employment Benefits</w:t>
      </w:r>
    </w:p>
    <w:p w14:paraId="2AA47B42" w14:textId="77777777" w:rsidR="00D90216" w:rsidRPr="00D948C1" w:rsidRDefault="00D90216" w:rsidP="006C0086">
      <w:pPr>
        <w:spacing w:line="276" w:lineRule="auto"/>
        <w:ind w:left="709"/>
        <w:rPr>
          <w:szCs w:val="24"/>
        </w:rPr>
      </w:pPr>
    </w:p>
    <w:p w14:paraId="03194F5F" w14:textId="77777777" w:rsidR="00D90216" w:rsidRPr="00D948C1" w:rsidRDefault="00D90216" w:rsidP="006C0086">
      <w:pPr>
        <w:spacing w:line="276" w:lineRule="auto"/>
        <w:ind w:left="709"/>
        <w:rPr>
          <w:szCs w:val="24"/>
        </w:rPr>
      </w:pPr>
      <w:r w:rsidRPr="00D948C1">
        <w:rPr>
          <w:szCs w:val="24"/>
        </w:rPr>
        <w:t>Reconciliation of present value of the scheme liabilities (defined benefit obligation):</w:t>
      </w:r>
    </w:p>
    <w:p w14:paraId="7D06B26B" w14:textId="77777777" w:rsidR="00D90216" w:rsidRPr="00D948C1" w:rsidRDefault="00D90216" w:rsidP="006C0086">
      <w:pPr>
        <w:spacing w:line="276" w:lineRule="auto"/>
        <w:ind w:left="709"/>
        <w:jc w:val="both"/>
        <w:rPr>
          <w:sz w:val="22"/>
        </w:rPr>
      </w:pPr>
    </w:p>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447"/>
        <w:gridCol w:w="1305"/>
      </w:tblGrid>
      <w:tr w:rsidR="00B805A9" w:rsidRPr="00D948C1" w14:paraId="7697DE95" w14:textId="77777777" w:rsidTr="00611673">
        <w:trPr>
          <w:trHeight w:hRule="exact" w:val="850"/>
          <w:tblHeader/>
        </w:trPr>
        <w:tc>
          <w:tcPr>
            <w:tcW w:w="3953" w:type="dxa"/>
            <w:shd w:val="clear" w:color="auto" w:fill="BD2716"/>
          </w:tcPr>
          <w:p w14:paraId="04F7BAF2" w14:textId="77777777" w:rsidR="00B805A9" w:rsidRPr="00D948C1" w:rsidRDefault="00B805A9" w:rsidP="006C0086">
            <w:pPr>
              <w:spacing w:line="276" w:lineRule="auto"/>
              <w:jc w:val="both"/>
              <w:rPr>
                <w:color w:val="FFFFFF" w:themeColor="background1"/>
                <w:szCs w:val="24"/>
              </w:rPr>
            </w:pPr>
          </w:p>
        </w:tc>
        <w:tc>
          <w:tcPr>
            <w:tcW w:w="2684" w:type="dxa"/>
            <w:gridSpan w:val="2"/>
            <w:shd w:val="clear" w:color="auto" w:fill="BD2716"/>
            <w:vAlign w:val="center"/>
          </w:tcPr>
          <w:p w14:paraId="2ECB9B13" w14:textId="77777777" w:rsidR="00B805A9" w:rsidRPr="00D948C1" w:rsidRDefault="00B805A9" w:rsidP="006C0086">
            <w:pPr>
              <w:spacing w:line="276" w:lineRule="auto"/>
              <w:jc w:val="center"/>
              <w:rPr>
                <w:color w:val="FFFFFF" w:themeColor="background1"/>
                <w:szCs w:val="24"/>
              </w:rPr>
            </w:pPr>
            <w:r w:rsidRPr="00D948C1">
              <w:rPr>
                <w:color w:val="FFFFFF" w:themeColor="background1"/>
                <w:szCs w:val="24"/>
              </w:rPr>
              <w:t>Funded Liabilities: Local Government Pension Scheme</w:t>
            </w:r>
          </w:p>
        </w:tc>
        <w:tc>
          <w:tcPr>
            <w:tcW w:w="2752" w:type="dxa"/>
            <w:gridSpan w:val="2"/>
            <w:shd w:val="clear" w:color="auto" w:fill="BD2716"/>
            <w:vAlign w:val="center"/>
          </w:tcPr>
          <w:p w14:paraId="5408F47A" w14:textId="77777777" w:rsidR="00B805A9" w:rsidRPr="00D948C1" w:rsidRDefault="00B805A9" w:rsidP="006C0086">
            <w:pPr>
              <w:spacing w:line="276" w:lineRule="auto"/>
              <w:jc w:val="center"/>
              <w:rPr>
                <w:color w:val="FFFFFF" w:themeColor="background1"/>
                <w:szCs w:val="24"/>
              </w:rPr>
            </w:pPr>
            <w:r w:rsidRPr="00D948C1">
              <w:rPr>
                <w:color w:val="FFFFFF" w:themeColor="background1"/>
                <w:szCs w:val="24"/>
              </w:rPr>
              <w:t>Unfunded Liabilities: Uniformed Firefighters’ Pension Scheme</w:t>
            </w:r>
          </w:p>
        </w:tc>
      </w:tr>
      <w:tr w:rsidR="008F3F7F" w:rsidRPr="00D948C1" w14:paraId="6D60649A" w14:textId="77777777" w:rsidTr="00611673">
        <w:trPr>
          <w:trHeight w:hRule="exact" w:val="850"/>
          <w:tblHeader/>
        </w:trPr>
        <w:tc>
          <w:tcPr>
            <w:tcW w:w="3953" w:type="dxa"/>
            <w:shd w:val="clear" w:color="auto" w:fill="BD2716"/>
          </w:tcPr>
          <w:p w14:paraId="3B42FA68" w14:textId="77777777" w:rsidR="008F3F7F" w:rsidRPr="00D948C1" w:rsidRDefault="008F3F7F" w:rsidP="006C0086">
            <w:pPr>
              <w:spacing w:line="276" w:lineRule="auto"/>
              <w:jc w:val="both"/>
              <w:rPr>
                <w:color w:val="FFFFFF" w:themeColor="background1"/>
                <w:szCs w:val="24"/>
              </w:rPr>
            </w:pPr>
          </w:p>
        </w:tc>
        <w:tc>
          <w:tcPr>
            <w:tcW w:w="1412" w:type="dxa"/>
            <w:shd w:val="clear" w:color="auto" w:fill="BD2716"/>
            <w:vAlign w:val="center"/>
          </w:tcPr>
          <w:p w14:paraId="3A9D5B8D" w14:textId="73B96D3B" w:rsidR="008F3F7F" w:rsidRPr="00D948C1" w:rsidRDefault="008F3F7F" w:rsidP="006C0086">
            <w:pPr>
              <w:spacing w:line="276" w:lineRule="auto"/>
              <w:jc w:val="right"/>
              <w:rPr>
                <w:color w:val="FFFFFF" w:themeColor="background1"/>
                <w:szCs w:val="24"/>
              </w:rPr>
            </w:pPr>
            <w:r w:rsidRPr="00D948C1">
              <w:rPr>
                <w:color w:val="FFFFFF" w:themeColor="background1"/>
                <w:szCs w:val="24"/>
              </w:rPr>
              <w:t>31 March 2024</w:t>
            </w:r>
          </w:p>
          <w:p w14:paraId="138D406D" w14:textId="3C2D704A" w:rsidR="008F3F7F" w:rsidRPr="00D948C1" w:rsidRDefault="008F3F7F" w:rsidP="006C0086">
            <w:pPr>
              <w:spacing w:line="276" w:lineRule="auto"/>
              <w:jc w:val="right"/>
              <w:rPr>
                <w:color w:val="FFFFFF" w:themeColor="background1"/>
                <w:szCs w:val="24"/>
              </w:rPr>
            </w:pPr>
            <w:r w:rsidRPr="00D948C1">
              <w:rPr>
                <w:color w:val="FFFFFF" w:themeColor="background1"/>
                <w:szCs w:val="24"/>
              </w:rPr>
              <w:t>£000</w:t>
            </w:r>
          </w:p>
        </w:tc>
        <w:tc>
          <w:tcPr>
            <w:tcW w:w="1272" w:type="dxa"/>
            <w:shd w:val="clear" w:color="auto" w:fill="BD2716"/>
            <w:vAlign w:val="center"/>
          </w:tcPr>
          <w:p w14:paraId="5D7E37DE" w14:textId="41A41647" w:rsidR="008F3F7F" w:rsidRPr="00D948C1" w:rsidRDefault="008F3F7F" w:rsidP="006C0086">
            <w:pPr>
              <w:spacing w:line="276" w:lineRule="auto"/>
              <w:jc w:val="right"/>
              <w:rPr>
                <w:color w:val="FFFFFF" w:themeColor="background1"/>
                <w:szCs w:val="24"/>
              </w:rPr>
            </w:pPr>
            <w:r w:rsidRPr="00D948C1">
              <w:rPr>
                <w:color w:val="FFFFFF" w:themeColor="background1"/>
                <w:szCs w:val="24"/>
              </w:rPr>
              <w:t>31 March 2023</w:t>
            </w:r>
          </w:p>
          <w:p w14:paraId="2CED4481" w14:textId="2C3407AC" w:rsidR="008F3F7F" w:rsidRPr="00D948C1" w:rsidRDefault="008F3F7F" w:rsidP="006C0086">
            <w:pPr>
              <w:spacing w:line="276" w:lineRule="auto"/>
              <w:jc w:val="right"/>
              <w:rPr>
                <w:color w:val="FFFFFF" w:themeColor="background1"/>
                <w:szCs w:val="24"/>
              </w:rPr>
            </w:pPr>
            <w:r w:rsidRPr="00D948C1">
              <w:rPr>
                <w:color w:val="FFFFFF" w:themeColor="background1"/>
                <w:szCs w:val="24"/>
              </w:rPr>
              <w:t>£000</w:t>
            </w:r>
          </w:p>
        </w:tc>
        <w:tc>
          <w:tcPr>
            <w:tcW w:w="1447" w:type="dxa"/>
            <w:shd w:val="clear" w:color="auto" w:fill="BD2716"/>
            <w:vAlign w:val="center"/>
          </w:tcPr>
          <w:p w14:paraId="45B0F004" w14:textId="77777777" w:rsidR="008F3F7F" w:rsidRPr="00D948C1" w:rsidRDefault="008F3F7F" w:rsidP="006C0086">
            <w:pPr>
              <w:spacing w:line="276" w:lineRule="auto"/>
              <w:jc w:val="right"/>
              <w:rPr>
                <w:color w:val="FFFFFF" w:themeColor="background1"/>
                <w:szCs w:val="24"/>
              </w:rPr>
            </w:pPr>
            <w:r w:rsidRPr="00D948C1">
              <w:rPr>
                <w:color w:val="FFFFFF" w:themeColor="background1"/>
                <w:szCs w:val="24"/>
              </w:rPr>
              <w:t>31 March 2024</w:t>
            </w:r>
          </w:p>
          <w:p w14:paraId="2569D777" w14:textId="2FF49D26" w:rsidR="008F3F7F" w:rsidRPr="00D948C1" w:rsidRDefault="008F3F7F" w:rsidP="006C0086">
            <w:pPr>
              <w:spacing w:line="276" w:lineRule="auto"/>
              <w:jc w:val="right"/>
              <w:rPr>
                <w:color w:val="FFFFFF" w:themeColor="background1"/>
                <w:szCs w:val="24"/>
              </w:rPr>
            </w:pPr>
            <w:r w:rsidRPr="00D948C1">
              <w:rPr>
                <w:color w:val="FFFFFF" w:themeColor="background1"/>
                <w:szCs w:val="24"/>
              </w:rPr>
              <w:t>£000</w:t>
            </w:r>
          </w:p>
        </w:tc>
        <w:tc>
          <w:tcPr>
            <w:tcW w:w="1305" w:type="dxa"/>
            <w:shd w:val="clear" w:color="auto" w:fill="BD2716"/>
            <w:vAlign w:val="center"/>
          </w:tcPr>
          <w:p w14:paraId="12DE36BB" w14:textId="77777777" w:rsidR="008F3F7F" w:rsidRPr="00D948C1" w:rsidRDefault="008F3F7F" w:rsidP="006C0086">
            <w:pPr>
              <w:spacing w:line="276" w:lineRule="auto"/>
              <w:jc w:val="right"/>
              <w:rPr>
                <w:color w:val="FFFFFF" w:themeColor="background1"/>
                <w:szCs w:val="24"/>
              </w:rPr>
            </w:pPr>
            <w:r w:rsidRPr="00D948C1">
              <w:rPr>
                <w:color w:val="FFFFFF" w:themeColor="background1"/>
                <w:szCs w:val="24"/>
              </w:rPr>
              <w:t>31 March 2023</w:t>
            </w:r>
          </w:p>
          <w:p w14:paraId="687BB876" w14:textId="71E6536F" w:rsidR="008F3F7F" w:rsidRPr="00D948C1" w:rsidRDefault="008F3F7F" w:rsidP="006C0086">
            <w:pPr>
              <w:spacing w:line="276" w:lineRule="auto"/>
              <w:jc w:val="right"/>
              <w:rPr>
                <w:color w:val="FFFFFF" w:themeColor="background1"/>
                <w:szCs w:val="24"/>
              </w:rPr>
            </w:pPr>
            <w:r w:rsidRPr="00D948C1">
              <w:rPr>
                <w:color w:val="FFFFFF" w:themeColor="background1"/>
                <w:szCs w:val="24"/>
              </w:rPr>
              <w:t>£000</w:t>
            </w:r>
          </w:p>
        </w:tc>
      </w:tr>
      <w:tr w:rsidR="00856724" w:rsidRPr="00D948C1" w14:paraId="0D282737" w14:textId="77777777" w:rsidTr="00DD63D7">
        <w:trPr>
          <w:trHeight w:val="289"/>
        </w:trPr>
        <w:tc>
          <w:tcPr>
            <w:tcW w:w="3953" w:type="dxa"/>
          </w:tcPr>
          <w:p w14:paraId="61181DA7" w14:textId="5D8CE955" w:rsidR="00856724" w:rsidRPr="00D948C1" w:rsidRDefault="00856724" w:rsidP="006C0086">
            <w:pPr>
              <w:spacing w:line="276" w:lineRule="auto"/>
              <w:rPr>
                <w:szCs w:val="24"/>
              </w:rPr>
            </w:pPr>
            <w:r w:rsidRPr="00D948C1">
              <w:rPr>
                <w:b/>
                <w:bCs/>
                <w:szCs w:val="24"/>
              </w:rPr>
              <w:t xml:space="preserve">Opening balance </w:t>
            </w:r>
            <w:proofErr w:type="gramStart"/>
            <w:r w:rsidRPr="00D948C1">
              <w:rPr>
                <w:b/>
                <w:bCs/>
                <w:szCs w:val="24"/>
              </w:rPr>
              <w:t>at</w:t>
            </w:r>
            <w:proofErr w:type="gramEnd"/>
            <w:r w:rsidRPr="00D948C1">
              <w:rPr>
                <w:b/>
                <w:bCs/>
                <w:szCs w:val="24"/>
              </w:rPr>
              <w:t xml:space="preserve"> 1 April</w:t>
            </w:r>
          </w:p>
        </w:tc>
        <w:tc>
          <w:tcPr>
            <w:tcW w:w="1412" w:type="dxa"/>
            <w:vAlign w:val="center"/>
          </w:tcPr>
          <w:p w14:paraId="75368740" w14:textId="169CA96C" w:rsidR="00856724" w:rsidRPr="00D948C1" w:rsidRDefault="00856724" w:rsidP="006C0086">
            <w:pPr>
              <w:tabs>
                <w:tab w:val="decimal" w:pos="888"/>
              </w:tabs>
              <w:spacing w:line="276" w:lineRule="auto"/>
              <w:jc w:val="right"/>
              <w:rPr>
                <w:szCs w:val="24"/>
              </w:rPr>
            </w:pPr>
            <w:r w:rsidRPr="00D948C1">
              <w:rPr>
                <w:b/>
                <w:bCs/>
                <w:szCs w:val="24"/>
              </w:rPr>
              <w:t>(58,483)</w:t>
            </w:r>
          </w:p>
        </w:tc>
        <w:tc>
          <w:tcPr>
            <w:tcW w:w="1272" w:type="dxa"/>
            <w:vAlign w:val="center"/>
          </w:tcPr>
          <w:p w14:paraId="47EF9E8E" w14:textId="2812CBB8" w:rsidR="00856724" w:rsidRPr="00D948C1" w:rsidRDefault="00856724" w:rsidP="006C0086">
            <w:pPr>
              <w:tabs>
                <w:tab w:val="decimal" w:pos="888"/>
              </w:tabs>
              <w:spacing w:line="276" w:lineRule="auto"/>
              <w:jc w:val="right"/>
              <w:rPr>
                <w:szCs w:val="24"/>
              </w:rPr>
            </w:pPr>
            <w:r w:rsidRPr="00D948C1">
              <w:rPr>
                <w:b/>
                <w:bCs/>
                <w:szCs w:val="24"/>
              </w:rPr>
              <w:t>(84,201)</w:t>
            </w:r>
          </w:p>
        </w:tc>
        <w:tc>
          <w:tcPr>
            <w:tcW w:w="1447" w:type="dxa"/>
            <w:vAlign w:val="center"/>
          </w:tcPr>
          <w:p w14:paraId="4EA2949D" w14:textId="198221FF" w:rsidR="00856724" w:rsidRPr="00D948C1" w:rsidRDefault="00856724" w:rsidP="006C0086">
            <w:pPr>
              <w:tabs>
                <w:tab w:val="decimal" w:pos="1026"/>
              </w:tabs>
              <w:spacing w:line="276" w:lineRule="auto"/>
              <w:jc w:val="right"/>
              <w:rPr>
                <w:szCs w:val="24"/>
              </w:rPr>
            </w:pPr>
            <w:r w:rsidRPr="00D948C1">
              <w:rPr>
                <w:b/>
                <w:bCs/>
                <w:szCs w:val="24"/>
              </w:rPr>
              <w:t>(651,536)</w:t>
            </w:r>
          </w:p>
        </w:tc>
        <w:tc>
          <w:tcPr>
            <w:tcW w:w="1305" w:type="dxa"/>
            <w:vAlign w:val="center"/>
          </w:tcPr>
          <w:p w14:paraId="4E2C1B82" w14:textId="19CE9995" w:rsidR="00856724" w:rsidRPr="00D948C1" w:rsidRDefault="00856724" w:rsidP="006C0086">
            <w:pPr>
              <w:tabs>
                <w:tab w:val="decimal" w:pos="1026"/>
              </w:tabs>
              <w:spacing w:line="276" w:lineRule="auto"/>
              <w:jc w:val="right"/>
              <w:rPr>
                <w:szCs w:val="24"/>
              </w:rPr>
            </w:pPr>
            <w:r w:rsidRPr="00D948C1">
              <w:rPr>
                <w:b/>
                <w:bCs/>
                <w:szCs w:val="24"/>
              </w:rPr>
              <w:t>(875,936)</w:t>
            </w:r>
          </w:p>
        </w:tc>
      </w:tr>
      <w:tr w:rsidR="00856724" w:rsidRPr="00D948C1" w14:paraId="50DF659C" w14:textId="77777777" w:rsidTr="00DD63D7">
        <w:trPr>
          <w:trHeight w:val="289"/>
        </w:trPr>
        <w:tc>
          <w:tcPr>
            <w:tcW w:w="3953" w:type="dxa"/>
          </w:tcPr>
          <w:p w14:paraId="0E4BBE62" w14:textId="358921E3" w:rsidR="00856724" w:rsidRPr="00D948C1" w:rsidRDefault="00856724" w:rsidP="006C0086">
            <w:pPr>
              <w:spacing w:line="276" w:lineRule="auto"/>
              <w:rPr>
                <w:b/>
                <w:bCs/>
                <w:szCs w:val="24"/>
              </w:rPr>
            </w:pPr>
            <w:r w:rsidRPr="00D948C1">
              <w:rPr>
                <w:szCs w:val="24"/>
              </w:rPr>
              <w:t>Current service cost</w:t>
            </w:r>
          </w:p>
        </w:tc>
        <w:tc>
          <w:tcPr>
            <w:tcW w:w="1412" w:type="dxa"/>
            <w:vAlign w:val="center"/>
          </w:tcPr>
          <w:p w14:paraId="0AD36CAD" w14:textId="321F96B6" w:rsidR="00856724" w:rsidRPr="00D948C1" w:rsidRDefault="00856724" w:rsidP="006C0086">
            <w:pPr>
              <w:tabs>
                <w:tab w:val="decimal" w:pos="888"/>
              </w:tabs>
              <w:spacing w:line="276" w:lineRule="auto"/>
              <w:jc w:val="right"/>
              <w:rPr>
                <w:b/>
                <w:bCs/>
                <w:szCs w:val="24"/>
              </w:rPr>
            </w:pPr>
            <w:r w:rsidRPr="00D948C1">
              <w:rPr>
                <w:szCs w:val="24"/>
              </w:rPr>
              <w:t>(</w:t>
            </w:r>
            <w:r w:rsidR="00AA7F2E" w:rsidRPr="00D948C1">
              <w:rPr>
                <w:szCs w:val="24"/>
              </w:rPr>
              <w:t>1,414</w:t>
            </w:r>
            <w:r w:rsidRPr="00D948C1">
              <w:rPr>
                <w:szCs w:val="24"/>
              </w:rPr>
              <w:t>)</w:t>
            </w:r>
          </w:p>
        </w:tc>
        <w:tc>
          <w:tcPr>
            <w:tcW w:w="1272" w:type="dxa"/>
            <w:vAlign w:val="center"/>
          </w:tcPr>
          <w:p w14:paraId="6BFCEFBA" w14:textId="73CBC2AC" w:rsidR="00856724" w:rsidRPr="00D948C1" w:rsidRDefault="00856724" w:rsidP="006C0086">
            <w:pPr>
              <w:tabs>
                <w:tab w:val="decimal" w:pos="888"/>
              </w:tabs>
              <w:spacing w:line="276" w:lineRule="auto"/>
              <w:jc w:val="right"/>
              <w:rPr>
                <w:b/>
                <w:bCs/>
                <w:szCs w:val="24"/>
              </w:rPr>
            </w:pPr>
            <w:r w:rsidRPr="00D948C1">
              <w:rPr>
                <w:szCs w:val="24"/>
              </w:rPr>
              <w:t>(2,900)</w:t>
            </w:r>
          </w:p>
        </w:tc>
        <w:tc>
          <w:tcPr>
            <w:tcW w:w="1447" w:type="dxa"/>
            <w:vAlign w:val="center"/>
          </w:tcPr>
          <w:p w14:paraId="6185AC54" w14:textId="43CC88B3" w:rsidR="00856724" w:rsidRPr="00D948C1" w:rsidRDefault="00856724" w:rsidP="006C0086">
            <w:pPr>
              <w:tabs>
                <w:tab w:val="decimal" w:pos="1026"/>
              </w:tabs>
              <w:spacing w:line="276" w:lineRule="auto"/>
              <w:jc w:val="right"/>
              <w:rPr>
                <w:b/>
                <w:bCs/>
                <w:szCs w:val="24"/>
              </w:rPr>
            </w:pPr>
            <w:r w:rsidRPr="00D948C1">
              <w:rPr>
                <w:szCs w:val="24"/>
              </w:rPr>
              <w:t>(3,4</w:t>
            </w:r>
            <w:r w:rsidR="002E3E10" w:rsidRPr="00D948C1">
              <w:rPr>
                <w:szCs w:val="24"/>
              </w:rPr>
              <w:t>9</w:t>
            </w:r>
            <w:r w:rsidRPr="00D948C1">
              <w:rPr>
                <w:szCs w:val="24"/>
              </w:rPr>
              <w:t>0)</w:t>
            </w:r>
          </w:p>
        </w:tc>
        <w:tc>
          <w:tcPr>
            <w:tcW w:w="1305" w:type="dxa"/>
            <w:vAlign w:val="center"/>
          </w:tcPr>
          <w:p w14:paraId="6030F2CC" w14:textId="48C33F34" w:rsidR="00856724" w:rsidRPr="00D948C1" w:rsidRDefault="00856724" w:rsidP="006C0086">
            <w:pPr>
              <w:tabs>
                <w:tab w:val="decimal" w:pos="1026"/>
              </w:tabs>
              <w:spacing w:line="276" w:lineRule="auto"/>
              <w:jc w:val="right"/>
              <w:rPr>
                <w:b/>
                <w:bCs/>
                <w:szCs w:val="24"/>
              </w:rPr>
            </w:pPr>
            <w:r w:rsidRPr="00D948C1">
              <w:rPr>
                <w:szCs w:val="24"/>
              </w:rPr>
              <w:t>(13,470)</w:t>
            </w:r>
          </w:p>
        </w:tc>
      </w:tr>
      <w:tr w:rsidR="00856724" w:rsidRPr="00D948C1" w14:paraId="4EA7BD55" w14:textId="77777777" w:rsidTr="00DD63D7">
        <w:tc>
          <w:tcPr>
            <w:tcW w:w="3953" w:type="dxa"/>
          </w:tcPr>
          <w:p w14:paraId="2549E1EC" w14:textId="3A4E4C4C" w:rsidR="00856724" w:rsidRPr="00D948C1" w:rsidRDefault="00856724" w:rsidP="006C0086">
            <w:pPr>
              <w:spacing w:line="276" w:lineRule="auto"/>
              <w:rPr>
                <w:szCs w:val="24"/>
              </w:rPr>
            </w:pPr>
            <w:r w:rsidRPr="00D948C1">
              <w:rPr>
                <w:szCs w:val="24"/>
              </w:rPr>
              <w:t>Interest on liabilities</w:t>
            </w:r>
          </w:p>
        </w:tc>
        <w:tc>
          <w:tcPr>
            <w:tcW w:w="1412" w:type="dxa"/>
            <w:vAlign w:val="center"/>
          </w:tcPr>
          <w:p w14:paraId="1E6CE2D1" w14:textId="20369404" w:rsidR="00856724" w:rsidRPr="00D948C1" w:rsidRDefault="00856724" w:rsidP="006C0086">
            <w:pPr>
              <w:tabs>
                <w:tab w:val="decimal" w:pos="888"/>
              </w:tabs>
              <w:spacing w:line="276" w:lineRule="auto"/>
              <w:jc w:val="right"/>
              <w:rPr>
                <w:szCs w:val="24"/>
              </w:rPr>
            </w:pPr>
            <w:r w:rsidRPr="00D948C1">
              <w:rPr>
                <w:szCs w:val="24"/>
              </w:rPr>
              <w:t>(2,</w:t>
            </w:r>
            <w:r w:rsidR="00AA7F2E" w:rsidRPr="00D948C1">
              <w:rPr>
                <w:szCs w:val="24"/>
              </w:rPr>
              <w:t>785</w:t>
            </w:r>
            <w:r w:rsidRPr="00D948C1">
              <w:rPr>
                <w:szCs w:val="24"/>
              </w:rPr>
              <w:t>)</w:t>
            </w:r>
          </w:p>
        </w:tc>
        <w:tc>
          <w:tcPr>
            <w:tcW w:w="1272" w:type="dxa"/>
            <w:vAlign w:val="center"/>
          </w:tcPr>
          <w:p w14:paraId="52463BB9" w14:textId="52186333" w:rsidR="00856724" w:rsidRPr="00D948C1" w:rsidRDefault="00856724" w:rsidP="006C0086">
            <w:pPr>
              <w:tabs>
                <w:tab w:val="decimal" w:pos="888"/>
              </w:tabs>
              <w:spacing w:line="276" w:lineRule="auto"/>
              <w:jc w:val="right"/>
              <w:rPr>
                <w:szCs w:val="24"/>
              </w:rPr>
            </w:pPr>
            <w:r w:rsidRPr="00D948C1">
              <w:rPr>
                <w:szCs w:val="24"/>
              </w:rPr>
              <w:t>(2,343)</w:t>
            </w:r>
          </w:p>
        </w:tc>
        <w:tc>
          <w:tcPr>
            <w:tcW w:w="1447" w:type="dxa"/>
            <w:vAlign w:val="center"/>
          </w:tcPr>
          <w:p w14:paraId="6B6E1334" w14:textId="6C1AB510" w:rsidR="00856724" w:rsidRPr="00D948C1" w:rsidRDefault="00856724" w:rsidP="006C0086">
            <w:pPr>
              <w:tabs>
                <w:tab w:val="decimal" w:pos="1026"/>
              </w:tabs>
              <w:spacing w:line="276" w:lineRule="auto"/>
              <w:jc w:val="right"/>
              <w:rPr>
                <w:szCs w:val="24"/>
              </w:rPr>
            </w:pPr>
            <w:r w:rsidRPr="00D948C1">
              <w:rPr>
                <w:szCs w:val="24"/>
              </w:rPr>
              <w:t>(</w:t>
            </w:r>
            <w:r w:rsidR="002E3E10" w:rsidRPr="00D948C1">
              <w:rPr>
                <w:szCs w:val="24"/>
              </w:rPr>
              <w:t>29,710</w:t>
            </w:r>
            <w:r w:rsidRPr="00D948C1">
              <w:rPr>
                <w:szCs w:val="24"/>
              </w:rPr>
              <w:t>)</w:t>
            </w:r>
          </w:p>
        </w:tc>
        <w:tc>
          <w:tcPr>
            <w:tcW w:w="1305" w:type="dxa"/>
            <w:vAlign w:val="center"/>
          </w:tcPr>
          <w:p w14:paraId="78E39A6A" w14:textId="48D8ADBA" w:rsidR="00856724" w:rsidRPr="00D948C1" w:rsidRDefault="00856724" w:rsidP="006C0086">
            <w:pPr>
              <w:tabs>
                <w:tab w:val="decimal" w:pos="1026"/>
              </w:tabs>
              <w:spacing w:line="276" w:lineRule="auto"/>
              <w:jc w:val="right"/>
              <w:rPr>
                <w:szCs w:val="24"/>
              </w:rPr>
            </w:pPr>
            <w:r w:rsidRPr="00D948C1">
              <w:rPr>
                <w:szCs w:val="24"/>
              </w:rPr>
              <w:t>(23,040)</w:t>
            </w:r>
          </w:p>
        </w:tc>
      </w:tr>
      <w:tr w:rsidR="00856724" w:rsidRPr="00D948C1" w14:paraId="08B4C0BD" w14:textId="77777777" w:rsidTr="00DD63D7">
        <w:tc>
          <w:tcPr>
            <w:tcW w:w="3953" w:type="dxa"/>
          </w:tcPr>
          <w:p w14:paraId="14174437" w14:textId="48CE0A87" w:rsidR="00856724" w:rsidRPr="00D948C1" w:rsidRDefault="00856724" w:rsidP="006C0086">
            <w:pPr>
              <w:spacing w:line="276" w:lineRule="auto"/>
              <w:rPr>
                <w:szCs w:val="24"/>
              </w:rPr>
            </w:pPr>
            <w:r w:rsidRPr="00D948C1">
              <w:rPr>
                <w:szCs w:val="24"/>
              </w:rPr>
              <w:t xml:space="preserve">Contributions by scheme participants </w:t>
            </w:r>
          </w:p>
        </w:tc>
        <w:tc>
          <w:tcPr>
            <w:tcW w:w="1412" w:type="dxa"/>
            <w:vAlign w:val="center"/>
          </w:tcPr>
          <w:p w14:paraId="5BA0BFC1" w14:textId="1160468F" w:rsidR="00856724" w:rsidRPr="00D948C1" w:rsidRDefault="00856724" w:rsidP="006C0086">
            <w:pPr>
              <w:tabs>
                <w:tab w:val="decimal" w:pos="888"/>
              </w:tabs>
              <w:spacing w:line="276" w:lineRule="auto"/>
              <w:jc w:val="right"/>
              <w:rPr>
                <w:szCs w:val="24"/>
              </w:rPr>
            </w:pPr>
            <w:r w:rsidRPr="00D948C1">
              <w:rPr>
                <w:szCs w:val="24"/>
              </w:rPr>
              <w:t>(</w:t>
            </w:r>
            <w:r w:rsidR="00AA7F2E" w:rsidRPr="00D948C1">
              <w:rPr>
                <w:szCs w:val="24"/>
              </w:rPr>
              <w:t>549</w:t>
            </w:r>
            <w:r w:rsidRPr="00D948C1">
              <w:rPr>
                <w:szCs w:val="24"/>
              </w:rPr>
              <w:t>)</w:t>
            </w:r>
          </w:p>
        </w:tc>
        <w:tc>
          <w:tcPr>
            <w:tcW w:w="1272" w:type="dxa"/>
            <w:vAlign w:val="center"/>
          </w:tcPr>
          <w:p w14:paraId="40E93DC8" w14:textId="504C5F82" w:rsidR="00856724" w:rsidRPr="00D948C1" w:rsidRDefault="00856724" w:rsidP="006C0086">
            <w:pPr>
              <w:tabs>
                <w:tab w:val="decimal" w:pos="888"/>
              </w:tabs>
              <w:spacing w:line="276" w:lineRule="auto"/>
              <w:jc w:val="right"/>
              <w:rPr>
                <w:szCs w:val="24"/>
              </w:rPr>
            </w:pPr>
            <w:r w:rsidRPr="00D948C1">
              <w:rPr>
                <w:szCs w:val="24"/>
              </w:rPr>
              <w:t>(492)</w:t>
            </w:r>
          </w:p>
        </w:tc>
        <w:tc>
          <w:tcPr>
            <w:tcW w:w="1447" w:type="dxa"/>
            <w:vAlign w:val="center"/>
          </w:tcPr>
          <w:p w14:paraId="4EF4065C" w14:textId="6675329A" w:rsidR="00856724" w:rsidRPr="00D948C1" w:rsidRDefault="00856724" w:rsidP="006C0086">
            <w:pPr>
              <w:tabs>
                <w:tab w:val="decimal" w:pos="1026"/>
              </w:tabs>
              <w:spacing w:line="276" w:lineRule="auto"/>
              <w:jc w:val="right"/>
              <w:rPr>
                <w:szCs w:val="24"/>
              </w:rPr>
            </w:pPr>
            <w:r w:rsidRPr="00D948C1">
              <w:rPr>
                <w:szCs w:val="24"/>
              </w:rPr>
              <w:t>(3,</w:t>
            </w:r>
            <w:r w:rsidR="002E3E10" w:rsidRPr="00D948C1">
              <w:rPr>
                <w:szCs w:val="24"/>
              </w:rPr>
              <w:t>830</w:t>
            </w:r>
            <w:r w:rsidRPr="00D948C1">
              <w:rPr>
                <w:szCs w:val="24"/>
              </w:rPr>
              <w:t>)</w:t>
            </w:r>
          </w:p>
        </w:tc>
        <w:tc>
          <w:tcPr>
            <w:tcW w:w="1305" w:type="dxa"/>
            <w:vAlign w:val="center"/>
          </w:tcPr>
          <w:p w14:paraId="02A4D60F" w14:textId="428408D1" w:rsidR="00856724" w:rsidRPr="00D948C1" w:rsidRDefault="00856724" w:rsidP="006C0086">
            <w:pPr>
              <w:tabs>
                <w:tab w:val="decimal" w:pos="1026"/>
              </w:tabs>
              <w:spacing w:line="276" w:lineRule="auto"/>
              <w:jc w:val="right"/>
              <w:rPr>
                <w:szCs w:val="24"/>
              </w:rPr>
            </w:pPr>
            <w:r w:rsidRPr="00D948C1">
              <w:rPr>
                <w:szCs w:val="24"/>
              </w:rPr>
              <w:t>(3,560)</w:t>
            </w:r>
          </w:p>
        </w:tc>
      </w:tr>
    </w:tbl>
    <w:p w14:paraId="0FCA580A" w14:textId="77777777" w:rsidR="001E71F1" w:rsidRPr="00D948C1" w:rsidRDefault="001E71F1" w:rsidP="006C0086">
      <w:pPr>
        <w:spacing w:line="276" w:lineRule="auto"/>
      </w:pPr>
    </w:p>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447"/>
        <w:gridCol w:w="1305"/>
      </w:tblGrid>
      <w:tr w:rsidR="00DD63D7" w:rsidRPr="00D948C1" w14:paraId="0EBB49D4" w14:textId="77777777" w:rsidTr="00611673">
        <w:tc>
          <w:tcPr>
            <w:tcW w:w="3953" w:type="dxa"/>
            <w:shd w:val="clear" w:color="auto" w:fill="BD2716"/>
          </w:tcPr>
          <w:p w14:paraId="4345BA4C" w14:textId="77777777" w:rsidR="00DD63D7" w:rsidRPr="00D948C1" w:rsidRDefault="00DD63D7" w:rsidP="006C0086">
            <w:pPr>
              <w:spacing w:line="276" w:lineRule="auto"/>
              <w:rPr>
                <w:color w:val="FFFFFF" w:themeColor="background1"/>
                <w:szCs w:val="24"/>
              </w:rPr>
            </w:pPr>
          </w:p>
        </w:tc>
        <w:tc>
          <w:tcPr>
            <w:tcW w:w="2684" w:type="dxa"/>
            <w:gridSpan w:val="2"/>
            <w:shd w:val="clear" w:color="auto" w:fill="BD2716"/>
            <w:vAlign w:val="center"/>
          </w:tcPr>
          <w:p w14:paraId="1D9845A0" w14:textId="4C99871F" w:rsidR="00DD63D7" w:rsidRPr="00D948C1" w:rsidRDefault="00DD63D7" w:rsidP="006C0086">
            <w:pPr>
              <w:tabs>
                <w:tab w:val="decimal" w:pos="888"/>
              </w:tabs>
              <w:spacing w:line="276" w:lineRule="auto"/>
              <w:jc w:val="center"/>
              <w:rPr>
                <w:color w:val="FFFFFF" w:themeColor="background1"/>
                <w:szCs w:val="24"/>
              </w:rPr>
            </w:pPr>
            <w:r w:rsidRPr="00D948C1">
              <w:rPr>
                <w:color w:val="FFFFFF" w:themeColor="background1"/>
                <w:szCs w:val="24"/>
              </w:rPr>
              <w:t>Funded Liabilities: Local Government Pension Scheme</w:t>
            </w:r>
          </w:p>
        </w:tc>
        <w:tc>
          <w:tcPr>
            <w:tcW w:w="2752" w:type="dxa"/>
            <w:gridSpan w:val="2"/>
            <w:shd w:val="clear" w:color="auto" w:fill="BD2716"/>
            <w:vAlign w:val="center"/>
          </w:tcPr>
          <w:p w14:paraId="0D4798BD" w14:textId="38E1A0E1" w:rsidR="00DD63D7" w:rsidRPr="00D948C1" w:rsidRDefault="00DD63D7" w:rsidP="006C0086">
            <w:pPr>
              <w:tabs>
                <w:tab w:val="decimal" w:pos="1026"/>
              </w:tabs>
              <w:spacing w:line="276" w:lineRule="auto"/>
              <w:jc w:val="center"/>
              <w:rPr>
                <w:color w:val="FFFFFF" w:themeColor="background1"/>
                <w:szCs w:val="24"/>
              </w:rPr>
            </w:pPr>
            <w:r w:rsidRPr="00D948C1">
              <w:rPr>
                <w:color w:val="FFFFFF" w:themeColor="background1"/>
                <w:szCs w:val="24"/>
              </w:rPr>
              <w:t>Unfunded Liabilities: Uniformed Firefighters’ Pension Scheme</w:t>
            </w:r>
          </w:p>
        </w:tc>
      </w:tr>
      <w:tr w:rsidR="00FF43EE" w:rsidRPr="00D948C1" w14:paraId="772DC3F9" w14:textId="77777777" w:rsidTr="00611673">
        <w:tc>
          <w:tcPr>
            <w:tcW w:w="3953" w:type="dxa"/>
            <w:shd w:val="clear" w:color="auto" w:fill="BD2716"/>
          </w:tcPr>
          <w:p w14:paraId="7A2F5D5C" w14:textId="77777777" w:rsidR="00FF43EE" w:rsidRPr="00D948C1" w:rsidRDefault="00FF43EE" w:rsidP="006C0086">
            <w:pPr>
              <w:spacing w:line="276" w:lineRule="auto"/>
              <w:rPr>
                <w:color w:val="FFFFFF" w:themeColor="background1"/>
                <w:szCs w:val="24"/>
              </w:rPr>
            </w:pPr>
          </w:p>
        </w:tc>
        <w:tc>
          <w:tcPr>
            <w:tcW w:w="1412" w:type="dxa"/>
            <w:shd w:val="clear" w:color="auto" w:fill="BD2716"/>
            <w:vAlign w:val="center"/>
          </w:tcPr>
          <w:p w14:paraId="5223DCCC"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p w14:paraId="061D9660" w14:textId="44DA6AD5"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272" w:type="dxa"/>
            <w:shd w:val="clear" w:color="auto" w:fill="BD2716"/>
            <w:vAlign w:val="center"/>
          </w:tcPr>
          <w:p w14:paraId="02CF3E1E"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p w14:paraId="381E8F68" w14:textId="638EBE71"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47" w:type="dxa"/>
            <w:shd w:val="clear" w:color="auto" w:fill="BD2716"/>
            <w:vAlign w:val="center"/>
          </w:tcPr>
          <w:p w14:paraId="32E9C866"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p w14:paraId="07705AE8" w14:textId="4DB9AE45"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305" w:type="dxa"/>
            <w:shd w:val="clear" w:color="auto" w:fill="BD2716"/>
            <w:vAlign w:val="center"/>
          </w:tcPr>
          <w:p w14:paraId="5448E971"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p w14:paraId="7C5C2CC0" w14:textId="0C306C9F"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r>
      <w:tr w:rsidR="00DD63D7" w:rsidRPr="00D948C1" w14:paraId="0E58499D" w14:textId="77777777" w:rsidTr="00982FEC">
        <w:tc>
          <w:tcPr>
            <w:tcW w:w="9389" w:type="dxa"/>
            <w:gridSpan w:val="5"/>
            <w:shd w:val="clear" w:color="auto" w:fill="D9D9D9" w:themeFill="background1" w:themeFillShade="D9"/>
          </w:tcPr>
          <w:p w14:paraId="757115A5" w14:textId="5E0168E5" w:rsidR="00DD63D7" w:rsidRPr="00D948C1" w:rsidRDefault="00DD63D7" w:rsidP="006C0086">
            <w:pPr>
              <w:tabs>
                <w:tab w:val="decimal" w:pos="1026"/>
              </w:tabs>
              <w:spacing w:line="276" w:lineRule="auto"/>
              <w:rPr>
                <w:b/>
                <w:bCs/>
                <w:szCs w:val="24"/>
              </w:rPr>
            </w:pPr>
            <w:r w:rsidRPr="00D948C1">
              <w:rPr>
                <w:b/>
                <w:bCs/>
                <w:szCs w:val="24"/>
              </w:rPr>
              <w:t>Remeasurements (liabilities):</w:t>
            </w:r>
          </w:p>
        </w:tc>
      </w:tr>
      <w:tr w:rsidR="00FF43EE" w:rsidRPr="00D948C1" w14:paraId="20412B26" w14:textId="77777777" w:rsidTr="00DD63D7">
        <w:tc>
          <w:tcPr>
            <w:tcW w:w="3953" w:type="dxa"/>
          </w:tcPr>
          <w:p w14:paraId="700DB496" w14:textId="27DD0BE2" w:rsidR="00FF43EE" w:rsidRPr="00D948C1" w:rsidRDefault="00FF43EE" w:rsidP="006C0086">
            <w:pPr>
              <w:spacing w:line="276" w:lineRule="auto"/>
              <w:rPr>
                <w:szCs w:val="24"/>
              </w:rPr>
            </w:pPr>
            <w:r w:rsidRPr="00D948C1">
              <w:rPr>
                <w:szCs w:val="24"/>
              </w:rPr>
              <w:t>Experience (gain)/loss</w:t>
            </w:r>
          </w:p>
        </w:tc>
        <w:tc>
          <w:tcPr>
            <w:tcW w:w="1412" w:type="dxa"/>
            <w:vAlign w:val="center"/>
          </w:tcPr>
          <w:p w14:paraId="58D5C06C" w14:textId="0865B2B5" w:rsidR="00FF43EE" w:rsidRPr="00D948C1" w:rsidRDefault="00FF43EE" w:rsidP="006C0086">
            <w:pPr>
              <w:tabs>
                <w:tab w:val="decimal" w:pos="888"/>
              </w:tabs>
              <w:spacing w:line="276" w:lineRule="auto"/>
              <w:jc w:val="right"/>
              <w:rPr>
                <w:szCs w:val="24"/>
              </w:rPr>
            </w:pPr>
            <w:r w:rsidRPr="00D948C1">
              <w:rPr>
                <w:szCs w:val="24"/>
              </w:rPr>
              <w:t>(</w:t>
            </w:r>
            <w:r w:rsidR="002C204D" w:rsidRPr="00D948C1">
              <w:rPr>
                <w:szCs w:val="24"/>
              </w:rPr>
              <w:t>536</w:t>
            </w:r>
            <w:r w:rsidRPr="00D948C1">
              <w:rPr>
                <w:szCs w:val="24"/>
              </w:rPr>
              <w:t>)</w:t>
            </w:r>
          </w:p>
        </w:tc>
        <w:tc>
          <w:tcPr>
            <w:tcW w:w="1272" w:type="dxa"/>
            <w:vAlign w:val="center"/>
          </w:tcPr>
          <w:p w14:paraId="1B43D8A9" w14:textId="33A86137" w:rsidR="00FF43EE" w:rsidRPr="00D948C1" w:rsidRDefault="00FF43EE" w:rsidP="006C0086">
            <w:pPr>
              <w:tabs>
                <w:tab w:val="decimal" w:pos="888"/>
              </w:tabs>
              <w:spacing w:line="276" w:lineRule="auto"/>
              <w:jc w:val="right"/>
              <w:rPr>
                <w:szCs w:val="24"/>
              </w:rPr>
            </w:pPr>
            <w:r w:rsidRPr="00D948C1">
              <w:rPr>
                <w:szCs w:val="24"/>
              </w:rPr>
              <w:t>(6,669)</w:t>
            </w:r>
          </w:p>
        </w:tc>
        <w:tc>
          <w:tcPr>
            <w:tcW w:w="1447" w:type="dxa"/>
            <w:vAlign w:val="center"/>
          </w:tcPr>
          <w:p w14:paraId="14DB94AD" w14:textId="03FA7823" w:rsidR="00FF43EE" w:rsidRPr="00D948C1" w:rsidRDefault="00FF43EE" w:rsidP="006C0086">
            <w:pPr>
              <w:tabs>
                <w:tab w:val="decimal" w:pos="1026"/>
              </w:tabs>
              <w:spacing w:line="276" w:lineRule="auto"/>
              <w:jc w:val="right"/>
              <w:rPr>
                <w:szCs w:val="24"/>
              </w:rPr>
            </w:pPr>
            <w:r w:rsidRPr="00D948C1">
              <w:rPr>
                <w:szCs w:val="24"/>
              </w:rPr>
              <w:t>(</w:t>
            </w:r>
            <w:r w:rsidR="002E3E10" w:rsidRPr="00D948C1">
              <w:rPr>
                <w:szCs w:val="24"/>
              </w:rPr>
              <w:t>8,420</w:t>
            </w:r>
            <w:r w:rsidRPr="00D948C1">
              <w:rPr>
                <w:szCs w:val="24"/>
              </w:rPr>
              <w:t>)</w:t>
            </w:r>
          </w:p>
        </w:tc>
        <w:tc>
          <w:tcPr>
            <w:tcW w:w="1305" w:type="dxa"/>
            <w:vAlign w:val="center"/>
          </w:tcPr>
          <w:p w14:paraId="46E37D0D" w14:textId="09CC43D4" w:rsidR="00FF43EE" w:rsidRPr="00D948C1" w:rsidRDefault="00FF43EE" w:rsidP="006C0086">
            <w:pPr>
              <w:tabs>
                <w:tab w:val="decimal" w:pos="1026"/>
              </w:tabs>
              <w:spacing w:line="276" w:lineRule="auto"/>
              <w:jc w:val="right"/>
              <w:rPr>
                <w:szCs w:val="24"/>
              </w:rPr>
            </w:pPr>
            <w:r w:rsidRPr="00D948C1">
              <w:rPr>
                <w:szCs w:val="24"/>
              </w:rPr>
              <w:t>(49,400)</w:t>
            </w:r>
          </w:p>
        </w:tc>
      </w:tr>
      <w:tr w:rsidR="00FF43EE" w:rsidRPr="00D948C1" w14:paraId="13DA8E3F" w14:textId="77777777" w:rsidTr="00DD63D7">
        <w:tc>
          <w:tcPr>
            <w:tcW w:w="3953" w:type="dxa"/>
          </w:tcPr>
          <w:p w14:paraId="7F2118F5" w14:textId="46A9F520" w:rsidR="00FF43EE" w:rsidRPr="00D948C1" w:rsidRDefault="00FF43EE" w:rsidP="006C0086">
            <w:pPr>
              <w:spacing w:line="276" w:lineRule="auto"/>
              <w:rPr>
                <w:szCs w:val="24"/>
              </w:rPr>
            </w:pPr>
            <w:r w:rsidRPr="00D948C1">
              <w:rPr>
                <w:szCs w:val="24"/>
              </w:rPr>
              <w:t>Gain/(Loss) on financial assumptions</w:t>
            </w:r>
          </w:p>
        </w:tc>
        <w:tc>
          <w:tcPr>
            <w:tcW w:w="1412" w:type="dxa"/>
            <w:vAlign w:val="center"/>
          </w:tcPr>
          <w:p w14:paraId="33C76C23" w14:textId="6491F1DE" w:rsidR="00FF43EE" w:rsidRPr="00D948C1" w:rsidRDefault="002C204D" w:rsidP="006C0086">
            <w:pPr>
              <w:tabs>
                <w:tab w:val="decimal" w:pos="888"/>
              </w:tabs>
              <w:spacing w:line="276" w:lineRule="auto"/>
              <w:jc w:val="right"/>
              <w:rPr>
                <w:szCs w:val="24"/>
              </w:rPr>
            </w:pPr>
            <w:r w:rsidRPr="00D948C1">
              <w:rPr>
                <w:szCs w:val="24"/>
              </w:rPr>
              <w:t>1,186</w:t>
            </w:r>
          </w:p>
        </w:tc>
        <w:tc>
          <w:tcPr>
            <w:tcW w:w="1272" w:type="dxa"/>
            <w:vAlign w:val="center"/>
          </w:tcPr>
          <w:p w14:paraId="048C3B62" w14:textId="43ECF341" w:rsidR="00FF43EE" w:rsidRPr="00D948C1" w:rsidRDefault="00FF43EE" w:rsidP="006C0086">
            <w:pPr>
              <w:tabs>
                <w:tab w:val="decimal" w:pos="888"/>
              </w:tabs>
              <w:spacing w:line="276" w:lineRule="auto"/>
              <w:jc w:val="right"/>
              <w:rPr>
                <w:szCs w:val="24"/>
              </w:rPr>
            </w:pPr>
            <w:r w:rsidRPr="00D948C1">
              <w:rPr>
                <w:szCs w:val="24"/>
              </w:rPr>
              <w:t>34,604</w:t>
            </w:r>
          </w:p>
        </w:tc>
        <w:tc>
          <w:tcPr>
            <w:tcW w:w="1447" w:type="dxa"/>
            <w:vAlign w:val="center"/>
          </w:tcPr>
          <w:p w14:paraId="12CEC8B7" w14:textId="3DE50DBA" w:rsidR="00FF43EE" w:rsidRPr="00D948C1" w:rsidRDefault="002E3E10" w:rsidP="006C0086">
            <w:pPr>
              <w:tabs>
                <w:tab w:val="decimal" w:pos="1026"/>
              </w:tabs>
              <w:spacing w:line="276" w:lineRule="auto"/>
              <w:jc w:val="right"/>
              <w:rPr>
                <w:szCs w:val="24"/>
              </w:rPr>
            </w:pPr>
            <w:r w:rsidRPr="00D948C1">
              <w:rPr>
                <w:szCs w:val="24"/>
              </w:rPr>
              <w:t>12,540</w:t>
            </w:r>
          </w:p>
        </w:tc>
        <w:tc>
          <w:tcPr>
            <w:tcW w:w="1305" w:type="dxa"/>
            <w:vAlign w:val="center"/>
          </w:tcPr>
          <w:p w14:paraId="21F6CB1B" w14:textId="239A7F18" w:rsidR="00FF43EE" w:rsidRPr="00D948C1" w:rsidRDefault="00FF43EE" w:rsidP="006C0086">
            <w:pPr>
              <w:tabs>
                <w:tab w:val="decimal" w:pos="1026"/>
              </w:tabs>
              <w:spacing w:line="276" w:lineRule="auto"/>
              <w:jc w:val="right"/>
              <w:rPr>
                <w:szCs w:val="24"/>
              </w:rPr>
            </w:pPr>
            <w:r w:rsidRPr="00D948C1">
              <w:rPr>
                <w:szCs w:val="24"/>
              </w:rPr>
              <w:t>259,250</w:t>
            </w:r>
          </w:p>
        </w:tc>
      </w:tr>
      <w:tr w:rsidR="00FF43EE" w:rsidRPr="00D948C1" w14:paraId="48ADFB46" w14:textId="77777777" w:rsidTr="00DD63D7">
        <w:tc>
          <w:tcPr>
            <w:tcW w:w="3953" w:type="dxa"/>
          </w:tcPr>
          <w:p w14:paraId="428FCCA5" w14:textId="5CF9F746" w:rsidR="00FF43EE" w:rsidRPr="00D948C1" w:rsidRDefault="00FF43EE" w:rsidP="006C0086">
            <w:pPr>
              <w:spacing w:line="276" w:lineRule="auto"/>
              <w:rPr>
                <w:szCs w:val="24"/>
              </w:rPr>
            </w:pPr>
            <w:r w:rsidRPr="00D948C1">
              <w:rPr>
                <w:szCs w:val="24"/>
              </w:rPr>
              <w:t>Gain/(Loss) on demographic assumptions</w:t>
            </w:r>
          </w:p>
        </w:tc>
        <w:tc>
          <w:tcPr>
            <w:tcW w:w="1412" w:type="dxa"/>
            <w:vAlign w:val="center"/>
          </w:tcPr>
          <w:p w14:paraId="21AAB3E7" w14:textId="71A3E121" w:rsidR="00FF43EE" w:rsidRPr="00D948C1" w:rsidRDefault="002C204D" w:rsidP="006C0086">
            <w:pPr>
              <w:tabs>
                <w:tab w:val="decimal" w:pos="888"/>
              </w:tabs>
              <w:spacing w:line="276" w:lineRule="auto"/>
              <w:jc w:val="right"/>
              <w:rPr>
                <w:szCs w:val="24"/>
              </w:rPr>
            </w:pPr>
            <w:r w:rsidRPr="00D948C1">
              <w:rPr>
                <w:szCs w:val="24"/>
              </w:rPr>
              <w:t>750</w:t>
            </w:r>
          </w:p>
        </w:tc>
        <w:tc>
          <w:tcPr>
            <w:tcW w:w="1272" w:type="dxa"/>
            <w:vAlign w:val="center"/>
          </w:tcPr>
          <w:p w14:paraId="07F7F8E5" w14:textId="2296567D" w:rsidR="00FF43EE" w:rsidRPr="00D948C1" w:rsidRDefault="00FF43EE" w:rsidP="006C0086">
            <w:pPr>
              <w:tabs>
                <w:tab w:val="decimal" w:pos="888"/>
              </w:tabs>
              <w:spacing w:line="276" w:lineRule="auto"/>
              <w:jc w:val="right"/>
              <w:rPr>
                <w:szCs w:val="24"/>
              </w:rPr>
            </w:pPr>
            <w:r w:rsidRPr="00D948C1">
              <w:rPr>
                <w:szCs w:val="24"/>
              </w:rPr>
              <w:t>1,885</w:t>
            </w:r>
          </w:p>
        </w:tc>
        <w:tc>
          <w:tcPr>
            <w:tcW w:w="1447" w:type="dxa"/>
            <w:vAlign w:val="center"/>
          </w:tcPr>
          <w:p w14:paraId="4F1425A8" w14:textId="74821A05" w:rsidR="00FF43EE" w:rsidRPr="00D948C1" w:rsidRDefault="002E3E10" w:rsidP="006C0086">
            <w:pPr>
              <w:tabs>
                <w:tab w:val="decimal" w:pos="1026"/>
              </w:tabs>
              <w:spacing w:line="276" w:lineRule="auto"/>
              <w:jc w:val="right"/>
              <w:rPr>
                <w:szCs w:val="24"/>
              </w:rPr>
            </w:pPr>
            <w:r w:rsidRPr="00D948C1">
              <w:rPr>
                <w:szCs w:val="24"/>
              </w:rPr>
              <w:t>-</w:t>
            </w:r>
          </w:p>
        </w:tc>
        <w:tc>
          <w:tcPr>
            <w:tcW w:w="1305" w:type="dxa"/>
            <w:vAlign w:val="center"/>
          </w:tcPr>
          <w:p w14:paraId="315FF104" w14:textId="1CC0EB93" w:rsidR="00FF43EE" w:rsidRPr="00D948C1" w:rsidRDefault="00FF43EE" w:rsidP="006C0086">
            <w:pPr>
              <w:tabs>
                <w:tab w:val="decimal" w:pos="1026"/>
              </w:tabs>
              <w:spacing w:line="276" w:lineRule="auto"/>
              <w:jc w:val="right"/>
              <w:rPr>
                <w:szCs w:val="24"/>
              </w:rPr>
            </w:pPr>
            <w:r w:rsidRPr="00D948C1">
              <w:rPr>
                <w:szCs w:val="24"/>
              </w:rPr>
              <w:t>24,630</w:t>
            </w:r>
          </w:p>
        </w:tc>
      </w:tr>
      <w:tr w:rsidR="00FF43EE" w:rsidRPr="00D948C1" w14:paraId="30C18108" w14:textId="77777777" w:rsidTr="00DD63D7">
        <w:tc>
          <w:tcPr>
            <w:tcW w:w="3953" w:type="dxa"/>
          </w:tcPr>
          <w:p w14:paraId="558D7795" w14:textId="27A6E9ED" w:rsidR="00FF43EE" w:rsidRPr="00D948C1" w:rsidRDefault="00FF43EE" w:rsidP="006C0086">
            <w:pPr>
              <w:spacing w:line="276" w:lineRule="auto"/>
              <w:rPr>
                <w:szCs w:val="24"/>
              </w:rPr>
            </w:pPr>
            <w:r w:rsidRPr="00D948C1">
              <w:rPr>
                <w:szCs w:val="24"/>
              </w:rPr>
              <w:t>Benefits/transfers paid</w:t>
            </w:r>
          </w:p>
        </w:tc>
        <w:tc>
          <w:tcPr>
            <w:tcW w:w="1412" w:type="dxa"/>
            <w:vAlign w:val="center"/>
          </w:tcPr>
          <w:p w14:paraId="2F317016" w14:textId="6E25B2BF" w:rsidR="00FF43EE" w:rsidRPr="00D948C1" w:rsidRDefault="00FF43EE" w:rsidP="006C0086">
            <w:pPr>
              <w:tabs>
                <w:tab w:val="decimal" w:pos="888"/>
              </w:tabs>
              <w:spacing w:line="276" w:lineRule="auto"/>
              <w:jc w:val="right"/>
              <w:rPr>
                <w:szCs w:val="24"/>
              </w:rPr>
            </w:pPr>
            <w:r w:rsidRPr="00D948C1">
              <w:rPr>
                <w:szCs w:val="24"/>
              </w:rPr>
              <w:t>1,</w:t>
            </w:r>
            <w:r w:rsidR="002C204D" w:rsidRPr="00D948C1">
              <w:rPr>
                <w:szCs w:val="24"/>
              </w:rPr>
              <w:t>516</w:t>
            </w:r>
          </w:p>
        </w:tc>
        <w:tc>
          <w:tcPr>
            <w:tcW w:w="1272" w:type="dxa"/>
            <w:vAlign w:val="center"/>
          </w:tcPr>
          <w:p w14:paraId="73485B34" w14:textId="7412BCFB" w:rsidR="00FF43EE" w:rsidRPr="00D948C1" w:rsidRDefault="00FF43EE" w:rsidP="006C0086">
            <w:pPr>
              <w:tabs>
                <w:tab w:val="decimal" w:pos="888"/>
              </w:tabs>
              <w:spacing w:line="276" w:lineRule="auto"/>
              <w:jc w:val="right"/>
              <w:rPr>
                <w:szCs w:val="24"/>
              </w:rPr>
            </w:pPr>
            <w:r w:rsidRPr="00D948C1">
              <w:rPr>
                <w:szCs w:val="24"/>
              </w:rPr>
              <w:t>1,633</w:t>
            </w:r>
          </w:p>
        </w:tc>
        <w:tc>
          <w:tcPr>
            <w:tcW w:w="1447" w:type="dxa"/>
            <w:vAlign w:val="center"/>
          </w:tcPr>
          <w:p w14:paraId="39DFCBB5" w14:textId="2E5DD95C" w:rsidR="00FF43EE" w:rsidRPr="00D948C1" w:rsidRDefault="002E3E10" w:rsidP="006C0086">
            <w:pPr>
              <w:tabs>
                <w:tab w:val="decimal" w:pos="1026"/>
              </w:tabs>
              <w:spacing w:line="276" w:lineRule="auto"/>
              <w:jc w:val="right"/>
              <w:rPr>
                <w:szCs w:val="24"/>
              </w:rPr>
            </w:pPr>
            <w:r w:rsidRPr="00D948C1">
              <w:rPr>
                <w:szCs w:val="24"/>
              </w:rPr>
              <w:t>32,620</w:t>
            </w:r>
          </w:p>
        </w:tc>
        <w:tc>
          <w:tcPr>
            <w:tcW w:w="1305" w:type="dxa"/>
            <w:vAlign w:val="center"/>
          </w:tcPr>
          <w:p w14:paraId="05B5F696" w14:textId="75F4EC2C" w:rsidR="00FF43EE" w:rsidRPr="00D948C1" w:rsidRDefault="00FF43EE" w:rsidP="006C0086">
            <w:pPr>
              <w:tabs>
                <w:tab w:val="decimal" w:pos="1026"/>
              </w:tabs>
              <w:spacing w:line="276" w:lineRule="auto"/>
              <w:jc w:val="right"/>
              <w:rPr>
                <w:szCs w:val="24"/>
              </w:rPr>
            </w:pPr>
            <w:r w:rsidRPr="00D948C1">
              <w:rPr>
                <w:szCs w:val="24"/>
              </w:rPr>
              <w:t>29,990</w:t>
            </w:r>
          </w:p>
        </w:tc>
      </w:tr>
      <w:tr w:rsidR="00FF43EE" w:rsidRPr="00D948C1" w14:paraId="56759CEA" w14:textId="77777777" w:rsidTr="00DD63D7">
        <w:tc>
          <w:tcPr>
            <w:tcW w:w="3953" w:type="dxa"/>
          </w:tcPr>
          <w:p w14:paraId="0A7FCDA7" w14:textId="7E040BF5" w:rsidR="00FF43EE" w:rsidRPr="00D948C1" w:rsidRDefault="00FF43EE" w:rsidP="006C0086">
            <w:pPr>
              <w:spacing w:line="276" w:lineRule="auto"/>
              <w:rPr>
                <w:szCs w:val="24"/>
              </w:rPr>
            </w:pPr>
            <w:r w:rsidRPr="00D948C1">
              <w:rPr>
                <w:szCs w:val="24"/>
              </w:rPr>
              <w:t>Past service cost</w:t>
            </w:r>
          </w:p>
        </w:tc>
        <w:tc>
          <w:tcPr>
            <w:tcW w:w="1412" w:type="dxa"/>
            <w:vAlign w:val="center"/>
          </w:tcPr>
          <w:p w14:paraId="6401268E" w14:textId="7C2768A0" w:rsidR="00FF43EE" w:rsidRPr="00D948C1" w:rsidRDefault="00FF43EE" w:rsidP="006C0086">
            <w:pPr>
              <w:tabs>
                <w:tab w:val="decimal" w:pos="888"/>
              </w:tabs>
              <w:spacing w:line="276" w:lineRule="auto"/>
              <w:jc w:val="right"/>
              <w:rPr>
                <w:szCs w:val="24"/>
              </w:rPr>
            </w:pPr>
            <w:r w:rsidRPr="00D948C1">
              <w:rPr>
                <w:szCs w:val="24"/>
              </w:rPr>
              <w:t>-</w:t>
            </w:r>
          </w:p>
        </w:tc>
        <w:tc>
          <w:tcPr>
            <w:tcW w:w="1272" w:type="dxa"/>
            <w:vAlign w:val="center"/>
          </w:tcPr>
          <w:p w14:paraId="1B30F9D8" w14:textId="3A629751" w:rsidR="00FF43EE" w:rsidRPr="00D948C1" w:rsidRDefault="00FF43EE" w:rsidP="006C0086">
            <w:pPr>
              <w:tabs>
                <w:tab w:val="decimal" w:pos="888"/>
              </w:tabs>
              <w:spacing w:line="276" w:lineRule="auto"/>
              <w:jc w:val="right"/>
              <w:rPr>
                <w:szCs w:val="24"/>
              </w:rPr>
            </w:pPr>
            <w:r w:rsidRPr="00D948C1">
              <w:rPr>
                <w:szCs w:val="24"/>
              </w:rPr>
              <w:t>-</w:t>
            </w:r>
          </w:p>
        </w:tc>
        <w:tc>
          <w:tcPr>
            <w:tcW w:w="1447" w:type="dxa"/>
            <w:vAlign w:val="center"/>
          </w:tcPr>
          <w:p w14:paraId="40ED884B" w14:textId="75390DE2" w:rsidR="00FF43EE" w:rsidRPr="00D948C1" w:rsidRDefault="00FF43EE" w:rsidP="006C0086">
            <w:pPr>
              <w:tabs>
                <w:tab w:val="decimal" w:pos="1026"/>
              </w:tabs>
              <w:spacing w:line="276" w:lineRule="auto"/>
              <w:jc w:val="right"/>
              <w:rPr>
                <w:szCs w:val="24"/>
              </w:rPr>
            </w:pPr>
            <w:r w:rsidRPr="00D948C1">
              <w:rPr>
                <w:szCs w:val="24"/>
              </w:rPr>
              <w:t>-</w:t>
            </w:r>
          </w:p>
        </w:tc>
        <w:tc>
          <w:tcPr>
            <w:tcW w:w="1305" w:type="dxa"/>
            <w:vAlign w:val="center"/>
          </w:tcPr>
          <w:p w14:paraId="73928141" w14:textId="5C62B1BC" w:rsidR="00FF43EE" w:rsidRPr="00D948C1" w:rsidRDefault="00FF43EE" w:rsidP="006C0086">
            <w:pPr>
              <w:tabs>
                <w:tab w:val="decimal" w:pos="1026"/>
              </w:tabs>
              <w:spacing w:line="276" w:lineRule="auto"/>
              <w:jc w:val="right"/>
              <w:rPr>
                <w:szCs w:val="24"/>
              </w:rPr>
            </w:pPr>
            <w:r w:rsidRPr="00D948C1">
              <w:rPr>
                <w:szCs w:val="24"/>
              </w:rPr>
              <w:t>-</w:t>
            </w:r>
          </w:p>
        </w:tc>
      </w:tr>
      <w:tr w:rsidR="00FF43EE" w:rsidRPr="00D948C1" w14:paraId="6AF1DE4A" w14:textId="77777777" w:rsidTr="00DD63D7">
        <w:tc>
          <w:tcPr>
            <w:tcW w:w="3953" w:type="dxa"/>
          </w:tcPr>
          <w:p w14:paraId="7911920C" w14:textId="61DAFBAE" w:rsidR="00FF43EE" w:rsidRPr="00D948C1" w:rsidRDefault="00FF43EE" w:rsidP="006C0086">
            <w:pPr>
              <w:spacing w:line="276" w:lineRule="auto"/>
              <w:rPr>
                <w:szCs w:val="24"/>
              </w:rPr>
            </w:pPr>
            <w:r w:rsidRPr="00D948C1">
              <w:rPr>
                <w:b/>
                <w:bCs/>
                <w:szCs w:val="24"/>
              </w:rPr>
              <w:t xml:space="preserve">Closing balance </w:t>
            </w:r>
            <w:proofErr w:type="gramStart"/>
            <w:r w:rsidRPr="00D948C1">
              <w:rPr>
                <w:b/>
                <w:bCs/>
                <w:szCs w:val="24"/>
              </w:rPr>
              <w:t>at</w:t>
            </w:r>
            <w:proofErr w:type="gramEnd"/>
            <w:r w:rsidRPr="00D948C1">
              <w:rPr>
                <w:b/>
                <w:bCs/>
                <w:szCs w:val="24"/>
              </w:rPr>
              <w:t xml:space="preserve"> 31 March</w:t>
            </w:r>
          </w:p>
        </w:tc>
        <w:tc>
          <w:tcPr>
            <w:tcW w:w="1412" w:type="dxa"/>
            <w:vAlign w:val="center"/>
          </w:tcPr>
          <w:p w14:paraId="321CDCC8" w14:textId="04C68312" w:rsidR="00FF43EE" w:rsidRPr="00D948C1" w:rsidRDefault="00FF43EE" w:rsidP="006C0086">
            <w:pPr>
              <w:tabs>
                <w:tab w:val="decimal" w:pos="888"/>
              </w:tabs>
              <w:spacing w:line="276" w:lineRule="auto"/>
              <w:jc w:val="right"/>
              <w:rPr>
                <w:szCs w:val="24"/>
              </w:rPr>
            </w:pPr>
            <w:r w:rsidRPr="00D948C1">
              <w:rPr>
                <w:b/>
                <w:bCs/>
                <w:szCs w:val="24"/>
              </w:rPr>
              <w:t>(</w:t>
            </w:r>
            <w:r w:rsidR="002C204D" w:rsidRPr="00D948C1">
              <w:rPr>
                <w:b/>
                <w:bCs/>
                <w:szCs w:val="24"/>
              </w:rPr>
              <w:t>60,315</w:t>
            </w:r>
            <w:r w:rsidRPr="00D948C1">
              <w:rPr>
                <w:b/>
                <w:bCs/>
                <w:szCs w:val="24"/>
              </w:rPr>
              <w:t>)</w:t>
            </w:r>
          </w:p>
        </w:tc>
        <w:tc>
          <w:tcPr>
            <w:tcW w:w="1272" w:type="dxa"/>
            <w:vAlign w:val="center"/>
          </w:tcPr>
          <w:p w14:paraId="184EB967" w14:textId="727CDBCB" w:rsidR="00FF43EE" w:rsidRPr="00D948C1" w:rsidRDefault="00FF43EE" w:rsidP="006C0086">
            <w:pPr>
              <w:tabs>
                <w:tab w:val="decimal" w:pos="888"/>
              </w:tabs>
              <w:spacing w:line="276" w:lineRule="auto"/>
              <w:jc w:val="right"/>
              <w:rPr>
                <w:szCs w:val="24"/>
              </w:rPr>
            </w:pPr>
            <w:r w:rsidRPr="00D948C1">
              <w:rPr>
                <w:b/>
                <w:bCs/>
                <w:szCs w:val="24"/>
              </w:rPr>
              <w:t>(58,483)</w:t>
            </w:r>
          </w:p>
        </w:tc>
        <w:tc>
          <w:tcPr>
            <w:tcW w:w="1447" w:type="dxa"/>
            <w:vAlign w:val="center"/>
          </w:tcPr>
          <w:p w14:paraId="1F2B689B" w14:textId="5B04349B" w:rsidR="00FF43EE" w:rsidRPr="00D948C1" w:rsidRDefault="00FF43EE" w:rsidP="006C0086">
            <w:pPr>
              <w:tabs>
                <w:tab w:val="decimal" w:pos="1026"/>
              </w:tabs>
              <w:spacing w:line="276" w:lineRule="auto"/>
              <w:jc w:val="right"/>
              <w:rPr>
                <w:szCs w:val="24"/>
              </w:rPr>
            </w:pPr>
            <w:r w:rsidRPr="00D948C1">
              <w:rPr>
                <w:b/>
                <w:bCs/>
                <w:szCs w:val="24"/>
              </w:rPr>
              <w:t>(651,</w:t>
            </w:r>
            <w:r w:rsidR="002E3E10" w:rsidRPr="00D948C1">
              <w:rPr>
                <w:b/>
                <w:bCs/>
                <w:szCs w:val="24"/>
              </w:rPr>
              <w:t>826</w:t>
            </w:r>
            <w:r w:rsidRPr="00D948C1">
              <w:rPr>
                <w:b/>
                <w:bCs/>
                <w:szCs w:val="24"/>
              </w:rPr>
              <w:t>)</w:t>
            </w:r>
          </w:p>
        </w:tc>
        <w:tc>
          <w:tcPr>
            <w:tcW w:w="1305" w:type="dxa"/>
            <w:vAlign w:val="center"/>
          </w:tcPr>
          <w:p w14:paraId="5F58C106" w14:textId="0554D3E6" w:rsidR="00FF43EE" w:rsidRPr="00D948C1" w:rsidRDefault="00FF43EE" w:rsidP="006C0086">
            <w:pPr>
              <w:tabs>
                <w:tab w:val="decimal" w:pos="1026"/>
              </w:tabs>
              <w:spacing w:line="276" w:lineRule="auto"/>
              <w:jc w:val="right"/>
              <w:rPr>
                <w:szCs w:val="24"/>
              </w:rPr>
            </w:pPr>
            <w:r w:rsidRPr="00D948C1">
              <w:rPr>
                <w:b/>
                <w:bCs/>
                <w:szCs w:val="24"/>
              </w:rPr>
              <w:t>(651,536)</w:t>
            </w:r>
          </w:p>
        </w:tc>
      </w:tr>
    </w:tbl>
    <w:p w14:paraId="2D32B6C1" w14:textId="60A03F1D" w:rsidR="000C442C" w:rsidRPr="00D948C1" w:rsidRDefault="000C442C" w:rsidP="006C0086">
      <w:pPr>
        <w:spacing w:line="276" w:lineRule="auto"/>
        <w:rPr>
          <w:szCs w:val="24"/>
        </w:rPr>
      </w:pPr>
    </w:p>
    <w:p w14:paraId="35B5488F" w14:textId="1E61E8F5" w:rsidR="00D90216" w:rsidRPr="00D948C1" w:rsidRDefault="00D90216" w:rsidP="006C0086">
      <w:pPr>
        <w:spacing w:line="276" w:lineRule="auto"/>
        <w:ind w:left="709"/>
        <w:rPr>
          <w:szCs w:val="24"/>
        </w:rPr>
      </w:pPr>
      <w:r w:rsidRPr="00D948C1">
        <w:rPr>
          <w:szCs w:val="24"/>
        </w:rPr>
        <w:t>Reconciliation of the fair value of the scheme assets:</w:t>
      </w:r>
    </w:p>
    <w:p w14:paraId="06AD6826" w14:textId="77777777" w:rsidR="00D90216" w:rsidRPr="00D948C1" w:rsidRDefault="00D90216" w:rsidP="006C0086">
      <w:pPr>
        <w:spacing w:line="276" w:lineRule="auto"/>
        <w:ind w:left="709"/>
        <w:jc w:val="both"/>
        <w:rPr>
          <w:sz w:val="22"/>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5"/>
        <w:gridCol w:w="1418"/>
        <w:gridCol w:w="1276"/>
        <w:gridCol w:w="1417"/>
      </w:tblGrid>
      <w:tr w:rsidR="00B145DB" w:rsidRPr="00D948C1" w14:paraId="061108FA" w14:textId="77777777" w:rsidTr="00611673">
        <w:trPr>
          <w:cantSplit/>
          <w:trHeight w:val="850"/>
        </w:trPr>
        <w:tc>
          <w:tcPr>
            <w:tcW w:w="4111" w:type="dxa"/>
            <w:shd w:val="clear" w:color="auto" w:fill="BD2716"/>
          </w:tcPr>
          <w:p w14:paraId="4581373F" w14:textId="77777777" w:rsidR="00B145DB" w:rsidRPr="00D948C1" w:rsidRDefault="00B145DB" w:rsidP="006C0086">
            <w:pPr>
              <w:spacing w:line="276" w:lineRule="auto"/>
              <w:jc w:val="both"/>
              <w:rPr>
                <w:color w:val="FFFFFF" w:themeColor="background1"/>
                <w:szCs w:val="24"/>
              </w:rPr>
            </w:pPr>
          </w:p>
        </w:tc>
        <w:tc>
          <w:tcPr>
            <w:tcW w:w="2693" w:type="dxa"/>
            <w:gridSpan w:val="2"/>
            <w:shd w:val="clear" w:color="auto" w:fill="BD2716"/>
            <w:vAlign w:val="center"/>
          </w:tcPr>
          <w:p w14:paraId="093143A2" w14:textId="77777777" w:rsidR="00B145DB" w:rsidRPr="00D948C1" w:rsidRDefault="00B145DB" w:rsidP="006C0086">
            <w:pPr>
              <w:spacing w:line="276" w:lineRule="auto"/>
              <w:jc w:val="center"/>
              <w:rPr>
                <w:color w:val="FFFFFF" w:themeColor="background1"/>
                <w:szCs w:val="24"/>
              </w:rPr>
            </w:pPr>
            <w:r w:rsidRPr="00D948C1">
              <w:rPr>
                <w:color w:val="FFFFFF" w:themeColor="background1"/>
                <w:szCs w:val="24"/>
              </w:rPr>
              <w:t>Funded Liabilities: Local Government Pension Scheme</w:t>
            </w:r>
          </w:p>
        </w:tc>
        <w:tc>
          <w:tcPr>
            <w:tcW w:w="2693" w:type="dxa"/>
            <w:gridSpan w:val="2"/>
            <w:shd w:val="clear" w:color="auto" w:fill="BD2716"/>
            <w:vAlign w:val="center"/>
          </w:tcPr>
          <w:p w14:paraId="41FC45DD" w14:textId="77777777" w:rsidR="00B145DB" w:rsidRPr="00D948C1" w:rsidRDefault="00B145DB" w:rsidP="006C0086">
            <w:pPr>
              <w:spacing w:line="276" w:lineRule="auto"/>
              <w:jc w:val="center"/>
              <w:rPr>
                <w:color w:val="FFFFFF" w:themeColor="background1"/>
                <w:szCs w:val="24"/>
              </w:rPr>
            </w:pPr>
            <w:r w:rsidRPr="00D948C1">
              <w:rPr>
                <w:color w:val="FFFFFF" w:themeColor="background1"/>
                <w:szCs w:val="24"/>
              </w:rPr>
              <w:t>Unfunded Liabilities: Uniformed Firefighters’ Pension Scheme</w:t>
            </w:r>
          </w:p>
        </w:tc>
      </w:tr>
      <w:tr w:rsidR="00FF43EE" w:rsidRPr="00D948C1" w14:paraId="625D6C0F" w14:textId="77777777" w:rsidTr="00611673">
        <w:trPr>
          <w:trHeight w:val="850"/>
        </w:trPr>
        <w:tc>
          <w:tcPr>
            <w:tcW w:w="4111" w:type="dxa"/>
            <w:shd w:val="clear" w:color="auto" w:fill="BD2716"/>
          </w:tcPr>
          <w:p w14:paraId="5692228E" w14:textId="77777777" w:rsidR="00FF43EE" w:rsidRPr="00D948C1" w:rsidRDefault="00FF43EE" w:rsidP="006C0086">
            <w:pPr>
              <w:spacing w:line="276" w:lineRule="auto"/>
              <w:jc w:val="both"/>
              <w:rPr>
                <w:color w:val="FFFFFF" w:themeColor="background1"/>
                <w:szCs w:val="24"/>
              </w:rPr>
            </w:pPr>
          </w:p>
        </w:tc>
        <w:tc>
          <w:tcPr>
            <w:tcW w:w="1275" w:type="dxa"/>
            <w:shd w:val="clear" w:color="auto" w:fill="BD2716"/>
            <w:vAlign w:val="center"/>
          </w:tcPr>
          <w:p w14:paraId="2254E559"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p w14:paraId="3F448338" w14:textId="2DEF5E66"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18" w:type="dxa"/>
            <w:shd w:val="clear" w:color="auto" w:fill="BD2716"/>
            <w:vAlign w:val="center"/>
          </w:tcPr>
          <w:p w14:paraId="0D2C0678"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p w14:paraId="426AC8D2" w14:textId="6D00E9F4"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70758F59"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p w14:paraId="15A6F316" w14:textId="69093F91"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17" w:type="dxa"/>
            <w:shd w:val="clear" w:color="auto" w:fill="BD2716"/>
            <w:vAlign w:val="center"/>
          </w:tcPr>
          <w:p w14:paraId="69112AB9"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p w14:paraId="40C861D1" w14:textId="52A0DC17"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r>
      <w:tr w:rsidR="00FF43EE" w:rsidRPr="00D948C1" w14:paraId="34D21FCD" w14:textId="77777777" w:rsidTr="00DD63D7">
        <w:trPr>
          <w:trHeight w:val="289"/>
        </w:trPr>
        <w:tc>
          <w:tcPr>
            <w:tcW w:w="4111" w:type="dxa"/>
          </w:tcPr>
          <w:p w14:paraId="78FD5494" w14:textId="77777777" w:rsidR="00FF43EE" w:rsidRPr="00D948C1" w:rsidRDefault="00FF43EE" w:rsidP="006C0086">
            <w:pPr>
              <w:spacing w:line="276" w:lineRule="auto"/>
              <w:jc w:val="both"/>
              <w:rPr>
                <w:b/>
                <w:bCs/>
                <w:szCs w:val="24"/>
              </w:rPr>
            </w:pPr>
            <w:r w:rsidRPr="00D948C1">
              <w:rPr>
                <w:b/>
                <w:bCs/>
                <w:szCs w:val="24"/>
              </w:rPr>
              <w:t xml:space="preserve">Opening balance </w:t>
            </w:r>
            <w:proofErr w:type="gramStart"/>
            <w:r w:rsidRPr="00D948C1">
              <w:rPr>
                <w:b/>
                <w:bCs/>
                <w:szCs w:val="24"/>
              </w:rPr>
              <w:t>at</w:t>
            </w:r>
            <w:proofErr w:type="gramEnd"/>
            <w:r w:rsidRPr="00D948C1">
              <w:rPr>
                <w:b/>
                <w:bCs/>
                <w:szCs w:val="24"/>
              </w:rPr>
              <w:t xml:space="preserve"> 1 April</w:t>
            </w:r>
          </w:p>
        </w:tc>
        <w:tc>
          <w:tcPr>
            <w:tcW w:w="1275" w:type="dxa"/>
            <w:vAlign w:val="center"/>
          </w:tcPr>
          <w:p w14:paraId="29A2AC93" w14:textId="0974E3EF" w:rsidR="00FF43EE" w:rsidRPr="00D948C1" w:rsidRDefault="00FF43EE" w:rsidP="006C0086">
            <w:pPr>
              <w:tabs>
                <w:tab w:val="decimal" w:pos="888"/>
              </w:tabs>
              <w:spacing w:line="276" w:lineRule="auto"/>
              <w:jc w:val="right"/>
              <w:rPr>
                <w:b/>
                <w:bCs/>
                <w:szCs w:val="24"/>
              </w:rPr>
            </w:pPr>
            <w:r w:rsidRPr="00D948C1">
              <w:rPr>
                <w:b/>
                <w:bCs/>
                <w:szCs w:val="24"/>
              </w:rPr>
              <w:t>78,360</w:t>
            </w:r>
          </w:p>
        </w:tc>
        <w:tc>
          <w:tcPr>
            <w:tcW w:w="1418" w:type="dxa"/>
            <w:vAlign w:val="center"/>
          </w:tcPr>
          <w:p w14:paraId="60C35226" w14:textId="49376B83" w:rsidR="00FF43EE" w:rsidRPr="00D948C1" w:rsidRDefault="00FF43EE" w:rsidP="006C0086">
            <w:pPr>
              <w:tabs>
                <w:tab w:val="decimal" w:pos="888"/>
              </w:tabs>
              <w:spacing w:line="276" w:lineRule="auto"/>
              <w:jc w:val="right"/>
              <w:rPr>
                <w:b/>
                <w:bCs/>
                <w:szCs w:val="24"/>
              </w:rPr>
            </w:pPr>
            <w:r w:rsidRPr="00D948C1">
              <w:rPr>
                <w:b/>
                <w:bCs/>
                <w:szCs w:val="24"/>
              </w:rPr>
              <w:t>76,703</w:t>
            </w:r>
          </w:p>
        </w:tc>
        <w:tc>
          <w:tcPr>
            <w:tcW w:w="1276" w:type="dxa"/>
            <w:shd w:val="clear" w:color="auto" w:fill="auto"/>
            <w:vAlign w:val="center"/>
          </w:tcPr>
          <w:p w14:paraId="40337856" w14:textId="77777777" w:rsidR="00FF43EE" w:rsidRPr="00D948C1" w:rsidRDefault="00FF43EE" w:rsidP="006C0086">
            <w:pPr>
              <w:tabs>
                <w:tab w:val="decimal" w:pos="888"/>
              </w:tabs>
              <w:spacing w:line="276" w:lineRule="auto"/>
              <w:jc w:val="right"/>
              <w:rPr>
                <w:b/>
                <w:bCs/>
                <w:szCs w:val="24"/>
              </w:rPr>
            </w:pPr>
            <w:r w:rsidRPr="00D948C1">
              <w:rPr>
                <w:b/>
                <w:bCs/>
                <w:szCs w:val="24"/>
              </w:rPr>
              <w:t>-</w:t>
            </w:r>
          </w:p>
        </w:tc>
        <w:tc>
          <w:tcPr>
            <w:tcW w:w="1417" w:type="dxa"/>
            <w:shd w:val="clear" w:color="auto" w:fill="auto"/>
            <w:vAlign w:val="center"/>
          </w:tcPr>
          <w:p w14:paraId="119C50BD" w14:textId="336B0010" w:rsidR="00FF43EE" w:rsidRPr="00D948C1" w:rsidRDefault="00FF43EE" w:rsidP="006C0086">
            <w:pPr>
              <w:tabs>
                <w:tab w:val="decimal" w:pos="888"/>
              </w:tabs>
              <w:spacing w:line="276" w:lineRule="auto"/>
              <w:jc w:val="right"/>
              <w:rPr>
                <w:b/>
                <w:bCs/>
                <w:szCs w:val="24"/>
              </w:rPr>
            </w:pPr>
            <w:r w:rsidRPr="00D948C1">
              <w:rPr>
                <w:b/>
                <w:bCs/>
                <w:szCs w:val="24"/>
              </w:rPr>
              <w:t>-</w:t>
            </w:r>
          </w:p>
        </w:tc>
      </w:tr>
      <w:tr w:rsidR="00FF43EE" w:rsidRPr="00D948C1" w14:paraId="769015FE" w14:textId="77777777" w:rsidTr="00DD63D7">
        <w:tc>
          <w:tcPr>
            <w:tcW w:w="4111" w:type="dxa"/>
          </w:tcPr>
          <w:p w14:paraId="7C1ADDB3" w14:textId="77777777" w:rsidR="00FF43EE" w:rsidRPr="00D948C1" w:rsidRDefault="00FF43EE" w:rsidP="006C0086">
            <w:pPr>
              <w:spacing w:line="276" w:lineRule="auto"/>
              <w:jc w:val="both"/>
              <w:rPr>
                <w:szCs w:val="24"/>
              </w:rPr>
            </w:pPr>
            <w:r w:rsidRPr="00D948C1">
              <w:rPr>
                <w:szCs w:val="24"/>
              </w:rPr>
              <w:t>Interest on scheme assets</w:t>
            </w:r>
          </w:p>
        </w:tc>
        <w:tc>
          <w:tcPr>
            <w:tcW w:w="1275" w:type="dxa"/>
            <w:vAlign w:val="center"/>
          </w:tcPr>
          <w:p w14:paraId="2DB82140" w14:textId="788CD3F0" w:rsidR="00FF43EE" w:rsidRPr="00D948C1" w:rsidRDefault="002C204D" w:rsidP="006C0086">
            <w:pPr>
              <w:tabs>
                <w:tab w:val="decimal" w:pos="888"/>
              </w:tabs>
              <w:spacing w:line="276" w:lineRule="auto"/>
              <w:jc w:val="right"/>
              <w:rPr>
                <w:szCs w:val="24"/>
              </w:rPr>
            </w:pPr>
            <w:r w:rsidRPr="00D948C1">
              <w:rPr>
                <w:szCs w:val="24"/>
              </w:rPr>
              <w:t>3,745</w:t>
            </w:r>
          </w:p>
        </w:tc>
        <w:tc>
          <w:tcPr>
            <w:tcW w:w="1418" w:type="dxa"/>
            <w:vAlign w:val="center"/>
          </w:tcPr>
          <w:p w14:paraId="0BE06C98" w14:textId="0346844B" w:rsidR="00FF43EE" w:rsidRPr="00D948C1" w:rsidRDefault="00FF43EE" w:rsidP="006C0086">
            <w:pPr>
              <w:tabs>
                <w:tab w:val="decimal" w:pos="888"/>
              </w:tabs>
              <w:spacing w:line="276" w:lineRule="auto"/>
              <w:jc w:val="right"/>
              <w:rPr>
                <w:szCs w:val="24"/>
              </w:rPr>
            </w:pPr>
            <w:r w:rsidRPr="00D948C1">
              <w:rPr>
                <w:szCs w:val="24"/>
              </w:rPr>
              <w:t>2,137</w:t>
            </w:r>
          </w:p>
        </w:tc>
        <w:tc>
          <w:tcPr>
            <w:tcW w:w="1276" w:type="dxa"/>
            <w:shd w:val="clear" w:color="auto" w:fill="auto"/>
            <w:vAlign w:val="center"/>
          </w:tcPr>
          <w:p w14:paraId="3BB2BC9D" w14:textId="77777777" w:rsidR="00FF43EE" w:rsidRPr="00D948C1" w:rsidRDefault="00FF43EE" w:rsidP="006C0086">
            <w:pPr>
              <w:tabs>
                <w:tab w:val="decimal" w:pos="888"/>
              </w:tabs>
              <w:spacing w:line="276" w:lineRule="auto"/>
              <w:jc w:val="right"/>
              <w:rPr>
                <w:szCs w:val="24"/>
              </w:rPr>
            </w:pPr>
            <w:r w:rsidRPr="00D948C1">
              <w:rPr>
                <w:szCs w:val="24"/>
              </w:rPr>
              <w:t>-</w:t>
            </w:r>
          </w:p>
        </w:tc>
        <w:tc>
          <w:tcPr>
            <w:tcW w:w="1417" w:type="dxa"/>
            <w:shd w:val="clear" w:color="auto" w:fill="auto"/>
            <w:vAlign w:val="center"/>
          </w:tcPr>
          <w:p w14:paraId="52FAB21E" w14:textId="0E523AC5" w:rsidR="00FF43EE" w:rsidRPr="00D948C1" w:rsidRDefault="00FF43EE" w:rsidP="006C0086">
            <w:pPr>
              <w:tabs>
                <w:tab w:val="decimal" w:pos="888"/>
              </w:tabs>
              <w:spacing w:line="276" w:lineRule="auto"/>
              <w:jc w:val="right"/>
              <w:rPr>
                <w:szCs w:val="24"/>
              </w:rPr>
            </w:pPr>
            <w:r w:rsidRPr="00D948C1">
              <w:rPr>
                <w:szCs w:val="24"/>
              </w:rPr>
              <w:t>-</w:t>
            </w:r>
          </w:p>
        </w:tc>
      </w:tr>
      <w:tr w:rsidR="00FF43EE" w:rsidRPr="00D948C1" w14:paraId="60C39BC4" w14:textId="77777777" w:rsidTr="00DD63D7">
        <w:tc>
          <w:tcPr>
            <w:tcW w:w="4111" w:type="dxa"/>
          </w:tcPr>
          <w:p w14:paraId="10A89D19" w14:textId="77777777" w:rsidR="00FF43EE" w:rsidRPr="00D948C1" w:rsidRDefault="00FF43EE" w:rsidP="006C0086">
            <w:pPr>
              <w:spacing w:line="276" w:lineRule="auto"/>
              <w:jc w:val="both"/>
              <w:rPr>
                <w:szCs w:val="24"/>
              </w:rPr>
            </w:pPr>
            <w:r w:rsidRPr="00D948C1">
              <w:rPr>
                <w:szCs w:val="24"/>
              </w:rPr>
              <w:t>Remeasurements (assets)</w:t>
            </w:r>
          </w:p>
        </w:tc>
        <w:tc>
          <w:tcPr>
            <w:tcW w:w="1275" w:type="dxa"/>
            <w:vAlign w:val="center"/>
          </w:tcPr>
          <w:p w14:paraId="2F9F8A3F" w14:textId="7ADA9E8F" w:rsidR="00FF43EE" w:rsidRPr="00D948C1" w:rsidRDefault="002C204D" w:rsidP="006C0086">
            <w:pPr>
              <w:tabs>
                <w:tab w:val="decimal" w:pos="888"/>
              </w:tabs>
              <w:spacing w:line="276" w:lineRule="auto"/>
              <w:jc w:val="right"/>
              <w:rPr>
                <w:szCs w:val="24"/>
              </w:rPr>
            </w:pPr>
            <w:r w:rsidRPr="00D948C1">
              <w:rPr>
                <w:szCs w:val="24"/>
              </w:rPr>
              <w:t>2</w:t>
            </w:r>
            <w:r w:rsidR="008F6F5D" w:rsidRPr="00D948C1">
              <w:rPr>
                <w:szCs w:val="24"/>
              </w:rPr>
              <w:t>,</w:t>
            </w:r>
            <w:r w:rsidRPr="00D948C1">
              <w:rPr>
                <w:szCs w:val="24"/>
              </w:rPr>
              <w:t>665</w:t>
            </w:r>
          </w:p>
        </w:tc>
        <w:tc>
          <w:tcPr>
            <w:tcW w:w="1418" w:type="dxa"/>
            <w:vAlign w:val="center"/>
          </w:tcPr>
          <w:p w14:paraId="16875547" w14:textId="1D7D6832" w:rsidR="00FF43EE" w:rsidRPr="00D948C1" w:rsidRDefault="00FF43EE" w:rsidP="006C0086">
            <w:pPr>
              <w:tabs>
                <w:tab w:val="decimal" w:pos="888"/>
              </w:tabs>
              <w:spacing w:line="276" w:lineRule="auto"/>
              <w:jc w:val="right"/>
              <w:rPr>
                <w:szCs w:val="24"/>
              </w:rPr>
            </w:pPr>
            <w:r w:rsidRPr="00D948C1">
              <w:rPr>
                <w:szCs w:val="24"/>
              </w:rPr>
              <w:t>354</w:t>
            </w:r>
          </w:p>
        </w:tc>
        <w:tc>
          <w:tcPr>
            <w:tcW w:w="1276" w:type="dxa"/>
            <w:shd w:val="clear" w:color="auto" w:fill="auto"/>
            <w:vAlign w:val="center"/>
          </w:tcPr>
          <w:p w14:paraId="60DF35B8" w14:textId="77777777" w:rsidR="00FF43EE" w:rsidRPr="00D948C1" w:rsidRDefault="00FF43EE" w:rsidP="006C0086">
            <w:pPr>
              <w:tabs>
                <w:tab w:val="decimal" w:pos="888"/>
              </w:tabs>
              <w:spacing w:line="276" w:lineRule="auto"/>
              <w:jc w:val="right"/>
              <w:rPr>
                <w:szCs w:val="24"/>
              </w:rPr>
            </w:pPr>
            <w:r w:rsidRPr="00D948C1">
              <w:rPr>
                <w:szCs w:val="24"/>
              </w:rPr>
              <w:t>-</w:t>
            </w:r>
          </w:p>
        </w:tc>
        <w:tc>
          <w:tcPr>
            <w:tcW w:w="1417" w:type="dxa"/>
            <w:shd w:val="clear" w:color="auto" w:fill="auto"/>
            <w:vAlign w:val="center"/>
          </w:tcPr>
          <w:p w14:paraId="6E1CC522" w14:textId="77C3D096" w:rsidR="00FF43EE" w:rsidRPr="00D948C1" w:rsidRDefault="00FF43EE" w:rsidP="006C0086">
            <w:pPr>
              <w:tabs>
                <w:tab w:val="decimal" w:pos="888"/>
              </w:tabs>
              <w:spacing w:line="276" w:lineRule="auto"/>
              <w:jc w:val="right"/>
              <w:rPr>
                <w:szCs w:val="24"/>
              </w:rPr>
            </w:pPr>
            <w:r w:rsidRPr="00D948C1">
              <w:rPr>
                <w:szCs w:val="24"/>
              </w:rPr>
              <w:t>-</w:t>
            </w:r>
          </w:p>
        </w:tc>
      </w:tr>
      <w:tr w:rsidR="00FF43EE" w:rsidRPr="00D948C1" w14:paraId="28F41D9A" w14:textId="77777777" w:rsidTr="00DD63D7">
        <w:tc>
          <w:tcPr>
            <w:tcW w:w="4111" w:type="dxa"/>
          </w:tcPr>
          <w:p w14:paraId="4B3B9621" w14:textId="77777777" w:rsidR="00FF43EE" w:rsidRPr="00D948C1" w:rsidRDefault="00FF43EE" w:rsidP="006C0086">
            <w:pPr>
              <w:spacing w:line="276" w:lineRule="auto"/>
              <w:jc w:val="both"/>
              <w:rPr>
                <w:szCs w:val="24"/>
              </w:rPr>
            </w:pPr>
            <w:r w:rsidRPr="00D948C1">
              <w:rPr>
                <w:szCs w:val="24"/>
              </w:rPr>
              <w:t>Administrative expenses</w:t>
            </w:r>
          </w:p>
        </w:tc>
        <w:tc>
          <w:tcPr>
            <w:tcW w:w="1275" w:type="dxa"/>
            <w:vAlign w:val="center"/>
          </w:tcPr>
          <w:p w14:paraId="47FB475B" w14:textId="47FBC418" w:rsidR="00FF43EE" w:rsidRPr="00D948C1" w:rsidRDefault="00FF43EE" w:rsidP="006C0086">
            <w:pPr>
              <w:tabs>
                <w:tab w:val="decimal" w:pos="888"/>
              </w:tabs>
              <w:spacing w:line="276" w:lineRule="auto"/>
              <w:jc w:val="right"/>
              <w:rPr>
                <w:szCs w:val="24"/>
              </w:rPr>
            </w:pPr>
            <w:r w:rsidRPr="00D948C1">
              <w:rPr>
                <w:szCs w:val="24"/>
              </w:rPr>
              <w:t>(4</w:t>
            </w:r>
            <w:r w:rsidR="002C204D" w:rsidRPr="00D948C1">
              <w:rPr>
                <w:szCs w:val="24"/>
              </w:rPr>
              <w:t>6</w:t>
            </w:r>
            <w:r w:rsidRPr="00D948C1">
              <w:rPr>
                <w:szCs w:val="24"/>
              </w:rPr>
              <w:t>)</w:t>
            </w:r>
          </w:p>
        </w:tc>
        <w:tc>
          <w:tcPr>
            <w:tcW w:w="1418" w:type="dxa"/>
            <w:vAlign w:val="center"/>
          </w:tcPr>
          <w:p w14:paraId="0DED3FF5" w14:textId="47DA24E9" w:rsidR="00FF43EE" w:rsidRPr="00D948C1" w:rsidRDefault="00FF43EE" w:rsidP="006C0086">
            <w:pPr>
              <w:tabs>
                <w:tab w:val="decimal" w:pos="888"/>
              </w:tabs>
              <w:spacing w:line="276" w:lineRule="auto"/>
              <w:jc w:val="right"/>
              <w:rPr>
                <w:szCs w:val="24"/>
              </w:rPr>
            </w:pPr>
            <w:r w:rsidRPr="00D948C1">
              <w:rPr>
                <w:szCs w:val="24"/>
              </w:rPr>
              <w:t>(41)</w:t>
            </w:r>
          </w:p>
        </w:tc>
        <w:tc>
          <w:tcPr>
            <w:tcW w:w="1276" w:type="dxa"/>
            <w:shd w:val="clear" w:color="auto" w:fill="auto"/>
            <w:vAlign w:val="center"/>
          </w:tcPr>
          <w:p w14:paraId="61BB61EF" w14:textId="77777777" w:rsidR="00FF43EE" w:rsidRPr="00D948C1" w:rsidRDefault="00FF43EE" w:rsidP="006C0086">
            <w:pPr>
              <w:tabs>
                <w:tab w:val="decimal" w:pos="888"/>
              </w:tabs>
              <w:spacing w:line="276" w:lineRule="auto"/>
              <w:jc w:val="right"/>
              <w:rPr>
                <w:szCs w:val="24"/>
              </w:rPr>
            </w:pPr>
            <w:r w:rsidRPr="00D948C1">
              <w:rPr>
                <w:szCs w:val="24"/>
              </w:rPr>
              <w:t>-</w:t>
            </w:r>
          </w:p>
        </w:tc>
        <w:tc>
          <w:tcPr>
            <w:tcW w:w="1417" w:type="dxa"/>
            <w:shd w:val="clear" w:color="auto" w:fill="auto"/>
            <w:vAlign w:val="center"/>
          </w:tcPr>
          <w:p w14:paraId="6CA8F60C" w14:textId="041C0459" w:rsidR="00FF43EE" w:rsidRPr="00D948C1" w:rsidRDefault="00FF43EE" w:rsidP="006C0086">
            <w:pPr>
              <w:tabs>
                <w:tab w:val="decimal" w:pos="888"/>
              </w:tabs>
              <w:spacing w:line="276" w:lineRule="auto"/>
              <w:jc w:val="right"/>
              <w:rPr>
                <w:szCs w:val="24"/>
              </w:rPr>
            </w:pPr>
            <w:r w:rsidRPr="00D948C1">
              <w:rPr>
                <w:szCs w:val="24"/>
              </w:rPr>
              <w:t>-</w:t>
            </w:r>
          </w:p>
        </w:tc>
      </w:tr>
      <w:tr w:rsidR="00FF43EE" w:rsidRPr="00D948C1" w14:paraId="4ED6DB79" w14:textId="77777777" w:rsidTr="00DD63D7">
        <w:tc>
          <w:tcPr>
            <w:tcW w:w="4111" w:type="dxa"/>
          </w:tcPr>
          <w:p w14:paraId="38205E82" w14:textId="77777777" w:rsidR="00FF43EE" w:rsidRPr="00D948C1" w:rsidRDefault="00FF43EE" w:rsidP="006C0086">
            <w:pPr>
              <w:spacing w:line="276" w:lineRule="auto"/>
              <w:jc w:val="both"/>
              <w:rPr>
                <w:szCs w:val="24"/>
              </w:rPr>
            </w:pPr>
            <w:r w:rsidRPr="00D948C1">
              <w:rPr>
                <w:szCs w:val="24"/>
              </w:rPr>
              <w:lastRenderedPageBreak/>
              <w:t>Employer contributions</w:t>
            </w:r>
          </w:p>
        </w:tc>
        <w:tc>
          <w:tcPr>
            <w:tcW w:w="1275" w:type="dxa"/>
            <w:vAlign w:val="center"/>
          </w:tcPr>
          <w:p w14:paraId="4CD67898" w14:textId="2E5BAC20" w:rsidR="002C204D" w:rsidRPr="00D948C1" w:rsidRDefault="002E3E10" w:rsidP="006C0086">
            <w:pPr>
              <w:tabs>
                <w:tab w:val="decimal" w:pos="888"/>
              </w:tabs>
              <w:spacing w:line="276" w:lineRule="auto"/>
              <w:jc w:val="right"/>
              <w:rPr>
                <w:szCs w:val="24"/>
              </w:rPr>
            </w:pPr>
            <w:r w:rsidRPr="00D948C1">
              <w:rPr>
                <w:szCs w:val="24"/>
              </w:rPr>
              <w:t>356</w:t>
            </w:r>
          </w:p>
        </w:tc>
        <w:tc>
          <w:tcPr>
            <w:tcW w:w="1418" w:type="dxa"/>
            <w:vAlign w:val="center"/>
          </w:tcPr>
          <w:p w14:paraId="5ADD311D" w14:textId="66F2CD21" w:rsidR="00FF43EE" w:rsidRPr="00D948C1" w:rsidRDefault="00FF43EE" w:rsidP="006C0086">
            <w:pPr>
              <w:tabs>
                <w:tab w:val="decimal" w:pos="888"/>
              </w:tabs>
              <w:spacing w:line="276" w:lineRule="auto"/>
              <w:jc w:val="right"/>
              <w:rPr>
                <w:szCs w:val="24"/>
              </w:rPr>
            </w:pPr>
            <w:r w:rsidRPr="00D948C1">
              <w:rPr>
                <w:szCs w:val="24"/>
              </w:rPr>
              <w:t>348</w:t>
            </w:r>
          </w:p>
        </w:tc>
        <w:tc>
          <w:tcPr>
            <w:tcW w:w="1276" w:type="dxa"/>
            <w:shd w:val="clear" w:color="auto" w:fill="auto"/>
            <w:vAlign w:val="center"/>
          </w:tcPr>
          <w:p w14:paraId="72B213D4" w14:textId="56B4764B" w:rsidR="00FF43EE" w:rsidRPr="00D948C1" w:rsidRDefault="002811B7" w:rsidP="006C0086">
            <w:pPr>
              <w:tabs>
                <w:tab w:val="decimal" w:pos="888"/>
              </w:tabs>
              <w:spacing w:line="276" w:lineRule="auto"/>
              <w:jc w:val="right"/>
              <w:rPr>
                <w:szCs w:val="24"/>
              </w:rPr>
            </w:pPr>
            <w:r>
              <w:rPr>
                <w:szCs w:val="24"/>
              </w:rPr>
              <w:t>28,790</w:t>
            </w:r>
          </w:p>
        </w:tc>
        <w:tc>
          <w:tcPr>
            <w:tcW w:w="1417" w:type="dxa"/>
            <w:shd w:val="clear" w:color="auto" w:fill="auto"/>
            <w:vAlign w:val="center"/>
          </w:tcPr>
          <w:p w14:paraId="34AF943E" w14:textId="37BECACB" w:rsidR="00FF43EE" w:rsidRPr="00D948C1" w:rsidRDefault="00FF43EE" w:rsidP="006C0086">
            <w:pPr>
              <w:tabs>
                <w:tab w:val="decimal" w:pos="888"/>
              </w:tabs>
              <w:spacing w:line="276" w:lineRule="auto"/>
              <w:jc w:val="right"/>
              <w:rPr>
                <w:szCs w:val="24"/>
              </w:rPr>
            </w:pPr>
            <w:r w:rsidRPr="00D948C1">
              <w:rPr>
                <w:szCs w:val="24"/>
              </w:rPr>
              <w:t>26,430</w:t>
            </w:r>
          </w:p>
        </w:tc>
      </w:tr>
      <w:tr w:rsidR="00FF43EE" w:rsidRPr="00D948C1" w14:paraId="1DFE0EB5" w14:textId="77777777" w:rsidTr="00DD63D7">
        <w:tc>
          <w:tcPr>
            <w:tcW w:w="4111" w:type="dxa"/>
          </w:tcPr>
          <w:p w14:paraId="23AE9FB4" w14:textId="77777777" w:rsidR="00FF43EE" w:rsidRPr="00D948C1" w:rsidRDefault="00FF43EE" w:rsidP="006C0086">
            <w:pPr>
              <w:spacing w:line="276" w:lineRule="auto"/>
              <w:jc w:val="both"/>
              <w:rPr>
                <w:szCs w:val="24"/>
              </w:rPr>
            </w:pPr>
            <w:r w:rsidRPr="00D948C1">
              <w:rPr>
                <w:szCs w:val="24"/>
              </w:rPr>
              <w:t>Contributions by scheme participants</w:t>
            </w:r>
          </w:p>
        </w:tc>
        <w:tc>
          <w:tcPr>
            <w:tcW w:w="1275" w:type="dxa"/>
            <w:vAlign w:val="center"/>
          </w:tcPr>
          <w:p w14:paraId="7D3181B2" w14:textId="645E2D3D" w:rsidR="00FF43EE" w:rsidRPr="00D948C1" w:rsidRDefault="002E3E10" w:rsidP="006C0086">
            <w:pPr>
              <w:tabs>
                <w:tab w:val="decimal" w:pos="888"/>
              </w:tabs>
              <w:spacing w:line="276" w:lineRule="auto"/>
              <w:jc w:val="right"/>
              <w:rPr>
                <w:szCs w:val="24"/>
              </w:rPr>
            </w:pPr>
            <w:r w:rsidRPr="00D948C1">
              <w:rPr>
                <w:szCs w:val="24"/>
              </w:rPr>
              <w:t>549</w:t>
            </w:r>
          </w:p>
        </w:tc>
        <w:tc>
          <w:tcPr>
            <w:tcW w:w="1418" w:type="dxa"/>
            <w:vAlign w:val="center"/>
          </w:tcPr>
          <w:p w14:paraId="6F498A8A" w14:textId="1FEEF19A" w:rsidR="00FF43EE" w:rsidRPr="00D948C1" w:rsidRDefault="00FF43EE" w:rsidP="006C0086">
            <w:pPr>
              <w:tabs>
                <w:tab w:val="decimal" w:pos="888"/>
              </w:tabs>
              <w:spacing w:line="276" w:lineRule="auto"/>
              <w:jc w:val="right"/>
              <w:rPr>
                <w:szCs w:val="24"/>
              </w:rPr>
            </w:pPr>
            <w:r w:rsidRPr="00D948C1">
              <w:rPr>
                <w:szCs w:val="24"/>
              </w:rPr>
              <w:t>492</w:t>
            </w:r>
          </w:p>
        </w:tc>
        <w:tc>
          <w:tcPr>
            <w:tcW w:w="1276" w:type="dxa"/>
            <w:shd w:val="clear" w:color="auto" w:fill="auto"/>
            <w:vAlign w:val="center"/>
          </w:tcPr>
          <w:p w14:paraId="7354BA27" w14:textId="6D135904" w:rsidR="00FF43EE" w:rsidRPr="00D948C1" w:rsidRDefault="002811B7" w:rsidP="006C0086">
            <w:pPr>
              <w:tabs>
                <w:tab w:val="decimal" w:pos="888"/>
              </w:tabs>
              <w:spacing w:line="276" w:lineRule="auto"/>
              <w:jc w:val="right"/>
              <w:rPr>
                <w:szCs w:val="24"/>
              </w:rPr>
            </w:pPr>
            <w:r>
              <w:rPr>
                <w:szCs w:val="24"/>
              </w:rPr>
              <w:t>3,830</w:t>
            </w:r>
          </w:p>
        </w:tc>
        <w:tc>
          <w:tcPr>
            <w:tcW w:w="1417" w:type="dxa"/>
            <w:shd w:val="clear" w:color="auto" w:fill="auto"/>
            <w:vAlign w:val="center"/>
          </w:tcPr>
          <w:p w14:paraId="14766B46" w14:textId="390879B2" w:rsidR="00FF43EE" w:rsidRPr="00D948C1" w:rsidRDefault="00FF43EE" w:rsidP="006C0086">
            <w:pPr>
              <w:tabs>
                <w:tab w:val="decimal" w:pos="888"/>
              </w:tabs>
              <w:spacing w:line="276" w:lineRule="auto"/>
              <w:jc w:val="right"/>
              <w:rPr>
                <w:szCs w:val="24"/>
              </w:rPr>
            </w:pPr>
            <w:r w:rsidRPr="00D948C1">
              <w:rPr>
                <w:szCs w:val="24"/>
              </w:rPr>
              <w:t>3,560</w:t>
            </w:r>
          </w:p>
        </w:tc>
      </w:tr>
      <w:tr w:rsidR="00FF43EE" w:rsidRPr="00D948C1" w14:paraId="78CB136D" w14:textId="77777777" w:rsidTr="00DD63D7">
        <w:tc>
          <w:tcPr>
            <w:tcW w:w="4111" w:type="dxa"/>
          </w:tcPr>
          <w:p w14:paraId="36870B06" w14:textId="77777777" w:rsidR="00FF43EE" w:rsidRPr="00D948C1" w:rsidRDefault="00FF43EE" w:rsidP="006C0086">
            <w:pPr>
              <w:spacing w:line="276" w:lineRule="auto"/>
              <w:jc w:val="both"/>
              <w:rPr>
                <w:szCs w:val="24"/>
              </w:rPr>
            </w:pPr>
            <w:r w:rsidRPr="00D948C1">
              <w:rPr>
                <w:szCs w:val="24"/>
              </w:rPr>
              <w:t>Benefits paid</w:t>
            </w:r>
          </w:p>
        </w:tc>
        <w:tc>
          <w:tcPr>
            <w:tcW w:w="1275" w:type="dxa"/>
            <w:vAlign w:val="center"/>
          </w:tcPr>
          <w:p w14:paraId="75BEB3C7" w14:textId="632285C8" w:rsidR="00FF43EE" w:rsidRPr="00D948C1" w:rsidRDefault="00FF43EE" w:rsidP="006C0086">
            <w:pPr>
              <w:tabs>
                <w:tab w:val="decimal" w:pos="888"/>
              </w:tabs>
              <w:spacing w:line="276" w:lineRule="auto"/>
              <w:jc w:val="right"/>
              <w:rPr>
                <w:szCs w:val="24"/>
              </w:rPr>
            </w:pPr>
            <w:r w:rsidRPr="00D948C1">
              <w:rPr>
                <w:szCs w:val="24"/>
              </w:rPr>
              <w:t>(1,</w:t>
            </w:r>
            <w:r w:rsidR="000C1F7C" w:rsidRPr="00D948C1">
              <w:rPr>
                <w:szCs w:val="24"/>
              </w:rPr>
              <w:t>516</w:t>
            </w:r>
            <w:r w:rsidRPr="00D948C1">
              <w:rPr>
                <w:szCs w:val="24"/>
              </w:rPr>
              <w:t>)</w:t>
            </w:r>
          </w:p>
        </w:tc>
        <w:tc>
          <w:tcPr>
            <w:tcW w:w="1418" w:type="dxa"/>
            <w:vAlign w:val="center"/>
          </w:tcPr>
          <w:p w14:paraId="3003C7E3" w14:textId="1108FB15" w:rsidR="00FF43EE" w:rsidRPr="00D948C1" w:rsidRDefault="00FF43EE" w:rsidP="006C0086">
            <w:pPr>
              <w:tabs>
                <w:tab w:val="decimal" w:pos="888"/>
              </w:tabs>
              <w:spacing w:line="276" w:lineRule="auto"/>
              <w:jc w:val="right"/>
              <w:rPr>
                <w:szCs w:val="24"/>
              </w:rPr>
            </w:pPr>
            <w:r w:rsidRPr="00D948C1">
              <w:rPr>
                <w:szCs w:val="24"/>
              </w:rPr>
              <w:t>(1,633)</w:t>
            </w:r>
          </w:p>
        </w:tc>
        <w:tc>
          <w:tcPr>
            <w:tcW w:w="1276" w:type="dxa"/>
            <w:shd w:val="clear" w:color="auto" w:fill="auto"/>
            <w:vAlign w:val="center"/>
          </w:tcPr>
          <w:p w14:paraId="1C182D34" w14:textId="6D90494D" w:rsidR="00FF43EE" w:rsidRPr="00D948C1" w:rsidRDefault="00FF43EE" w:rsidP="006C0086">
            <w:pPr>
              <w:tabs>
                <w:tab w:val="decimal" w:pos="888"/>
              </w:tabs>
              <w:spacing w:line="276" w:lineRule="auto"/>
              <w:jc w:val="right"/>
              <w:rPr>
                <w:szCs w:val="24"/>
              </w:rPr>
            </w:pPr>
            <w:r w:rsidRPr="00D948C1">
              <w:rPr>
                <w:szCs w:val="24"/>
              </w:rPr>
              <w:t>(</w:t>
            </w:r>
            <w:r w:rsidR="000C1F7C" w:rsidRPr="00D948C1">
              <w:rPr>
                <w:szCs w:val="24"/>
              </w:rPr>
              <w:t>32,620</w:t>
            </w:r>
            <w:r w:rsidRPr="00D948C1">
              <w:rPr>
                <w:szCs w:val="24"/>
              </w:rPr>
              <w:t>)</w:t>
            </w:r>
          </w:p>
        </w:tc>
        <w:tc>
          <w:tcPr>
            <w:tcW w:w="1417" w:type="dxa"/>
            <w:shd w:val="clear" w:color="auto" w:fill="auto"/>
            <w:vAlign w:val="center"/>
          </w:tcPr>
          <w:p w14:paraId="668AE048" w14:textId="24760B65" w:rsidR="00FF43EE" w:rsidRPr="00D948C1" w:rsidRDefault="00FF43EE" w:rsidP="006C0086">
            <w:pPr>
              <w:tabs>
                <w:tab w:val="decimal" w:pos="888"/>
              </w:tabs>
              <w:spacing w:line="276" w:lineRule="auto"/>
              <w:jc w:val="right"/>
              <w:rPr>
                <w:szCs w:val="24"/>
              </w:rPr>
            </w:pPr>
            <w:r w:rsidRPr="00D948C1">
              <w:rPr>
                <w:szCs w:val="24"/>
              </w:rPr>
              <w:t>(29,990)</w:t>
            </w:r>
          </w:p>
        </w:tc>
      </w:tr>
      <w:tr w:rsidR="00FF43EE" w:rsidRPr="00D948C1" w14:paraId="3D133BF7" w14:textId="77777777" w:rsidTr="00DD63D7">
        <w:tc>
          <w:tcPr>
            <w:tcW w:w="4111" w:type="dxa"/>
          </w:tcPr>
          <w:p w14:paraId="21B544AB" w14:textId="77777777" w:rsidR="00FF43EE" w:rsidRPr="00D948C1" w:rsidRDefault="00FF43EE" w:rsidP="006C0086">
            <w:pPr>
              <w:spacing w:line="276" w:lineRule="auto"/>
              <w:jc w:val="both"/>
              <w:rPr>
                <w:b/>
                <w:bCs/>
                <w:szCs w:val="24"/>
              </w:rPr>
            </w:pPr>
            <w:r w:rsidRPr="00D948C1">
              <w:rPr>
                <w:b/>
                <w:bCs/>
                <w:szCs w:val="24"/>
              </w:rPr>
              <w:t xml:space="preserve">Closing balance </w:t>
            </w:r>
            <w:proofErr w:type="gramStart"/>
            <w:r w:rsidRPr="00D948C1">
              <w:rPr>
                <w:b/>
                <w:bCs/>
                <w:szCs w:val="24"/>
              </w:rPr>
              <w:t>at</w:t>
            </w:r>
            <w:proofErr w:type="gramEnd"/>
            <w:r w:rsidRPr="00D948C1">
              <w:rPr>
                <w:b/>
                <w:bCs/>
                <w:szCs w:val="24"/>
              </w:rPr>
              <w:t xml:space="preserve"> 31 March</w:t>
            </w:r>
          </w:p>
        </w:tc>
        <w:tc>
          <w:tcPr>
            <w:tcW w:w="1275" w:type="dxa"/>
            <w:vAlign w:val="center"/>
          </w:tcPr>
          <w:p w14:paraId="42182891" w14:textId="41E68D6F" w:rsidR="00FF43EE" w:rsidRPr="00D948C1" w:rsidRDefault="000C1F7C" w:rsidP="006C0086">
            <w:pPr>
              <w:tabs>
                <w:tab w:val="decimal" w:pos="888"/>
              </w:tabs>
              <w:spacing w:line="276" w:lineRule="auto"/>
              <w:jc w:val="right"/>
              <w:rPr>
                <w:b/>
                <w:bCs/>
                <w:szCs w:val="24"/>
              </w:rPr>
            </w:pPr>
            <w:r w:rsidRPr="00D948C1">
              <w:rPr>
                <w:b/>
                <w:bCs/>
                <w:szCs w:val="24"/>
              </w:rPr>
              <w:t>84,113</w:t>
            </w:r>
          </w:p>
        </w:tc>
        <w:tc>
          <w:tcPr>
            <w:tcW w:w="1418" w:type="dxa"/>
            <w:vAlign w:val="center"/>
          </w:tcPr>
          <w:p w14:paraId="33D9115A" w14:textId="0F621120" w:rsidR="00FF43EE" w:rsidRPr="00D948C1" w:rsidRDefault="00FF43EE" w:rsidP="006C0086">
            <w:pPr>
              <w:tabs>
                <w:tab w:val="decimal" w:pos="888"/>
              </w:tabs>
              <w:spacing w:line="276" w:lineRule="auto"/>
              <w:jc w:val="right"/>
              <w:rPr>
                <w:b/>
                <w:bCs/>
                <w:szCs w:val="24"/>
              </w:rPr>
            </w:pPr>
            <w:r w:rsidRPr="00D948C1">
              <w:rPr>
                <w:b/>
                <w:bCs/>
                <w:szCs w:val="24"/>
              </w:rPr>
              <w:t>78,360</w:t>
            </w:r>
          </w:p>
        </w:tc>
        <w:tc>
          <w:tcPr>
            <w:tcW w:w="1276" w:type="dxa"/>
            <w:shd w:val="clear" w:color="auto" w:fill="auto"/>
            <w:vAlign w:val="center"/>
          </w:tcPr>
          <w:p w14:paraId="297B78E5" w14:textId="77777777" w:rsidR="00FF43EE" w:rsidRPr="00D948C1" w:rsidRDefault="00FF43EE" w:rsidP="006C0086">
            <w:pPr>
              <w:tabs>
                <w:tab w:val="decimal" w:pos="888"/>
              </w:tabs>
              <w:spacing w:line="276" w:lineRule="auto"/>
              <w:jc w:val="right"/>
              <w:rPr>
                <w:b/>
                <w:bCs/>
                <w:szCs w:val="24"/>
              </w:rPr>
            </w:pPr>
            <w:r w:rsidRPr="00D948C1">
              <w:rPr>
                <w:b/>
                <w:bCs/>
                <w:szCs w:val="24"/>
              </w:rPr>
              <w:t>-</w:t>
            </w:r>
          </w:p>
        </w:tc>
        <w:tc>
          <w:tcPr>
            <w:tcW w:w="1417" w:type="dxa"/>
            <w:shd w:val="clear" w:color="auto" w:fill="auto"/>
            <w:vAlign w:val="center"/>
          </w:tcPr>
          <w:p w14:paraId="00D9C2CF" w14:textId="12937ADB" w:rsidR="00FF43EE" w:rsidRPr="00D948C1" w:rsidRDefault="00FF43EE" w:rsidP="006C0086">
            <w:pPr>
              <w:tabs>
                <w:tab w:val="decimal" w:pos="888"/>
              </w:tabs>
              <w:spacing w:line="276" w:lineRule="auto"/>
              <w:jc w:val="right"/>
              <w:rPr>
                <w:b/>
                <w:bCs/>
                <w:szCs w:val="24"/>
              </w:rPr>
            </w:pPr>
            <w:r w:rsidRPr="00D948C1">
              <w:rPr>
                <w:b/>
                <w:bCs/>
                <w:szCs w:val="24"/>
              </w:rPr>
              <w:t>-</w:t>
            </w:r>
          </w:p>
        </w:tc>
      </w:tr>
    </w:tbl>
    <w:p w14:paraId="25F0587C" w14:textId="77777777" w:rsidR="0084441F" w:rsidRPr="00D948C1" w:rsidRDefault="0084441F" w:rsidP="006C0086">
      <w:pPr>
        <w:spacing w:line="276" w:lineRule="auto"/>
        <w:ind w:left="709"/>
        <w:rPr>
          <w:szCs w:val="24"/>
        </w:rPr>
      </w:pPr>
    </w:p>
    <w:p w14:paraId="3881E3F7" w14:textId="7FB76D1A" w:rsidR="00D90216" w:rsidRPr="00D948C1" w:rsidRDefault="00D90216" w:rsidP="006C0086">
      <w:pPr>
        <w:spacing w:line="276" w:lineRule="auto"/>
        <w:ind w:left="709"/>
        <w:rPr>
          <w:szCs w:val="24"/>
        </w:rPr>
      </w:pPr>
      <w:r w:rsidRPr="00D948C1">
        <w:rPr>
          <w:szCs w:val="24"/>
        </w:rPr>
        <w:t xml:space="preserve">The expected return on scheme assets is determined by considering the expected returns available on the assets underlying the current investment policy. Expected yields on fixed interest investments are based on gross redemption yields at the Balance Sheet date. </w:t>
      </w:r>
      <w:r w:rsidR="00607136" w:rsidRPr="00D948C1">
        <w:rPr>
          <w:szCs w:val="24"/>
        </w:rPr>
        <w:t>E</w:t>
      </w:r>
      <w:r w:rsidRPr="00D948C1">
        <w:rPr>
          <w:szCs w:val="24"/>
        </w:rPr>
        <w:t>xpected returns on equity investments reflect long</w:t>
      </w:r>
      <w:r w:rsidR="00A16368" w:rsidRPr="00D948C1">
        <w:rPr>
          <w:szCs w:val="24"/>
        </w:rPr>
        <w:t>-</w:t>
      </w:r>
      <w:r w:rsidRPr="00D948C1">
        <w:rPr>
          <w:szCs w:val="24"/>
        </w:rPr>
        <w:t>term rates of return experienced in the respective markets.</w:t>
      </w:r>
      <w:r w:rsidR="00C72A7E" w:rsidRPr="00D948C1">
        <w:rPr>
          <w:szCs w:val="24"/>
        </w:rPr>
        <w:t xml:space="preserve"> </w:t>
      </w:r>
      <w:r w:rsidRPr="00D948C1">
        <w:rPr>
          <w:szCs w:val="24"/>
        </w:rPr>
        <w:t xml:space="preserve">The actual return on scheme assets in the year was </w:t>
      </w:r>
      <w:r w:rsidR="00C91669" w:rsidRPr="00D948C1">
        <w:rPr>
          <w:szCs w:val="24"/>
        </w:rPr>
        <w:t>a gain</w:t>
      </w:r>
      <w:r w:rsidR="006D7616" w:rsidRPr="00D948C1">
        <w:rPr>
          <w:szCs w:val="24"/>
        </w:rPr>
        <w:t xml:space="preserve"> of </w:t>
      </w:r>
      <w:r w:rsidR="00961EB1" w:rsidRPr="00D948C1">
        <w:rPr>
          <w:szCs w:val="24"/>
        </w:rPr>
        <w:t>£</w:t>
      </w:r>
      <w:r w:rsidR="000C1F7C" w:rsidRPr="00D948C1">
        <w:rPr>
          <w:szCs w:val="24"/>
        </w:rPr>
        <w:t>6.203</w:t>
      </w:r>
      <w:r w:rsidR="00961EB1" w:rsidRPr="00D948C1">
        <w:rPr>
          <w:szCs w:val="24"/>
        </w:rPr>
        <w:t xml:space="preserve">m </w:t>
      </w:r>
      <w:r w:rsidR="002A3016" w:rsidRPr="00D948C1">
        <w:rPr>
          <w:szCs w:val="24"/>
        </w:rPr>
        <w:t>(20</w:t>
      </w:r>
      <w:r w:rsidR="006B2155" w:rsidRPr="00D948C1">
        <w:rPr>
          <w:szCs w:val="24"/>
        </w:rPr>
        <w:t>2</w:t>
      </w:r>
      <w:r w:rsidR="00FF43EE" w:rsidRPr="00D948C1">
        <w:rPr>
          <w:szCs w:val="24"/>
        </w:rPr>
        <w:t>2</w:t>
      </w:r>
      <w:r w:rsidR="006B2155" w:rsidRPr="00D948C1">
        <w:rPr>
          <w:szCs w:val="24"/>
        </w:rPr>
        <w:t>/2</w:t>
      </w:r>
      <w:r w:rsidR="00FF43EE" w:rsidRPr="00D948C1">
        <w:rPr>
          <w:szCs w:val="24"/>
        </w:rPr>
        <w:t>3</w:t>
      </w:r>
      <w:r w:rsidR="00FF0080" w:rsidRPr="00D948C1">
        <w:rPr>
          <w:szCs w:val="24"/>
        </w:rPr>
        <w:t>:</w:t>
      </w:r>
      <w:r w:rsidRPr="00D948C1">
        <w:rPr>
          <w:szCs w:val="24"/>
        </w:rPr>
        <w:t xml:space="preserve"> gain of </w:t>
      </w:r>
      <w:r w:rsidR="00AA6508" w:rsidRPr="00D948C1">
        <w:rPr>
          <w:szCs w:val="24"/>
        </w:rPr>
        <w:t>£</w:t>
      </w:r>
      <w:r w:rsidR="00FF43EE" w:rsidRPr="00D948C1">
        <w:rPr>
          <w:szCs w:val="24"/>
        </w:rPr>
        <w:t>2</w:t>
      </w:r>
      <w:r w:rsidR="00E66DE8" w:rsidRPr="00D948C1">
        <w:rPr>
          <w:szCs w:val="24"/>
        </w:rPr>
        <w:t>.</w:t>
      </w:r>
      <w:r w:rsidR="00FF43EE" w:rsidRPr="00D948C1">
        <w:rPr>
          <w:szCs w:val="24"/>
        </w:rPr>
        <w:t>305</w:t>
      </w:r>
      <w:r w:rsidR="00E66DE8" w:rsidRPr="00D948C1">
        <w:rPr>
          <w:szCs w:val="24"/>
        </w:rPr>
        <w:t>m</w:t>
      </w:r>
      <w:r w:rsidRPr="00D948C1">
        <w:rPr>
          <w:szCs w:val="24"/>
        </w:rPr>
        <w:t>).</w:t>
      </w:r>
    </w:p>
    <w:p w14:paraId="6A134296" w14:textId="6AB0968E" w:rsidR="00FF0080" w:rsidRPr="00D948C1" w:rsidRDefault="00FF0080" w:rsidP="006C0086">
      <w:pPr>
        <w:spacing w:line="276" w:lineRule="auto"/>
        <w:ind w:left="709"/>
        <w:rPr>
          <w:szCs w:val="24"/>
        </w:rPr>
      </w:pPr>
    </w:p>
    <w:p w14:paraId="46EB27C2" w14:textId="77777777" w:rsidR="00EB4B3B" w:rsidRPr="00D948C1" w:rsidRDefault="00EB4B3B" w:rsidP="006C0086">
      <w:pPr>
        <w:spacing w:line="276" w:lineRule="auto"/>
        <w:ind w:left="709"/>
        <w:rPr>
          <w:b/>
          <w:bCs/>
          <w:szCs w:val="24"/>
        </w:rPr>
      </w:pPr>
      <w:r w:rsidRPr="00D948C1">
        <w:rPr>
          <w:b/>
          <w:bCs/>
          <w:szCs w:val="24"/>
        </w:rPr>
        <w:t>Pension Asset Ceiling</w:t>
      </w:r>
    </w:p>
    <w:p w14:paraId="466119CA" w14:textId="77777777" w:rsidR="00EB4B3B" w:rsidRPr="00D948C1" w:rsidRDefault="00EB4B3B" w:rsidP="006C0086">
      <w:pPr>
        <w:spacing w:line="276" w:lineRule="auto"/>
        <w:ind w:left="709"/>
        <w:rPr>
          <w:szCs w:val="24"/>
        </w:rPr>
      </w:pPr>
    </w:p>
    <w:p w14:paraId="16272BD5" w14:textId="77777777" w:rsidR="00EB4B3B" w:rsidRPr="00D948C1" w:rsidRDefault="00EB4B3B" w:rsidP="006C0086">
      <w:pPr>
        <w:spacing w:line="276" w:lineRule="auto"/>
        <w:ind w:left="709"/>
        <w:rPr>
          <w:szCs w:val="24"/>
        </w:rPr>
      </w:pPr>
      <w:r w:rsidRPr="00D948C1">
        <w:rPr>
          <w:szCs w:val="24"/>
        </w:rPr>
        <w:t>An asset ceiling test limits the amount of the net pension asset that can be recognised to the lower of the amount of the net pension asset or the present value of any economic benefits available in the form of refunds or reductions in future contributions to the plan.</w:t>
      </w:r>
    </w:p>
    <w:p w14:paraId="77C94EDC" w14:textId="77777777" w:rsidR="00EB4B3B" w:rsidRPr="00D948C1" w:rsidRDefault="00EB4B3B" w:rsidP="006C0086">
      <w:pPr>
        <w:spacing w:line="276" w:lineRule="auto"/>
        <w:ind w:left="709"/>
        <w:rPr>
          <w:szCs w:val="24"/>
        </w:rPr>
      </w:pPr>
    </w:p>
    <w:p w14:paraId="00E34EE1" w14:textId="1372B187" w:rsidR="00EB4B3B" w:rsidRPr="00D948C1" w:rsidRDefault="00EB4B3B" w:rsidP="006C0086">
      <w:pPr>
        <w:spacing w:line="276" w:lineRule="auto"/>
        <w:ind w:left="709"/>
        <w:rPr>
          <w:szCs w:val="24"/>
        </w:rPr>
      </w:pPr>
      <w:r w:rsidRPr="00D948C1">
        <w:rPr>
          <w:szCs w:val="24"/>
        </w:rPr>
        <w:t xml:space="preserve">The Authority’s </w:t>
      </w:r>
      <w:r w:rsidR="000C0FF2" w:rsidRPr="00D948C1">
        <w:rPr>
          <w:szCs w:val="24"/>
        </w:rPr>
        <w:t>Local Government Pension Scheme</w:t>
      </w:r>
      <w:r w:rsidRPr="00D948C1">
        <w:rPr>
          <w:szCs w:val="24"/>
        </w:rPr>
        <w:t xml:space="preserve"> asset ceiling has been calculated using the present value of accounting service cost in perpetuity less the total of present value of primary contributions in perpetuity and present value of secondary contributions over the recovery period. </w:t>
      </w:r>
    </w:p>
    <w:p w14:paraId="2B55B215" w14:textId="77777777" w:rsidR="00EB4B3B" w:rsidRPr="00D948C1" w:rsidRDefault="00EB4B3B" w:rsidP="006C0086">
      <w:pPr>
        <w:spacing w:line="276" w:lineRule="auto"/>
        <w:ind w:left="709"/>
        <w:rPr>
          <w:szCs w:val="24"/>
        </w:rPr>
      </w:pPr>
    </w:p>
    <w:tbl>
      <w:tblPr>
        <w:tblStyle w:val="TableGrid"/>
        <w:tblW w:w="0" w:type="auto"/>
        <w:tblInd w:w="709" w:type="dxa"/>
        <w:tblLook w:val="04A0" w:firstRow="1" w:lastRow="0" w:firstColumn="1" w:lastColumn="0" w:noHBand="0" w:noVBand="1"/>
      </w:tblPr>
      <w:tblGrid>
        <w:gridCol w:w="5382"/>
        <w:gridCol w:w="1701"/>
        <w:gridCol w:w="1701"/>
      </w:tblGrid>
      <w:tr w:rsidR="00EB4B3B" w:rsidRPr="00D948C1" w14:paraId="50C2BB3E" w14:textId="77777777" w:rsidTr="00611673">
        <w:trPr>
          <w:tblHeader/>
        </w:trPr>
        <w:tc>
          <w:tcPr>
            <w:tcW w:w="5382" w:type="dxa"/>
            <w:shd w:val="clear" w:color="auto" w:fill="BD2716"/>
          </w:tcPr>
          <w:p w14:paraId="119D86C8" w14:textId="07EC79FE" w:rsidR="00EB4B3B" w:rsidRPr="00D948C1" w:rsidRDefault="00EB4B3B" w:rsidP="006C0086">
            <w:pPr>
              <w:spacing w:line="276" w:lineRule="auto"/>
              <w:rPr>
                <w:color w:val="FFFFFF" w:themeColor="background1"/>
                <w:szCs w:val="24"/>
              </w:rPr>
            </w:pPr>
          </w:p>
        </w:tc>
        <w:tc>
          <w:tcPr>
            <w:tcW w:w="1701" w:type="dxa"/>
            <w:shd w:val="clear" w:color="auto" w:fill="BD2716"/>
            <w:vAlign w:val="center"/>
          </w:tcPr>
          <w:p w14:paraId="1AE58B6A" w14:textId="682D0D1D" w:rsidR="00EB4B3B" w:rsidRPr="00D948C1" w:rsidRDefault="00EB4B3B" w:rsidP="006C0086">
            <w:pPr>
              <w:spacing w:line="276" w:lineRule="auto"/>
              <w:jc w:val="right"/>
              <w:rPr>
                <w:color w:val="FFFFFF" w:themeColor="background1"/>
                <w:szCs w:val="24"/>
              </w:rPr>
            </w:pPr>
            <w:r w:rsidRPr="00D948C1">
              <w:rPr>
                <w:color w:val="FFFFFF" w:themeColor="background1"/>
                <w:szCs w:val="24"/>
              </w:rPr>
              <w:t>202</w:t>
            </w:r>
            <w:r w:rsidR="003572E5" w:rsidRPr="00D948C1">
              <w:rPr>
                <w:color w:val="FFFFFF" w:themeColor="background1"/>
                <w:szCs w:val="24"/>
              </w:rPr>
              <w:t>3</w:t>
            </w:r>
            <w:r w:rsidRPr="00D948C1">
              <w:rPr>
                <w:color w:val="FFFFFF" w:themeColor="background1"/>
                <w:szCs w:val="24"/>
              </w:rPr>
              <w:t>/2</w:t>
            </w:r>
            <w:r w:rsidR="003572E5" w:rsidRPr="00D948C1">
              <w:rPr>
                <w:color w:val="FFFFFF" w:themeColor="background1"/>
                <w:szCs w:val="24"/>
              </w:rPr>
              <w:t>4</w:t>
            </w:r>
          </w:p>
          <w:p w14:paraId="634859A5" w14:textId="2968F8BA" w:rsidR="00053629" w:rsidRPr="00D948C1" w:rsidRDefault="00053629"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21C961C5"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2022/23</w:t>
            </w:r>
          </w:p>
          <w:p w14:paraId="69A3ECDD" w14:textId="45B87D16" w:rsidR="00053629" w:rsidRPr="00D948C1" w:rsidRDefault="00FF43EE" w:rsidP="006C0086">
            <w:pPr>
              <w:spacing w:line="276" w:lineRule="auto"/>
              <w:jc w:val="right"/>
              <w:rPr>
                <w:color w:val="FFFFFF" w:themeColor="background1"/>
                <w:szCs w:val="24"/>
              </w:rPr>
            </w:pPr>
            <w:r w:rsidRPr="00D948C1">
              <w:rPr>
                <w:color w:val="FFFFFF" w:themeColor="background1"/>
                <w:szCs w:val="24"/>
              </w:rPr>
              <w:t>£000</w:t>
            </w:r>
          </w:p>
        </w:tc>
      </w:tr>
      <w:tr w:rsidR="00FF43EE" w:rsidRPr="00D948C1" w14:paraId="6D3FFEA4" w14:textId="77777777" w:rsidTr="00DD63D7">
        <w:tc>
          <w:tcPr>
            <w:tcW w:w="5382" w:type="dxa"/>
          </w:tcPr>
          <w:p w14:paraId="0999EA9E" w14:textId="77777777" w:rsidR="00FF43EE" w:rsidRPr="00D948C1" w:rsidRDefault="00FF43EE" w:rsidP="006C0086">
            <w:pPr>
              <w:spacing w:line="276" w:lineRule="auto"/>
              <w:rPr>
                <w:szCs w:val="24"/>
              </w:rPr>
            </w:pPr>
            <w:r w:rsidRPr="00D948C1">
              <w:rPr>
                <w:szCs w:val="24"/>
              </w:rPr>
              <w:t>Gross defined benefit asset/(liability)</w:t>
            </w:r>
          </w:p>
        </w:tc>
        <w:tc>
          <w:tcPr>
            <w:tcW w:w="1701" w:type="dxa"/>
            <w:vAlign w:val="center"/>
          </w:tcPr>
          <w:p w14:paraId="70CA5815" w14:textId="749DA0F8" w:rsidR="00FF43EE" w:rsidRPr="00D948C1" w:rsidRDefault="00D64A18" w:rsidP="006C0086">
            <w:pPr>
              <w:spacing w:line="276" w:lineRule="auto"/>
              <w:jc w:val="right"/>
              <w:rPr>
                <w:szCs w:val="24"/>
              </w:rPr>
            </w:pPr>
            <w:r w:rsidRPr="00D948C1">
              <w:rPr>
                <w:szCs w:val="24"/>
              </w:rPr>
              <w:t>23,798</w:t>
            </w:r>
          </w:p>
        </w:tc>
        <w:tc>
          <w:tcPr>
            <w:tcW w:w="1701" w:type="dxa"/>
            <w:vAlign w:val="center"/>
          </w:tcPr>
          <w:p w14:paraId="1DA20FAC" w14:textId="71BA5800" w:rsidR="00FF43EE" w:rsidRPr="00D948C1" w:rsidRDefault="00FF43EE" w:rsidP="006C0086">
            <w:pPr>
              <w:spacing w:line="276" w:lineRule="auto"/>
              <w:jc w:val="right"/>
              <w:rPr>
                <w:szCs w:val="24"/>
              </w:rPr>
            </w:pPr>
            <w:r w:rsidRPr="00D948C1">
              <w:rPr>
                <w:szCs w:val="24"/>
              </w:rPr>
              <w:t>19,877</w:t>
            </w:r>
          </w:p>
        </w:tc>
      </w:tr>
      <w:tr w:rsidR="00FF43EE" w:rsidRPr="00D948C1" w14:paraId="2C6F1C66" w14:textId="77777777" w:rsidTr="00DD63D7">
        <w:tc>
          <w:tcPr>
            <w:tcW w:w="5382" w:type="dxa"/>
          </w:tcPr>
          <w:p w14:paraId="4B18CC85" w14:textId="77777777" w:rsidR="00FF43EE" w:rsidRPr="00D948C1" w:rsidRDefault="00FF43EE" w:rsidP="006C0086">
            <w:pPr>
              <w:spacing w:line="276" w:lineRule="auto"/>
              <w:rPr>
                <w:szCs w:val="24"/>
              </w:rPr>
            </w:pPr>
            <w:r w:rsidRPr="00D948C1">
              <w:rPr>
                <w:szCs w:val="24"/>
              </w:rPr>
              <w:t>Authority’s asset ceiling</w:t>
            </w:r>
          </w:p>
        </w:tc>
        <w:tc>
          <w:tcPr>
            <w:tcW w:w="1701" w:type="dxa"/>
            <w:vAlign w:val="center"/>
          </w:tcPr>
          <w:p w14:paraId="116AD65F" w14:textId="78E9B68E" w:rsidR="00FF43EE" w:rsidRPr="00D948C1" w:rsidRDefault="00FF43EE" w:rsidP="006C0086">
            <w:pPr>
              <w:spacing w:line="276" w:lineRule="auto"/>
              <w:jc w:val="right"/>
              <w:rPr>
                <w:szCs w:val="24"/>
              </w:rPr>
            </w:pPr>
          </w:p>
        </w:tc>
        <w:tc>
          <w:tcPr>
            <w:tcW w:w="1701" w:type="dxa"/>
            <w:vAlign w:val="center"/>
          </w:tcPr>
          <w:p w14:paraId="4AAEBC00" w14:textId="61516904" w:rsidR="00FF43EE" w:rsidRPr="00D948C1" w:rsidRDefault="00FF43EE" w:rsidP="006C0086">
            <w:pPr>
              <w:spacing w:line="276" w:lineRule="auto"/>
              <w:jc w:val="right"/>
              <w:rPr>
                <w:szCs w:val="24"/>
              </w:rPr>
            </w:pPr>
            <w:r w:rsidRPr="00D948C1">
              <w:rPr>
                <w:szCs w:val="24"/>
              </w:rPr>
              <w:t>-</w:t>
            </w:r>
          </w:p>
        </w:tc>
      </w:tr>
      <w:tr w:rsidR="00FF43EE" w:rsidRPr="00D948C1" w14:paraId="2A81B3E2" w14:textId="77777777" w:rsidTr="00DD63D7">
        <w:tc>
          <w:tcPr>
            <w:tcW w:w="5382" w:type="dxa"/>
          </w:tcPr>
          <w:p w14:paraId="3DA14B13" w14:textId="77777777" w:rsidR="00FF43EE" w:rsidRPr="00D948C1" w:rsidRDefault="00FF43EE" w:rsidP="006C0086">
            <w:pPr>
              <w:spacing w:line="276" w:lineRule="auto"/>
              <w:rPr>
                <w:szCs w:val="24"/>
              </w:rPr>
            </w:pPr>
            <w:r w:rsidRPr="00D948C1">
              <w:rPr>
                <w:szCs w:val="24"/>
              </w:rPr>
              <w:t>Adjustment for asset ceiling</w:t>
            </w:r>
          </w:p>
        </w:tc>
        <w:tc>
          <w:tcPr>
            <w:tcW w:w="1701" w:type="dxa"/>
            <w:vAlign w:val="center"/>
          </w:tcPr>
          <w:p w14:paraId="6FC9DF75" w14:textId="5DD4F608" w:rsidR="00FF43EE" w:rsidRPr="00D948C1" w:rsidRDefault="00D64A18" w:rsidP="006C0086">
            <w:pPr>
              <w:spacing w:line="276" w:lineRule="auto"/>
              <w:jc w:val="right"/>
              <w:rPr>
                <w:szCs w:val="24"/>
              </w:rPr>
            </w:pPr>
            <w:r w:rsidRPr="00D948C1">
              <w:rPr>
                <w:szCs w:val="24"/>
              </w:rPr>
              <w:t>(23,</w:t>
            </w:r>
            <w:r w:rsidR="000559C2" w:rsidRPr="00D948C1">
              <w:rPr>
                <w:szCs w:val="24"/>
              </w:rPr>
              <w:t>892</w:t>
            </w:r>
            <w:r w:rsidRPr="00D948C1">
              <w:rPr>
                <w:szCs w:val="24"/>
              </w:rPr>
              <w:t>)</w:t>
            </w:r>
          </w:p>
        </w:tc>
        <w:tc>
          <w:tcPr>
            <w:tcW w:w="1701" w:type="dxa"/>
            <w:vAlign w:val="center"/>
          </w:tcPr>
          <w:p w14:paraId="2E8E7741" w14:textId="49BC5890" w:rsidR="00FF43EE" w:rsidRPr="00D948C1" w:rsidRDefault="00FF43EE" w:rsidP="006C0086">
            <w:pPr>
              <w:spacing w:line="276" w:lineRule="auto"/>
              <w:jc w:val="right"/>
              <w:rPr>
                <w:szCs w:val="24"/>
              </w:rPr>
            </w:pPr>
            <w:r w:rsidRPr="00D948C1">
              <w:rPr>
                <w:szCs w:val="24"/>
              </w:rPr>
              <w:t>(19,877)</w:t>
            </w:r>
          </w:p>
        </w:tc>
      </w:tr>
      <w:tr w:rsidR="00FF43EE" w:rsidRPr="00D948C1" w14:paraId="68268CD9" w14:textId="77777777" w:rsidTr="00DD63D7">
        <w:tc>
          <w:tcPr>
            <w:tcW w:w="5382" w:type="dxa"/>
          </w:tcPr>
          <w:p w14:paraId="4CDEB294" w14:textId="77777777" w:rsidR="00FF43EE" w:rsidRPr="00D948C1" w:rsidRDefault="00FF43EE" w:rsidP="006C0086">
            <w:pPr>
              <w:spacing w:line="276" w:lineRule="auto"/>
              <w:rPr>
                <w:szCs w:val="24"/>
              </w:rPr>
            </w:pPr>
            <w:r w:rsidRPr="00D948C1">
              <w:rPr>
                <w:szCs w:val="24"/>
              </w:rPr>
              <w:t>Net defined benefit asset/(liability)</w:t>
            </w:r>
          </w:p>
        </w:tc>
        <w:tc>
          <w:tcPr>
            <w:tcW w:w="1701" w:type="dxa"/>
            <w:vAlign w:val="center"/>
          </w:tcPr>
          <w:p w14:paraId="1675AA90" w14:textId="226EA6C8" w:rsidR="00FF43EE" w:rsidRPr="00D948C1" w:rsidRDefault="008F6F5D" w:rsidP="006C0086">
            <w:pPr>
              <w:spacing w:line="276" w:lineRule="auto"/>
              <w:jc w:val="right"/>
              <w:rPr>
                <w:szCs w:val="24"/>
              </w:rPr>
            </w:pPr>
            <w:r w:rsidRPr="00D948C1">
              <w:rPr>
                <w:szCs w:val="24"/>
              </w:rPr>
              <w:t>(</w:t>
            </w:r>
            <w:r w:rsidR="00D64A18" w:rsidRPr="00D948C1">
              <w:rPr>
                <w:szCs w:val="24"/>
              </w:rPr>
              <w:t>94</w:t>
            </w:r>
            <w:r w:rsidRPr="00D948C1">
              <w:rPr>
                <w:szCs w:val="24"/>
              </w:rPr>
              <w:t>)</w:t>
            </w:r>
          </w:p>
        </w:tc>
        <w:tc>
          <w:tcPr>
            <w:tcW w:w="1701" w:type="dxa"/>
            <w:vAlign w:val="center"/>
          </w:tcPr>
          <w:p w14:paraId="3B1D2523" w14:textId="2D209393" w:rsidR="00FF43EE" w:rsidRPr="00D948C1" w:rsidRDefault="00FF43EE" w:rsidP="006C0086">
            <w:pPr>
              <w:spacing w:line="276" w:lineRule="auto"/>
              <w:jc w:val="right"/>
              <w:rPr>
                <w:szCs w:val="24"/>
              </w:rPr>
            </w:pPr>
            <w:r w:rsidRPr="00D948C1">
              <w:rPr>
                <w:szCs w:val="24"/>
              </w:rPr>
              <w:t>-</w:t>
            </w:r>
          </w:p>
        </w:tc>
      </w:tr>
    </w:tbl>
    <w:p w14:paraId="6DE8132A" w14:textId="7CDF4FB2" w:rsidR="007F5EEE" w:rsidRPr="00D948C1" w:rsidRDefault="007F5EEE" w:rsidP="006C0086">
      <w:pPr>
        <w:spacing w:line="276" w:lineRule="auto"/>
        <w:rPr>
          <w:b/>
          <w:szCs w:val="24"/>
        </w:rPr>
      </w:pPr>
    </w:p>
    <w:p w14:paraId="7FEE6CC0" w14:textId="72B6E7D0" w:rsidR="00D90216" w:rsidRPr="00D948C1" w:rsidRDefault="00D90216" w:rsidP="006C0086">
      <w:pPr>
        <w:spacing w:line="276" w:lineRule="auto"/>
        <w:ind w:left="709"/>
        <w:rPr>
          <w:b/>
          <w:szCs w:val="24"/>
        </w:rPr>
      </w:pPr>
      <w:r w:rsidRPr="00D948C1">
        <w:rPr>
          <w:b/>
          <w:szCs w:val="24"/>
        </w:rPr>
        <w:t>Scheme history</w:t>
      </w:r>
    </w:p>
    <w:p w14:paraId="78CEF00B" w14:textId="77777777" w:rsidR="00D90216" w:rsidRPr="00D948C1" w:rsidRDefault="00D90216" w:rsidP="006C0086">
      <w:pPr>
        <w:spacing w:line="276" w:lineRule="auto"/>
        <w:ind w:left="709"/>
        <w:jc w:val="both"/>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FF43EE" w:rsidRPr="00D948C1" w14:paraId="33F95A02" w14:textId="77777777" w:rsidTr="00611673">
        <w:trPr>
          <w:trHeight w:val="80"/>
          <w:tblHeader/>
        </w:trPr>
        <w:tc>
          <w:tcPr>
            <w:tcW w:w="3119" w:type="dxa"/>
            <w:shd w:val="clear" w:color="auto" w:fill="BD2716"/>
          </w:tcPr>
          <w:p w14:paraId="35DBBE39" w14:textId="77777777" w:rsidR="00FF43EE" w:rsidRPr="00D948C1" w:rsidRDefault="00FF43EE" w:rsidP="006C0086">
            <w:pPr>
              <w:spacing w:line="276" w:lineRule="auto"/>
              <w:jc w:val="both"/>
              <w:rPr>
                <w:color w:val="FFFFFF" w:themeColor="background1"/>
                <w:szCs w:val="24"/>
              </w:rPr>
            </w:pPr>
          </w:p>
        </w:tc>
        <w:tc>
          <w:tcPr>
            <w:tcW w:w="1378" w:type="dxa"/>
            <w:shd w:val="clear" w:color="auto" w:fill="BD2716"/>
            <w:vAlign w:val="center"/>
          </w:tcPr>
          <w:p w14:paraId="7BACB080" w14:textId="6D5DDDE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2023/24</w:t>
            </w:r>
          </w:p>
          <w:p w14:paraId="4A1D5DA8" w14:textId="72B40108"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70" w:type="dxa"/>
            <w:shd w:val="clear" w:color="auto" w:fill="BD2716"/>
            <w:vAlign w:val="center"/>
          </w:tcPr>
          <w:p w14:paraId="3848B031"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2022/23</w:t>
            </w:r>
          </w:p>
          <w:p w14:paraId="639EE4C6" w14:textId="579C15E0"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296" w:type="dxa"/>
            <w:shd w:val="clear" w:color="auto" w:fill="BD2716"/>
            <w:vAlign w:val="center"/>
          </w:tcPr>
          <w:p w14:paraId="106E19CF"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2021/22</w:t>
            </w:r>
          </w:p>
          <w:p w14:paraId="61BB6B9A" w14:textId="6AE0D3F7"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3C5C81AC"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2020/21</w:t>
            </w:r>
          </w:p>
          <w:p w14:paraId="3BA5EB87" w14:textId="43E778C1"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276" w:type="dxa"/>
            <w:shd w:val="clear" w:color="auto" w:fill="BD2716"/>
            <w:vAlign w:val="center"/>
          </w:tcPr>
          <w:p w14:paraId="6741FEB6"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2019/20</w:t>
            </w:r>
          </w:p>
          <w:p w14:paraId="0811F53A" w14:textId="69D569DA"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r>
      <w:tr w:rsidR="00AC5949" w:rsidRPr="00D948C1" w14:paraId="457BBFD2" w14:textId="77777777" w:rsidTr="00982FEC">
        <w:tc>
          <w:tcPr>
            <w:tcW w:w="9815" w:type="dxa"/>
            <w:gridSpan w:val="6"/>
            <w:shd w:val="clear" w:color="auto" w:fill="D9D9D9" w:themeFill="background1" w:themeFillShade="D9"/>
          </w:tcPr>
          <w:p w14:paraId="284A4D14" w14:textId="7078F7F0" w:rsidR="00AC5949" w:rsidRPr="00D948C1" w:rsidRDefault="00AC5949" w:rsidP="006C0086">
            <w:pPr>
              <w:spacing w:line="276" w:lineRule="auto"/>
              <w:rPr>
                <w:b/>
                <w:bCs/>
                <w:szCs w:val="24"/>
              </w:rPr>
            </w:pPr>
            <w:r w:rsidRPr="00D948C1">
              <w:rPr>
                <w:b/>
                <w:bCs/>
                <w:szCs w:val="24"/>
              </w:rPr>
              <w:t>Present value of liabilities:</w:t>
            </w:r>
          </w:p>
        </w:tc>
      </w:tr>
      <w:tr w:rsidR="00FF43EE" w:rsidRPr="00D948C1" w14:paraId="187DED63" w14:textId="77777777" w:rsidTr="00DD63D7">
        <w:tc>
          <w:tcPr>
            <w:tcW w:w="3119" w:type="dxa"/>
            <w:shd w:val="clear" w:color="auto" w:fill="auto"/>
          </w:tcPr>
          <w:p w14:paraId="377AC709" w14:textId="77777777" w:rsidR="00FF43EE" w:rsidRPr="00D948C1" w:rsidRDefault="00FF43EE" w:rsidP="006C0086">
            <w:pPr>
              <w:spacing w:line="276" w:lineRule="auto"/>
              <w:rPr>
                <w:szCs w:val="24"/>
              </w:rPr>
            </w:pPr>
            <w:r w:rsidRPr="00D948C1">
              <w:rPr>
                <w:szCs w:val="24"/>
              </w:rPr>
              <w:t>Local Government Pension Scheme (LGPS)</w:t>
            </w:r>
          </w:p>
        </w:tc>
        <w:tc>
          <w:tcPr>
            <w:tcW w:w="1378" w:type="dxa"/>
            <w:shd w:val="clear" w:color="auto" w:fill="auto"/>
            <w:vAlign w:val="center"/>
          </w:tcPr>
          <w:p w14:paraId="7C3285BF" w14:textId="1C40B8F2" w:rsidR="00FF43EE" w:rsidRPr="00D948C1" w:rsidRDefault="00FF43EE" w:rsidP="006C0086">
            <w:pPr>
              <w:spacing w:line="276" w:lineRule="auto"/>
              <w:jc w:val="right"/>
              <w:rPr>
                <w:szCs w:val="24"/>
              </w:rPr>
            </w:pPr>
            <w:r w:rsidRPr="00D948C1">
              <w:rPr>
                <w:szCs w:val="24"/>
              </w:rPr>
              <w:t>(</w:t>
            </w:r>
            <w:r w:rsidR="00D64A18" w:rsidRPr="00D948C1">
              <w:rPr>
                <w:szCs w:val="24"/>
              </w:rPr>
              <w:t>60,315</w:t>
            </w:r>
            <w:r w:rsidRPr="00D948C1">
              <w:rPr>
                <w:szCs w:val="24"/>
              </w:rPr>
              <w:t>)</w:t>
            </w:r>
          </w:p>
        </w:tc>
        <w:tc>
          <w:tcPr>
            <w:tcW w:w="1470" w:type="dxa"/>
            <w:shd w:val="clear" w:color="auto" w:fill="auto"/>
            <w:vAlign w:val="center"/>
          </w:tcPr>
          <w:p w14:paraId="3941FCA7" w14:textId="540C968B" w:rsidR="00FF43EE" w:rsidRPr="00D948C1" w:rsidRDefault="00FF43EE" w:rsidP="006C0086">
            <w:pPr>
              <w:spacing w:line="276" w:lineRule="auto"/>
              <w:jc w:val="right"/>
              <w:rPr>
                <w:szCs w:val="24"/>
              </w:rPr>
            </w:pPr>
            <w:r w:rsidRPr="00D948C1">
              <w:rPr>
                <w:szCs w:val="24"/>
              </w:rPr>
              <w:t>(58,483)</w:t>
            </w:r>
          </w:p>
        </w:tc>
        <w:tc>
          <w:tcPr>
            <w:tcW w:w="1296" w:type="dxa"/>
            <w:shd w:val="clear" w:color="auto" w:fill="auto"/>
            <w:vAlign w:val="center"/>
          </w:tcPr>
          <w:p w14:paraId="33866DB5" w14:textId="2B72F244" w:rsidR="00FF43EE" w:rsidRPr="00D948C1" w:rsidRDefault="00FF43EE" w:rsidP="006C0086">
            <w:pPr>
              <w:spacing w:line="276" w:lineRule="auto"/>
              <w:jc w:val="right"/>
              <w:rPr>
                <w:szCs w:val="24"/>
              </w:rPr>
            </w:pPr>
            <w:r w:rsidRPr="00D948C1">
              <w:rPr>
                <w:szCs w:val="24"/>
              </w:rPr>
              <w:t>(84,201)</w:t>
            </w:r>
          </w:p>
        </w:tc>
        <w:tc>
          <w:tcPr>
            <w:tcW w:w="1276" w:type="dxa"/>
            <w:shd w:val="clear" w:color="auto" w:fill="auto"/>
            <w:vAlign w:val="center"/>
          </w:tcPr>
          <w:p w14:paraId="472B86D4" w14:textId="6331A056" w:rsidR="00FF43EE" w:rsidRPr="00D948C1" w:rsidRDefault="00FF43EE" w:rsidP="006C0086">
            <w:pPr>
              <w:spacing w:line="276" w:lineRule="auto"/>
              <w:jc w:val="right"/>
              <w:rPr>
                <w:szCs w:val="24"/>
              </w:rPr>
            </w:pPr>
            <w:r w:rsidRPr="00D948C1">
              <w:rPr>
                <w:szCs w:val="24"/>
              </w:rPr>
              <w:t>(83,631)</w:t>
            </w:r>
          </w:p>
        </w:tc>
        <w:tc>
          <w:tcPr>
            <w:tcW w:w="1276" w:type="dxa"/>
            <w:shd w:val="clear" w:color="auto" w:fill="auto"/>
            <w:vAlign w:val="center"/>
          </w:tcPr>
          <w:p w14:paraId="6BE05731" w14:textId="2E3D15E2" w:rsidR="00FF43EE" w:rsidRPr="00D948C1" w:rsidRDefault="00FF43EE" w:rsidP="006C0086">
            <w:pPr>
              <w:spacing w:line="276" w:lineRule="auto"/>
              <w:jc w:val="right"/>
              <w:rPr>
                <w:szCs w:val="24"/>
              </w:rPr>
            </w:pPr>
            <w:r w:rsidRPr="00D948C1">
              <w:rPr>
                <w:szCs w:val="24"/>
              </w:rPr>
              <w:t>(69,102)</w:t>
            </w:r>
          </w:p>
        </w:tc>
      </w:tr>
      <w:tr w:rsidR="00FF43EE" w:rsidRPr="00D948C1" w14:paraId="662AC241" w14:textId="77777777" w:rsidTr="00DD63D7">
        <w:tc>
          <w:tcPr>
            <w:tcW w:w="3119" w:type="dxa"/>
            <w:shd w:val="clear" w:color="auto" w:fill="auto"/>
          </w:tcPr>
          <w:p w14:paraId="3208A8BC" w14:textId="77777777" w:rsidR="00FF43EE" w:rsidRPr="00D948C1" w:rsidRDefault="00FF43EE" w:rsidP="006C0086">
            <w:pPr>
              <w:spacing w:line="276" w:lineRule="auto"/>
              <w:rPr>
                <w:szCs w:val="24"/>
              </w:rPr>
            </w:pPr>
            <w:r w:rsidRPr="00D948C1">
              <w:rPr>
                <w:szCs w:val="24"/>
              </w:rPr>
              <w:t>Firefighters Pension Scheme</w:t>
            </w:r>
          </w:p>
        </w:tc>
        <w:tc>
          <w:tcPr>
            <w:tcW w:w="1378" w:type="dxa"/>
            <w:shd w:val="clear" w:color="auto" w:fill="auto"/>
            <w:vAlign w:val="center"/>
          </w:tcPr>
          <w:p w14:paraId="113E0FDD" w14:textId="17C2B4EE" w:rsidR="00FF43EE" w:rsidRPr="00D948C1" w:rsidRDefault="00FF43EE" w:rsidP="006C0086">
            <w:pPr>
              <w:spacing w:line="276" w:lineRule="auto"/>
              <w:jc w:val="right"/>
              <w:rPr>
                <w:szCs w:val="24"/>
              </w:rPr>
            </w:pPr>
            <w:r w:rsidRPr="00D948C1">
              <w:rPr>
                <w:szCs w:val="24"/>
              </w:rPr>
              <w:t>(651,</w:t>
            </w:r>
            <w:r w:rsidR="00D64A18" w:rsidRPr="00D948C1">
              <w:rPr>
                <w:szCs w:val="24"/>
              </w:rPr>
              <w:t>826</w:t>
            </w:r>
            <w:r w:rsidRPr="00D948C1">
              <w:rPr>
                <w:szCs w:val="24"/>
              </w:rPr>
              <w:t>)</w:t>
            </w:r>
          </w:p>
        </w:tc>
        <w:tc>
          <w:tcPr>
            <w:tcW w:w="1470" w:type="dxa"/>
            <w:shd w:val="clear" w:color="auto" w:fill="auto"/>
            <w:vAlign w:val="center"/>
          </w:tcPr>
          <w:p w14:paraId="14F3436A" w14:textId="7A5FCE84" w:rsidR="00FF43EE" w:rsidRPr="00D948C1" w:rsidRDefault="00FF43EE" w:rsidP="006C0086">
            <w:pPr>
              <w:spacing w:line="276" w:lineRule="auto"/>
              <w:jc w:val="right"/>
              <w:rPr>
                <w:szCs w:val="24"/>
              </w:rPr>
            </w:pPr>
            <w:r w:rsidRPr="00D948C1">
              <w:rPr>
                <w:szCs w:val="24"/>
              </w:rPr>
              <w:t>(651,536)</w:t>
            </w:r>
          </w:p>
        </w:tc>
        <w:tc>
          <w:tcPr>
            <w:tcW w:w="1296" w:type="dxa"/>
            <w:shd w:val="clear" w:color="auto" w:fill="auto"/>
            <w:vAlign w:val="center"/>
          </w:tcPr>
          <w:p w14:paraId="536E00D7" w14:textId="57A3A323" w:rsidR="00FF43EE" w:rsidRPr="00D948C1" w:rsidRDefault="00FF43EE" w:rsidP="006C0086">
            <w:pPr>
              <w:spacing w:line="276" w:lineRule="auto"/>
              <w:jc w:val="right"/>
              <w:rPr>
                <w:szCs w:val="24"/>
              </w:rPr>
            </w:pPr>
            <w:r w:rsidRPr="00D948C1">
              <w:rPr>
                <w:szCs w:val="24"/>
              </w:rPr>
              <w:t>(875,936)</w:t>
            </w:r>
          </w:p>
        </w:tc>
        <w:tc>
          <w:tcPr>
            <w:tcW w:w="1276" w:type="dxa"/>
            <w:shd w:val="clear" w:color="auto" w:fill="auto"/>
            <w:vAlign w:val="center"/>
          </w:tcPr>
          <w:p w14:paraId="3E230EF3" w14:textId="5DA65A48" w:rsidR="00FF43EE" w:rsidRPr="00D948C1" w:rsidRDefault="00FF43EE" w:rsidP="006C0086">
            <w:pPr>
              <w:spacing w:line="276" w:lineRule="auto"/>
              <w:jc w:val="right"/>
              <w:rPr>
                <w:szCs w:val="24"/>
              </w:rPr>
            </w:pPr>
            <w:r w:rsidRPr="00D948C1">
              <w:rPr>
                <w:szCs w:val="24"/>
              </w:rPr>
              <w:t>(872,386)</w:t>
            </w:r>
          </w:p>
        </w:tc>
        <w:tc>
          <w:tcPr>
            <w:tcW w:w="1276" w:type="dxa"/>
            <w:shd w:val="clear" w:color="auto" w:fill="auto"/>
            <w:vAlign w:val="center"/>
          </w:tcPr>
          <w:p w14:paraId="620147C2" w14:textId="735D458E" w:rsidR="00FF43EE" w:rsidRPr="00D948C1" w:rsidRDefault="00FF43EE" w:rsidP="006C0086">
            <w:pPr>
              <w:spacing w:line="276" w:lineRule="auto"/>
              <w:jc w:val="right"/>
              <w:rPr>
                <w:szCs w:val="24"/>
              </w:rPr>
            </w:pPr>
            <w:r w:rsidRPr="00D948C1">
              <w:rPr>
                <w:szCs w:val="24"/>
              </w:rPr>
              <w:t>(805,506)</w:t>
            </w:r>
          </w:p>
        </w:tc>
      </w:tr>
      <w:tr w:rsidR="00FF43EE" w:rsidRPr="00D948C1" w14:paraId="48BA3EB7" w14:textId="77777777" w:rsidTr="00DD63D7">
        <w:tc>
          <w:tcPr>
            <w:tcW w:w="3119" w:type="dxa"/>
            <w:shd w:val="clear" w:color="auto" w:fill="auto"/>
          </w:tcPr>
          <w:p w14:paraId="116B1D38" w14:textId="5A7B6B1B" w:rsidR="00FF43EE" w:rsidRPr="00D948C1" w:rsidRDefault="00FF43EE" w:rsidP="006C0086">
            <w:pPr>
              <w:spacing w:line="276" w:lineRule="auto"/>
              <w:rPr>
                <w:szCs w:val="24"/>
              </w:rPr>
            </w:pPr>
            <w:r w:rsidRPr="00D948C1">
              <w:rPr>
                <w:szCs w:val="24"/>
              </w:rPr>
              <w:t xml:space="preserve">Fair value of assets in </w:t>
            </w:r>
            <w:r w:rsidR="000C0FF2" w:rsidRPr="00D948C1">
              <w:rPr>
                <w:szCs w:val="24"/>
              </w:rPr>
              <w:t>Local Government Pension Scheme</w:t>
            </w:r>
          </w:p>
        </w:tc>
        <w:tc>
          <w:tcPr>
            <w:tcW w:w="1378" w:type="dxa"/>
            <w:shd w:val="clear" w:color="auto" w:fill="auto"/>
            <w:vAlign w:val="center"/>
          </w:tcPr>
          <w:p w14:paraId="554CAC82" w14:textId="7F62517A" w:rsidR="00FF43EE" w:rsidRPr="00D948C1" w:rsidRDefault="00D64A18" w:rsidP="006C0086">
            <w:pPr>
              <w:spacing w:line="276" w:lineRule="auto"/>
              <w:jc w:val="right"/>
              <w:rPr>
                <w:szCs w:val="24"/>
              </w:rPr>
            </w:pPr>
            <w:r w:rsidRPr="00D948C1">
              <w:rPr>
                <w:szCs w:val="24"/>
              </w:rPr>
              <w:t>84,113</w:t>
            </w:r>
          </w:p>
        </w:tc>
        <w:tc>
          <w:tcPr>
            <w:tcW w:w="1470" w:type="dxa"/>
            <w:shd w:val="clear" w:color="auto" w:fill="auto"/>
            <w:vAlign w:val="center"/>
          </w:tcPr>
          <w:p w14:paraId="7982D5C8" w14:textId="779A379C" w:rsidR="00FF43EE" w:rsidRPr="00D948C1" w:rsidRDefault="00FF43EE" w:rsidP="006C0086">
            <w:pPr>
              <w:spacing w:line="276" w:lineRule="auto"/>
              <w:jc w:val="right"/>
              <w:rPr>
                <w:szCs w:val="24"/>
              </w:rPr>
            </w:pPr>
            <w:r w:rsidRPr="00D948C1">
              <w:rPr>
                <w:szCs w:val="24"/>
              </w:rPr>
              <w:t>78,360</w:t>
            </w:r>
          </w:p>
        </w:tc>
        <w:tc>
          <w:tcPr>
            <w:tcW w:w="1296" w:type="dxa"/>
            <w:shd w:val="clear" w:color="auto" w:fill="auto"/>
            <w:vAlign w:val="center"/>
          </w:tcPr>
          <w:p w14:paraId="2B5062B4" w14:textId="25813E4C" w:rsidR="00FF43EE" w:rsidRPr="00D948C1" w:rsidRDefault="00FF43EE" w:rsidP="006C0086">
            <w:pPr>
              <w:spacing w:line="276" w:lineRule="auto"/>
              <w:jc w:val="right"/>
              <w:rPr>
                <w:szCs w:val="24"/>
              </w:rPr>
            </w:pPr>
            <w:r w:rsidRPr="00D948C1">
              <w:rPr>
                <w:szCs w:val="24"/>
              </w:rPr>
              <w:t>76,703</w:t>
            </w:r>
          </w:p>
        </w:tc>
        <w:tc>
          <w:tcPr>
            <w:tcW w:w="1276" w:type="dxa"/>
            <w:shd w:val="clear" w:color="auto" w:fill="auto"/>
            <w:vAlign w:val="center"/>
          </w:tcPr>
          <w:p w14:paraId="45E74F68" w14:textId="2B22E57C" w:rsidR="00FF43EE" w:rsidRPr="00D948C1" w:rsidRDefault="00FF43EE" w:rsidP="006C0086">
            <w:pPr>
              <w:spacing w:line="276" w:lineRule="auto"/>
              <w:jc w:val="right"/>
              <w:rPr>
                <w:szCs w:val="24"/>
              </w:rPr>
            </w:pPr>
            <w:r w:rsidRPr="00D948C1">
              <w:rPr>
                <w:szCs w:val="24"/>
              </w:rPr>
              <w:t>68,314</w:t>
            </w:r>
          </w:p>
        </w:tc>
        <w:tc>
          <w:tcPr>
            <w:tcW w:w="1276" w:type="dxa"/>
            <w:shd w:val="clear" w:color="auto" w:fill="auto"/>
            <w:vAlign w:val="center"/>
          </w:tcPr>
          <w:p w14:paraId="55DE3593" w14:textId="1B84633A" w:rsidR="00FF43EE" w:rsidRPr="00D948C1" w:rsidRDefault="00FF43EE" w:rsidP="006C0086">
            <w:pPr>
              <w:spacing w:line="276" w:lineRule="auto"/>
              <w:jc w:val="right"/>
              <w:rPr>
                <w:szCs w:val="24"/>
              </w:rPr>
            </w:pPr>
            <w:r w:rsidRPr="00D948C1">
              <w:rPr>
                <w:szCs w:val="24"/>
              </w:rPr>
              <w:t>61,932</w:t>
            </w:r>
          </w:p>
        </w:tc>
      </w:tr>
    </w:tbl>
    <w:p w14:paraId="64F3650A" w14:textId="77777777" w:rsidR="001E71F1" w:rsidRPr="00D948C1" w:rsidRDefault="001E71F1" w:rsidP="006C0086">
      <w:pPr>
        <w:spacing w:line="276"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AC5949" w:rsidRPr="00D948C1" w14:paraId="796A5A0C" w14:textId="77777777" w:rsidTr="00982FEC">
        <w:tc>
          <w:tcPr>
            <w:tcW w:w="9815" w:type="dxa"/>
            <w:gridSpan w:val="6"/>
            <w:shd w:val="clear" w:color="auto" w:fill="D9D9D9" w:themeFill="background1" w:themeFillShade="D9"/>
          </w:tcPr>
          <w:p w14:paraId="04BD9E30" w14:textId="0B79DB10" w:rsidR="00AC5949" w:rsidRPr="00D948C1" w:rsidRDefault="00AC5949" w:rsidP="006C0086">
            <w:pPr>
              <w:spacing w:line="276" w:lineRule="auto"/>
              <w:rPr>
                <w:b/>
                <w:bCs/>
                <w:szCs w:val="24"/>
              </w:rPr>
            </w:pPr>
            <w:r w:rsidRPr="00D948C1">
              <w:rPr>
                <w:b/>
                <w:bCs/>
                <w:szCs w:val="24"/>
              </w:rPr>
              <w:t>Surplus/(Deficit) in the scheme:</w:t>
            </w:r>
          </w:p>
        </w:tc>
      </w:tr>
      <w:tr w:rsidR="00FF43EE" w:rsidRPr="00D948C1" w14:paraId="1E660B70" w14:textId="77777777" w:rsidTr="00DD63D7">
        <w:tc>
          <w:tcPr>
            <w:tcW w:w="3119" w:type="dxa"/>
            <w:shd w:val="clear" w:color="auto" w:fill="auto"/>
          </w:tcPr>
          <w:p w14:paraId="000D6A8F" w14:textId="77777777" w:rsidR="00FF43EE" w:rsidRPr="00D948C1" w:rsidRDefault="00FF43EE" w:rsidP="006C0086">
            <w:pPr>
              <w:spacing w:line="276" w:lineRule="auto"/>
              <w:rPr>
                <w:szCs w:val="24"/>
              </w:rPr>
            </w:pPr>
            <w:r w:rsidRPr="00D948C1">
              <w:rPr>
                <w:szCs w:val="24"/>
              </w:rPr>
              <w:lastRenderedPageBreak/>
              <w:t>Local Government Pension Scheme (LGPS)</w:t>
            </w:r>
          </w:p>
        </w:tc>
        <w:tc>
          <w:tcPr>
            <w:tcW w:w="1378" w:type="dxa"/>
            <w:shd w:val="clear" w:color="auto" w:fill="auto"/>
            <w:vAlign w:val="center"/>
          </w:tcPr>
          <w:p w14:paraId="1DBDAE84" w14:textId="7785F5B1" w:rsidR="00FF43EE" w:rsidRPr="00D948C1" w:rsidRDefault="00D64A18" w:rsidP="006C0086">
            <w:pPr>
              <w:spacing w:line="276" w:lineRule="auto"/>
              <w:jc w:val="right"/>
              <w:rPr>
                <w:szCs w:val="24"/>
              </w:rPr>
            </w:pPr>
            <w:r w:rsidRPr="00D948C1">
              <w:rPr>
                <w:szCs w:val="24"/>
              </w:rPr>
              <w:t>23,798</w:t>
            </w:r>
          </w:p>
        </w:tc>
        <w:tc>
          <w:tcPr>
            <w:tcW w:w="1470" w:type="dxa"/>
            <w:shd w:val="clear" w:color="auto" w:fill="auto"/>
            <w:vAlign w:val="center"/>
          </w:tcPr>
          <w:p w14:paraId="10DCCB22" w14:textId="7A456C0A" w:rsidR="00FF43EE" w:rsidRPr="00D948C1" w:rsidRDefault="00FF43EE" w:rsidP="006C0086">
            <w:pPr>
              <w:spacing w:line="276" w:lineRule="auto"/>
              <w:jc w:val="right"/>
              <w:rPr>
                <w:szCs w:val="24"/>
              </w:rPr>
            </w:pPr>
            <w:r w:rsidRPr="00D948C1">
              <w:rPr>
                <w:szCs w:val="24"/>
              </w:rPr>
              <w:t>19,877</w:t>
            </w:r>
          </w:p>
        </w:tc>
        <w:tc>
          <w:tcPr>
            <w:tcW w:w="1296" w:type="dxa"/>
            <w:shd w:val="clear" w:color="auto" w:fill="auto"/>
            <w:vAlign w:val="center"/>
          </w:tcPr>
          <w:p w14:paraId="01699BEA" w14:textId="6C5AA8F9" w:rsidR="00FF43EE" w:rsidRPr="00D948C1" w:rsidRDefault="00FF43EE" w:rsidP="006C0086">
            <w:pPr>
              <w:spacing w:line="276" w:lineRule="auto"/>
              <w:jc w:val="right"/>
              <w:rPr>
                <w:szCs w:val="24"/>
              </w:rPr>
            </w:pPr>
            <w:r w:rsidRPr="00D948C1">
              <w:rPr>
                <w:szCs w:val="24"/>
              </w:rPr>
              <w:t>(7,498)</w:t>
            </w:r>
          </w:p>
        </w:tc>
        <w:tc>
          <w:tcPr>
            <w:tcW w:w="1276" w:type="dxa"/>
            <w:shd w:val="clear" w:color="auto" w:fill="auto"/>
            <w:vAlign w:val="center"/>
          </w:tcPr>
          <w:p w14:paraId="4B8F1B33" w14:textId="489AF5BB" w:rsidR="00FF43EE" w:rsidRPr="00D948C1" w:rsidRDefault="00FF43EE" w:rsidP="006C0086">
            <w:pPr>
              <w:spacing w:line="276" w:lineRule="auto"/>
              <w:jc w:val="right"/>
              <w:rPr>
                <w:szCs w:val="24"/>
              </w:rPr>
            </w:pPr>
            <w:r w:rsidRPr="00D948C1">
              <w:rPr>
                <w:szCs w:val="24"/>
              </w:rPr>
              <w:t>(15,318)</w:t>
            </w:r>
          </w:p>
        </w:tc>
        <w:tc>
          <w:tcPr>
            <w:tcW w:w="1276" w:type="dxa"/>
            <w:shd w:val="clear" w:color="auto" w:fill="auto"/>
            <w:vAlign w:val="center"/>
          </w:tcPr>
          <w:p w14:paraId="4C136066" w14:textId="3F5DC9F2" w:rsidR="00FF43EE" w:rsidRPr="00D948C1" w:rsidRDefault="00FF43EE" w:rsidP="006C0086">
            <w:pPr>
              <w:spacing w:line="276" w:lineRule="auto"/>
              <w:jc w:val="right"/>
              <w:rPr>
                <w:szCs w:val="24"/>
              </w:rPr>
            </w:pPr>
            <w:r w:rsidRPr="00D948C1">
              <w:rPr>
                <w:szCs w:val="24"/>
              </w:rPr>
              <w:t>(7,170)</w:t>
            </w:r>
          </w:p>
        </w:tc>
      </w:tr>
      <w:tr w:rsidR="00FF43EE" w:rsidRPr="00D948C1" w14:paraId="5FAE166C" w14:textId="77777777" w:rsidTr="00DD63D7">
        <w:tc>
          <w:tcPr>
            <w:tcW w:w="3119" w:type="dxa"/>
            <w:shd w:val="clear" w:color="auto" w:fill="auto"/>
          </w:tcPr>
          <w:p w14:paraId="4BD18E1F" w14:textId="77777777" w:rsidR="00FF43EE" w:rsidRPr="00D948C1" w:rsidRDefault="00FF43EE" w:rsidP="006C0086">
            <w:pPr>
              <w:spacing w:line="276" w:lineRule="auto"/>
              <w:rPr>
                <w:szCs w:val="24"/>
              </w:rPr>
            </w:pPr>
            <w:r w:rsidRPr="00D948C1">
              <w:rPr>
                <w:szCs w:val="24"/>
              </w:rPr>
              <w:t>Firefighters Pension Scheme</w:t>
            </w:r>
          </w:p>
        </w:tc>
        <w:tc>
          <w:tcPr>
            <w:tcW w:w="1378" w:type="dxa"/>
            <w:shd w:val="clear" w:color="auto" w:fill="auto"/>
            <w:vAlign w:val="center"/>
          </w:tcPr>
          <w:p w14:paraId="41460B36" w14:textId="3A44555E" w:rsidR="00FF43EE" w:rsidRPr="00D948C1" w:rsidRDefault="00FF43EE" w:rsidP="006C0086">
            <w:pPr>
              <w:spacing w:line="276" w:lineRule="auto"/>
              <w:jc w:val="right"/>
              <w:rPr>
                <w:szCs w:val="24"/>
              </w:rPr>
            </w:pPr>
            <w:r w:rsidRPr="00D948C1">
              <w:rPr>
                <w:szCs w:val="24"/>
              </w:rPr>
              <w:t>(651,</w:t>
            </w:r>
            <w:r w:rsidR="00D64A18" w:rsidRPr="00D948C1">
              <w:rPr>
                <w:szCs w:val="24"/>
              </w:rPr>
              <w:t>826</w:t>
            </w:r>
            <w:r w:rsidRPr="00D948C1">
              <w:rPr>
                <w:szCs w:val="24"/>
              </w:rPr>
              <w:t>)</w:t>
            </w:r>
          </w:p>
        </w:tc>
        <w:tc>
          <w:tcPr>
            <w:tcW w:w="1470" w:type="dxa"/>
            <w:shd w:val="clear" w:color="auto" w:fill="auto"/>
            <w:vAlign w:val="center"/>
          </w:tcPr>
          <w:p w14:paraId="3728E930" w14:textId="3968AE08" w:rsidR="00FF43EE" w:rsidRPr="00D948C1" w:rsidRDefault="00FF43EE" w:rsidP="006C0086">
            <w:pPr>
              <w:spacing w:line="276" w:lineRule="auto"/>
              <w:jc w:val="right"/>
              <w:rPr>
                <w:szCs w:val="24"/>
              </w:rPr>
            </w:pPr>
            <w:r w:rsidRPr="00D948C1">
              <w:rPr>
                <w:szCs w:val="24"/>
              </w:rPr>
              <w:t>(651,536)</w:t>
            </w:r>
          </w:p>
        </w:tc>
        <w:tc>
          <w:tcPr>
            <w:tcW w:w="1296" w:type="dxa"/>
            <w:shd w:val="clear" w:color="auto" w:fill="auto"/>
            <w:vAlign w:val="center"/>
          </w:tcPr>
          <w:p w14:paraId="3786B6B9" w14:textId="2F9ECE7F" w:rsidR="00FF43EE" w:rsidRPr="00D948C1" w:rsidRDefault="00FF43EE" w:rsidP="006C0086">
            <w:pPr>
              <w:spacing w:line="276" w:lineRule="auto"/>
              <w:jc w:val="right"/>
              <w:rPr>
                <w:szCs w:val="24"/>
              </w:rPr>
            </w:pPr>
            <w:r w:rsidRPr="00D948C1">
              <w:rPr>
                <w:szCs w:val="24"/>
              </w:rPr>
              <w:t>(875,936)</w:t>
            </w:r>
          </w:p>
        </w:tc>
        <w:tc>
          <w:tcPr>
            <w:tcW w:w="1276" w:type="dxa"/>
            <w:shd w:val="clear" w:color="auto" w:fill="auto"/>
            <w:vAlign w:val="center"/>
          </w:tcPr>
          <w:p w14:paraId="461C9A58" w14:textId="019FE9C7" w:rsidR="00FF43EE" w:rsidRPr="00D948C1" w:rsidRDefault="00FF43EE" w:rsidP="006C0086">
            <w:pPr>
              <w:spacing w:line="276" w:lineRule="auto"/>
              <w:jc w:val="right"/>
              <w:rPr>
                <w:szCs w:val="24"/>
              </w:rPr>
            </w:pPr>
            <w:r w:rsidRPr="00D948C1">
              <w:rPr>
                <w:szCs w:val="24"/>
              </w:rPr>
              <w:t>(872,386)</w:t>
            </w:r>
          </w:p>
        </w:tc>
        <w:tc>
          <w:tcPr>
            <w:tcW w:w="1276" w:type="dxa"/>
            <w:shd w:val="clear" w:color="auto" w:fill="auto"/>
            <w:vAlign w:val="center"/>
          </w:tcPr>
          <w:p w14:paraId="5259F237" w14:textId="74B72734" w:rsidR="00FF43EE" w:rsidRPr="00D948C1" w:rsidRDefault="00FF43EE" w:rsidP="006C0086">
            <w:pPr>
              <w:spacing w:line="276" w:lineRule="auto"/>
              <w:jc w:val="right"/>
              <w:rPr>
                <w:szCs w:val="24"/>
              </w:rPr>
            </w:pPr>
            <w:r w:rsidRPr="00D948C1">
              <w:rPr>
                <w:szCs w:val="24"/>
              </w:rPr>
              <w:t>(805,506)</w:t>
            </w:r>
          </w:p>
        </w:tc>
      </w:tr>
    </w:tbl>
    <w:p w14:paraId="68782FB6" w14:textId="77777777" w:rsidR="001E71F1" w:rsidRPr="00D948C1" w:rsidRDefault="001E71F1" w:rsidP="006C0086">
      <w:pPr>
        <w:spacing w:line="276" w:lineRule="auto"/>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EB4B3B" w:rsidRPr="00D948C1" w14:paraId="63CF7922" w14:textId="77777777" w:rsidTr="00982FEC">
        <w:tc>
          <w:tcPr>
            <w:tcW w:w="9815" w:type="dxa"/>
            <w:gridSpan w:val="6"/>
            <w:shd w:val="clear" w:color="auto" w:fill="D9D9D9" w:themeFill="background1" w:themeFillShade="D9"/>
          </w:tcPr>
          <w:p w14:paraId="0FA5B9A4" w14:textId="47CBCE61" w:rsidR="00EB4B3B" w:rsidRPr="00D948C1" w:rsidRDefault="00EB4B3B" w:rsidP="006C0086">
            <w:pPr>
              <w:spacing w:line="276" w:lineRule="auto"/>
              <w:rPr>
                <w:b/>
                <w:bCs/>
                <w:szCs w:val="24"/>
              </w:rPr>
            </w:pPr>
            <w:r w:rsidRPr="00D948C1">
              <w:rPr>
                <w:b/>
                <w:bCs/>
                <w:szCs w:val="24"/>
              </w:rPr>
              <w:t>Pension Asset Ceiling</w:t>
            </w:r>
            <w:r w:rsidR="00475B2F" w:rsidRPr="00D948C1">
              <w:rPr>
                <w:b/>
                <w:bCs/>
                <w:szCs w:val="24"/>
              </w:rPr>
              <w:t xml:space="preserve"> Adjustment</w:t>
            </w:r>
            <w:r w:rsidRPr="00D948C1">
              <w:rPr>
                <w:b/>
                <w:bCs/>
                <w:szCs w:val="24"/>
              </w:rPr>
              <w:t>:</w:t>
            </w:r>
          </w:p>
        </w:tc>
      </w:tr>
      <w:tr w:rsidR="00EB4B3B" w:rsidRPr="00D948C1" w14:paraId="6794C4C1" w14:textId="77777777" w:rsidTr="00DD63D7">
        <w:tc>
          <w:tcPr>
            <w:tcW w:w="3119" w:type="dxa"/>
            <w:shd w:val="clear" w:color="auto" w:fill="auto"/>
          </w:tcPr>
          <w:p w14:paraId="00BCC40D" w14:textId="0F68DDE2" w:rsidR="00EB4B3B" w:rsidRPr="00D948C1" w:rsidRDefault="00EB4B3B" w:rsidP="006C0086">
            <w:pPr>
              <w:spacing w:line="276" w:lineRule="auto"/>
              <w:rPr>
                <w:szCs w:val="24"/>
              </w:rPr>
            </w:pPr>
            <w:r w:rsidRPr="00D948C1">
              <w:rPr>
                <w:szCs w:val="24"/>
              </w:rPr>
              <w:t>Local Government Pension Scheme (LGPS)</w:t>
            </w:r>
          </w:p>
        </w:tc>
        <w:tc>
          <w:tcPr>
            <w:tcW w:w="1378" w:type="dxa"/>
            <w:shd w:val="clear" w:color="auto" w:fill="auto"/>
            <w:vAlign w:val="center"/>
          </w:tcPr>
          <w:p w14:paraId="64B9D660" w14:textId="12508747" w:rsidR="00EB4B3B" w:rsidRPr="00D948C1" w:rsidRDefault="00EB4B3B" w:rsidP="006C0086">
            <w:pPr>
              <w:spacing w:line="276" w:lineRule="auto"/>
              <w:jc w:val="right"/>
              <w:rPr>
                <w:szCs w:val="24"/>
              </w:rPr>
            </w:pPr>
            <w:r w:rsidRPr="00D948C1">
              <w:rPr>
                <w:szCs w:val="24"/>
              </w:rPr>
              <w:t>(</w:t>
            </w:r>
            <w:r w:rsidR="00D64A18" w:rsidRPr="00D948C1">
              <w:rPr>
                <w:szCs w:val="24"/>
              </w:rPr>
              <w:t>23,</w:t>
            </w:r>
            <w:r w:rsidR="000559C2" w:rsidRPr="00D948C1">
              <w:rPr>
                <w:szCs w:val="24"/>
              </w:rPr>
              <w:t>892</w:t>
            </w:r>
            <w:r w:rsidRPr="00D948C1">
              <w:rPr>
                <w:szCs w:val="24"/>
              </w:rPr>
              <w:t>)</w:t>
            </w:r>
          </w:p>
        </w:tc>
        <w:tc>
          <w:tcPr>
            <w:tcW w:w="1470" w:type="dxa"/>
            <w:shd w:val="clear" w:color="auto" w:fill="auto"/>
            <w:vAlign w:val="center"/>
          </w:tcPr>
          <w:p w14:paraId="48620ECC" w14:textId="55A833B6" w:rsidR="00EB4B3B" w:rsidRPr="00D948C1" w:rsidRDefault="00FF43EE" w:rsidP="006C0086">
            <w:pPr>
              <w:spacing w:line="276" w:lineRule="auto"/>
              <w:jc w:val="right"/>
              <w:rPr>
                <w:szCs w:val="24"/>
              </w:rPr>
            </w:pPr>
            <w:r w:rsidRPr="00D948C1">
              <w:rPr>
                <w:szCs w:val="24"/>
              </w:rPr>
              <w:t>(19,877)</w:t>
            </w:r>
          </w:p>
        </w:tc>
        <w:tc>
          <w:tcPr>
            <w:tcW w:w="1296" w:type="dxa"/>
            <w:shd w:val="clear" w:color="auto" w:fill="auto"/>
            <w:vAlign w:val="center"/>
          </w:tcPr>
          <w:p w14:paraId="74DE78F4" w14:textId="06D9A994" w:rsidR="00EB4B3B" w:rsidRPr="00D948C1" w:rsidRDefault="00EB4B3B" w:rsidP="006C0086">
            <w:pPr>
              <w:spacing w:line="276" w:lineRule="auto"/>
              <w:jc w:val="right"/>
              <w:rPr>
                <w:szCs w:val="24"/>
              </w:rPr>
            </w:pPr>
            <w:r w:rsidRPr="00D948C1">
              <w:rPr>
                <w:szCs w:val="24"/>
              </w:rPr>
              <w:t>-</w:t>
            </w:r>
          </w:p>
        </w:tc>
        <w:tc>
          <w:tcPr>
            <w:tcW w:w="1276" w:type="dxa"/>
            <w:shd w:val="clear" w:color="auto" w:fill="auto"/>
            <w:vAlign w:val="center"/>
          </w:tcPr>
          <w:p w14:paraId="15D32879" w14:textId="674B5945" w:rsidR="00EB4B3B" w:rsidRPr="00D948C1" w:rsidRDefault="00EB4B3B" w:rsidP="006C0086">
            <w:pPr>
              <w:spacing w:line="276" w:lineRule="auto"/>
              <w:jc w:val="right"/>
              <w:rPr>
                <w:szCs w:val="24"/>
              </w:rPr>
            </w:pPr>
            <w:r w:rsidRPr="00D948C1">
              <w:rPr>
                <w:szCs w:val="24"/>
              </w:rPr>
              <w:t>-</w:t>
            </w:r>
          </w:p>
        </w:tc>
        <w:tc>
          <w:tcPr>
            <w:tcW w:w="1276" w:type="dxa"/>
            <w:shd w:val="clear" w:color="auto" w:fill="auto"/>
            <w:vAlign w:val="center"/>
          </w:tcPr>
          <w:p w14:paraId="60C458EF" w14:textId="50ACA959" w:rsidR="00EB4B3B" w:rsidRPr="00D948C1" w:rsidRDefault="00EB4B3B" w:rsidP="006C0086">
            <w:pPr>
              <w:spacing w:line="276" w:lineRule="auto"/>
              <w:jc w:val="right"/>
              <w:rPr>
                <w:szCs w:val="24"/>
              </w:rPr>
            </w:pPr>
            <w:r w:rsidRPr="00D948C1">
              <w:rPr>
                <w:szCs w:val="24"/>
              </w:rPr>
              <w:t>-</w:t>
            </w:r>
          </w:p>
        </w:tc>
      </w:tr>
      <w:tr w:rsidR="00EB4B3B" w:rsidRPr="00D948C1" w14:paraId="03D8BC30" w14:textId="77777777" w:rsidTr="00DD63D7">
        <w:tc>
          <w:tcPr>
            <w:tcW w:w="3119" w:type="dxa"/>
            <w:shd w:val="clear" w:color="auto" w:fill="auto"/>
          </w:tcPr>
          <w:p w14:paraId="1F577960" w14:textId="4514E85D" w:rsidR="00EB4B3B" w:rsidRPr="00D948C1" w:rsidRDefault="00EB4B3B" w:rsidP="006C0086">
            <w:pPr>
              <w:spacing w:line="276" w:lineRule="auto"/>
              <w:rPr>
                <w:szCs w:val="24"/>
              </w:rPr>
            </w:pPr>
            <w:r w:rsidRPr="00D948C1">
              <w:rPr>
                <w:szCs w:val="24"/>
              </w:rPr>
              <w:t>Firefighters Pension Scheme</w:t>
            </w:r>
          </w:p>
        </w:tc>
        <w:tc>
          <w:tcPr>
            <w:tcW w:w="1378" w:type="dxa"/>
            <w:shd w:val="clear" w:color="auto" w:fill="auto"/>
            <w:vAlign w:val="center"/>
          </w:tcPr>
          <w:p w14:paraId="79D8196F" w14:textId="0AE989C9" w:rsidR="00EB4B3B" w:rsidRPr="00D948C1" w:rsidRDefault="00EB4B3B" w:rsidP="006C0086">
            <w:pPr>
              <w:spacing w:line="276" w:lineRule="auto"/>
              <w:jc w:val="right"/>
              <w:rPr>
                <w:szCs w:val="24"/>
              </w:rPr>
            </w:pPr>
            <w:r w:rsidRPr="00D948C1">
              <w:rPr>
                <w:szCs w:val="24"/>
              </w:rPr>
              <w:t>-</w:t>
            </w:r>
          </w:p>
        </w:tc>
        <w:tc>
          <w:tcPr>
            <w:tcW w:w="1470" w:type="dxa"/>
            <w:shd w:val="clear" w:color="auto" w:fill="auto"/>
            <w:vAlign w:val="center"/>
          </w:tcPr>
          <w:p w14:paraId="7254B50D" w14:textId="3C579E50" w:rsidR="00EB4B3B" w:rsidRPr="00D948C1" w:rsidRDefault="00EB4B3B" w:rsidP="006C0086">
            <w:pPr>
              <w:spacing w:line="276" w:lineRule="auto"/>
              <w:jc w:val="right"/>
              <w:rPr>
                <w:szCs w:val="24"/>
              </w:rPr>
            </w:pPr>
            <w:r w:rsidRPr="00D948C1">
              <w:rPr>
                <w:szCs w:val="24"/>
              </w:rPr>
              <w:t>-</w:t>
            </w:r>
          </w:p>
        </w:tc>
        <w:tc>
          <w:tcPr>
            <w:tcW w:w="1296" w:type="dxa"/>
            <w:shd w:val="clear" w:color="auto" w:fill="auto"/>
            <w:vAlign w:val="center"/>
          </w:tcPr>
          <w:p w14:paraId="36B2AC22" w14:textId="0861490B" w:rsidR="00EB4B3B" w:rsidRPr="00D948C1" w:rsidRDefault="00EB4B3B" w:rsidP="006C0086">
            <w:pPr>
              <w:spacing w:line="276" w:lineRule="auto"/>
              <w:jc w:val="right"/>
              <w:rPr>
                <w:szCs w:val="24"/>
              </w:rPr>
            </w:pPr>
            <w:r w:rsidRPr="00D948C1">
              <w:rPr>
                <w:szCs w:val="24"/>
              </w:rPr>
              <w:t>-</w:t>
            </w:r>
          </w:p>
        </w:tc>
        <w:tc>
          <w:tcPr>
            <w:tcW w:w="1276" w:type="dxa"/>
            <w:shd w:val="clear" w:color="auto" w:fill="auto"/>
            <w:vAlign w:val="center"/>
          </w:tcPr>
          <w:p w14:paraId="7F826A4A" w14:textId="173BE6A4" w:rsidR="00EB4B3B" w:rsidRPr="00D948C1" w:rsidRDefault="00EB4B3B" w:rsidP="006C0086">
            <w:pPr>
              <w:spacing w:line="276" w:lineRule="auto"/>
              <w:jc w:val="right"/>
              <w:rPr>
                <w:szCs w:val="24"/>
              </w:rPr>
            </w:pPr>
            <w:r w:rsidRPr="00D948C1">
              <w:rPr>
                <w:szCs w:val="24"/>
              </w:rPr>
              <w:t>-</w:t>
            </w:r>
          </w:p>
        </w:tc>
        <w:tc>
          <w:tcPr>
            <w:tcW w:w="1276" w:type="dxa"/>
            <w:shd w:val="clear" w:color="auto" w:fill="auto"/>
            <w:vAlign w:val="center"/>
          </w:tcPr>
          <w:p w14:paraId="4934A633" w14:textId="700BEB88" w:rsidR="00EB4B3B" w:rsidRPr="00D948C1" w:rsidRDefault="00EB4B3B" w:rsidP="006C0086">
            <w:pPr>
              <w:spacing w:line="276" w:lineRule="auto"/>
              <w:jc w:val="right"/>
              <w:rPr>
                <w:szCs w:val="24"/>
              </w:rPr>
            </w:pPr>
            <w:r w:rsidRPr="00D948C1">
              <w:rPr>
                <w:szCs w:val="24"/>
              </w:rPr>
              <w:t>-</w:t>
            </w:r>
          </w:p>
        </w:tc>
      </w:tr>
      <w:tr w:rsidR="00FF43EE" w:rsidRPr="00D948C1" w14:paraId="129CE37D" w14:textId="77777777" w:rsidTr="00DD63D7">
        <w:tc>
          <w:tcPr>
            <w:tcW w:w="3119" w:type="dxa"/>
            <w:shd w:val="clear" w:color="auto" w:fill="auto"/>
          </w:tcPr>
          <w:p w14:paraId="349F2366" w14:textId="77777777" w:rsidR="00FF43EE" w:rsidRPr="00D948C1" w:rsidRDefault="00FF43EE" w:rsidP="006C0086">
            <w:pPr>
              <w:spacing w:line="276" w:lineRule="auto"/>
              <w:rPr>
                <w:szCs w:val="24"/>
              </w:rPr>
            </w:pPr>
            <w:r w:rsidRPr="00D948C1">
              <w:rPr>
                <w:szCs w:val="24"/>
              </w:rPr>
              <w:t>Total</w:t>
            </w:r>
          </w:p>
        </w:tc>
        <w:tc>
          <w:tcPr>
            <w:tcW w:w="1378" w:type="dxa"/>
            <w:shd w:val="clear" w:color="auto" w:fill="auto"/>
            <w:vAlign w:val="center"/>
          </w:tcPr>
          <w:p w14:paraId="581DC4B0" w14:textId="1029A57B" w:rsidR="00FF43EE" w:rsidRPr="00D948C1" w:rsidRDefault="00FF43EE" w:rsidP="006C0086">
            <w:pPr>
              <w:spacing w:line="276" w:lineRule="auto"/>
              <w:jc w:val="right"/>
              <w:rPr>
                <w:szCs w:val="24"/>
              </w:rPr>
            </w:pPr>
            <w:r w:rsidRPr="00D948C1">
              <w:rPr>
                <w:szCs w:val="24"/>
              </w:rPr>
              <w:t>(651,</w:t>
            </w:r>
            <w:r w:rsidR="000559C2" w:rsidRPr="00D948C1">
              <w:rPr>
                <w:szCs w:val="24"/>
              </w:rPr>
              <w:t>920</w:t>
            </w:r>
            <w:r w:rsidRPr="00D948C1">
              <w:rPr>
                <w:szCs w:val="24"/>
              </w:rPr>
              <w:t>)</w:t>
            </w:r>
          </w:p>
        </w:tc>
        <w:tc>
          <w:tcPr>
            <w:tcW w:w="1470" w:type="dxa"/>
            <w:shd w:val="clear" w:color="auto" w:fill="auto"/>
            <w:vAlign w:val="center"/>
          </w:tcPr>
          <w:p w14:paraId="090F7C77" w14:textId="2EA02A58" w:rsidR="00FF43EE" w:rsidRPr="00D948C1" w:rsidRDefault="00FF43EE" w:rsidP="006C0086">
            <w:pPr>
              <w:spacing w:line="276" w:lineRule="auto"/>
              <w:jc w:val="right"/>
              <w:rPr>
                <w:szCs w:val="24"/>
              </w:rPr>
            </w:pPr>
            <w:r w:rsidRPr="00D948C1">
              <w:rPr>
                <w:szCs w:val="24"/>
              </w:rPr>
              <w:t>(651,536)</w:t>
            </w:r>
          </w:p>
        </w:tc>
        <w:tc>
          <w:tcPr>
            <w:tcW w:w="1296" w:type="dxa"/>
            <w:shd w:val="clear" w:color="auto" w:fill="auto"/>
            <w:vAlign w:val="center"/>
          </w:tcPr>
          <w:p w14:paraId="3226A39E" w14:textId="004A266E" w:rsidR="00FF43EE" w:rsidRPr="00D948C1" w:rsidRDefault="00FF43EE" w:rsidP="006C0086">
            <w:pPr>
              <w:spacing w:line="276" w:lineRule="auto"/>
              <w:jc w:val="right"/>
              <w:rPr>
                <w:szCs w:val="24"/>
              </w:rPr>
            </w:pPr>
            <w:r w:rsidRPr="00D948C1">
              <w:rPr>
                <w:szCs w:val="24"/>
              </w:rPr>
              <w:t>(883,434)</w:t>
            </w:r>
          </w:p>
        </w:tc>
        <w:tc>
          <w:tcPr>
            <w:tcW w:w="1276" w:type="dxa"/>
            <w:shd w:val="clear" w:color="auto" w:fill="auto"/>
            <w:vAlign w:val="center"/>
          </w:tcPr>
          <w:p w14:paraId="0F5FBBB1" w14:textId="1A7654B1" w:rsidR="00FF43EE" w:rsidRPr="00D948C1" w:rsidRDefault="00FF43EE" w:rsidP="006C0086">
            <w:pPr>
              <w:spacing w:line="276" w:lineRule="auto"/>
              <w:jc w:val="right"/>
              <w:rPr>
                <w:szCs w:val="24"/>
              </w:rPr>
            </w:pPr>
            <w:r w:rsidRPr="00D948C1">
              <w:rPr>
                <w:szCs w:val="24"/>
              </w:rPr>
              <w:t>(887,704)</w:t>
            </w:r>
          </w:p>
        </w:tc>
        <w:tc>
          <w:tcPr>
            <w:tcW w:w="1276" w:type="dxa"/>
            <w:shd w:val="clear" w:color="auto" w:fill="auto"/>
            <w:vAlign w:val="center"/>
          </w:tcPr>
          <w:p w14:paraId="66B0403A" w14:textId="1E279ACA" w:rsidR="00FF43EE" w:rsidRPr="00D948C1" w:rsidRDefault="00FF43EE" w:rsidP="006C0086">
            <w:pPr>
              <w:spacing w:line="276" w:lineRule="auto"/>
              <w:jc w:val="right"/>
              <w:rPr>
                <w:szCs w:val="24"/>
              </w:rPr>
            </w:pPr>
            <w:r w:rsidRPr="00D948C1">
              <w:rPr>
                <w:szCs w:val="24"/>
              </w:rPr>
              <w:t>(812,676)</w:t>
            </w:r>
          </w:p>
        </w:tc>
      </w:tr>
    </w:tbl>
    <w:p w14:paraId="27CFF3E6" w14:textId="77777777" w:rsidR="00D90216" w:rsidRPr="00D948C1" w:rsidRDefault="00D90216" w:rsidP="006C0086">
      <w:pPr>
        <w:spacing w:line="276" w:lineRule="auto"/>
        <w:jc w:val="both"/>
        <w:rPr>
          <w:sz w:val="22"/>
        </w:rPr>
      </w:pPr>
    </w:p>
    <w:p w14:paraId="6FCC8EF3" w14:textId="173635F1" w:rsidR="00D90216" w:rsidRPr="00D948C1" w:rsidRDefault="00D90216" w:rsidP="006C0086">
      <w:pPr>
        <w:spacing w:line="276" w:lineRule="auto"/>
        <w:ind w:left="709"/>
        <w:rPr>
          <w:szCs w:val="24"/>
        </w:rPr>
      </w:pPr>
      <w:r w:rsidRPr="00D948C1">
        <w:rPr>
          <w:szCs w:val="24"/>
        </w:rPr>
        <w:t>The liabilities show the underlying commitments that the Authority has in the long</w:t>
      </w:r>
      <w:r w:rsidRPr="00D948C1">
        <w:rPr>
          <w:szCs w:val="24"/>
        </w:rPr>
        <w:noBreakHyphen/>
        <w:t xml:space="preserve">term to pay </w:t>
      </w:r>
      <w:r w:rsidR="000C78DA" w:rsidRPr="00D948C1">
        <w:rPr>
          <w:szCs w:val="24"/>
        </w:rPr>
        <w:t>post-employment</w:t>
      </w:r>
      <w:r w:rsidRPr="00D948C1">
        <w:rPr>
          <w:szCs w:val="24"/>
        </w:rPr>
        <w:t xml:space="preserve"> benefits. The total liability of both schemes, £</w:t>
      </w:r>
      <w:r w:rsidR="00793B97" w:rsidRPr="00D948C1">
        <w:rPr>
          <w:szCs w:val="24"/>
        </w:rPr>
        <w:t>6</w:t>
      </w:r>
      <w:r w:rsidR="00D471C2" w:rsidRPr="00D948C1">
        <w:rPr>
          <w:szCs w:val="24"/>
        </w:rPr>
        <w:t>51</w:t>
      </w:r>
      <w:r w:rsidR="00793B97" w:rsidRPr="00D948C1">
        <w:rPr>
          <w:szCs w:val="24"/>
        </w:rPr>
        <w:t>,</w:t>
      </w:r>
      <w:r w:rsidR="000559C2" w:rsidRPr="00D948C1">
        <w:rPr>
          <w:szCs w:val="24"/>
        </w:rPr>
        <w:t>920</w:t>
      </w:r>
      <w:r w:rsidR="002624B8" w:rsidRPr="00D948C1">
        <w:rPr>
          <w:szCs w:val="24"/>
        </w:rPr>
        <w:t>m</w:t>
      </w:r>
      <w:r w:rsidRPr="00D948C1">
        <w:rPr>
          <w:szCs w:val="24"/>
        </w:rPr>
        <w:t>, has a substantial impact on the net worth of the Authority, as recorded in the Balance Sheet</w:t>
      </w:r>
      <w:r w:rsidR="00793B97" w:rsidRPr="00D948C1">
        <w:rPr>
          <w:szCs w:val="24"/>
        </w:rPr>
        <w:t>.</w:t>
      </w:r>
      <w:r w:rsidRPr="00D948C1">
        <w:rPr>
          <w:szCs w:val="24"/>
        </w:rPr>
        <w:t xml:space="preserve"> However, statutory arrangements for funding the liability mean that the financial position of the Authority remains healthy:</w:t>
      </w:r>
    </w:p>
    <w:p w14:paraId="1594FCA9" w14:textId="77777777" w:rsidR="00D90216" w:rsidRPr="00D948C1" w:rsidRDefault="00D90216" w:rsidP="006C0086">
      <w:pPr>
        <w:spacing w:line="276" w:lineRule="auto"/>
        <w:ind w:left="709"/>
        <w:rPr>
          <w:szCs w:val="24"/>
        </w:rPr>
      </w:pPr>
    </w:p>
    <w:p w14:paraId="1EEB03DC" w14:textId="78DC9B82" w:rsidR="00B2607E" w:rsidRPr="00D948C1" w:rsidRDefault="00B2607E" w:rsidP="006C0086">
      <w:pPr>
        <w:numPr>
          <w:ilvl w:val="0"/>
          <w:numId w:val="4"/>
        </w:numPr>
        <w:tabs>
          <w:tab w:val="clear" w:pos="360"/>
          <w:tab w:val="num" w:pos="1069"/>
        </w:tabs>
        <w:spacing w:line="276" w:lineRule="auto"/>
        <w:ind w:left="1069"/>
        <w:rPr>
          <w:szCs w:val="24"/>
        </w:rPr>
      </w:pPr>
      <w:r w:rsidRPr="00D948C1">
        <w:rPr>
          <w:szCs w:val="24"/>
        </w:rPr>
        <w:t xml:space="preserve">Whilst there is a surplus on the </w:t>
      </w:r>
      <w:r w:rsidR="000C0FF2" w:rsidRPr="00D948C1">
        <w:rPr>
          <w:szCs w:val="24"/>
        </w:rPr>
        <w:t>Local Government Pension</w:t>
      </w:r>
      <w:r w:rsidRPr="00D948C1">
        <w:rPr>
          <w:szCs w:val="24"/>
        </w:rPr>
        <w:t xml:space="preserve"> scheme a</w:t>
      </w:r>
      <w:r w:rsidR="002A33DC" w:rsidRPr="00D948C1">
        <w:rPr>
          <w:szCs w:val="24"/>
        </w:rPr>
        <w:t>ny</w:t>
      </w:r>
      <w:r w:rsidR="00D90216" w:rsidRPr="00D948C1">
        <w:rPr>
          <w:szCs w:val="24"/>
        </w:rPr>
        <w:t xml:space="preserve"> </w:t>
      </w:r>
      <w:r w:rsidRPr="00D948C1">
        <w:rPr>
          <w:szCs w:val="24"/>
        </w:rPr>
        <w:t xml:space="preserve">future </w:t>
      </w:r>
      <w:r w:rsidR="00B01A6F" w:rsidRPr="00D948C1">
        <w:rPr>
          <w:szCs w:val="24"/>
        </w:rPr>
        <w:t>deficit</w:t>
      </w:r>
      <w:r w:rsidRPr="00D948C1">
        <w:rPr>
          <w:szCs w:val="24"/>
        </w:rPr>
        <w:t>s</w:t>
      </w:r>
      <w:r w:rsidR="00D90216" w:rsidRPr="00D948C1">
        <w:rPr>
          <w:szCs w:val="24"/>
        </w:rPr>
        <w:t xml:space="preserve"> </w:t>
      </w:r>
      <w:r w:rsidRPr="00D948C1">
        <w:rPr>
          <w:szCs w:val="24"/>
        </w:rPr>
        <w:t xml:space="preserve">that may arise </w:t>
      </w:r>
      <w:r w:rsidR="00D90216" w:rsidRPr="00D948C1">
        <w:rPr>
          <w:szCs w:val="24"/>
        </w:rPr>
        <w:t xml:space="preserve">will </w:t>
      </w:r>
      <w:r w:rsidRPr="00D948C1">
        <w:rPr>
          <w:szCs w:val="24"/>
        </w:rPr>
        <w:t xml:space="preserve">sought to be </w:t>
      </w:r>
      <w:r w:rsidR="008853BC" w:rsidRPr="00D948C1">
        <w:rPr>
          <w:szCs w:val="24"/>
        </w:rPr>
        <w:t>recovered</w:t>
      </w:r>
      <w:r w:rsidR="00D90216" w:rsidRPr="00D948C1">
        <w:rPr>
          <w:szCs w:val="24"/>
        </w:rPr>
        <w:t xml:space="preserve"> by </w:t>
      </w:r>
      <w:r w:rsidR="008853BC" w:rsidRPr="00D948C1">
        <w:rPr>
          <w:szCs w:val="24"/>
        </w:rPr>
        <w:t>annual</w:t>
      </w:r>
      <w:r w:rsidR="00D82154" w:rsidRPr="00D948C1">
        <w:rPr>
          <w:szCs w:val="24"/>
        </w:rPr>
        <w:t xml:space="preserve"> </w:t>
      </w:r>
      <w:r w:rsidR="008853BC" w:rsidRPr="00D948C1">
        <w:rPr>
          <w:szCs w:val="24"/>
        </w:rPr>
        <w:t>repayments from</w:t>
      </w:r>
      <w:r w:rsidR="002A33DC" w:rsidRPr="00D948C1">
        <w:rPr>
          <w:szCs w:val="24"/>
        </w:rPr>
        <w:t>/to</w:t>
      </w:r>
      <w:r w:rsidR="008853BC" w:rsidRPr="00D948C1">
        <w:rPr>
          <w:szCs w:val="24"/>
        </w:rPr>
        <w:t xml:space="preserve"> the fund</w:t>
      </w:r>
      <w:r w:rsidR="00D82154" w:rsidRPr="00D948C1">
        <w:rPr>
          <w:szCs w:val="24"/>
        </w:rPr>
        <w:t>,</w:t>
      </w:r>
      <w:r w:rsidR="00D90216" w:rsidRPr="00D948C1">
        <w:rPr>
          <w:szCs w:val="24"/>
        </w:rPr>
        <w:t xml:space="preserve"> </w:t>
      </w:r>
      <w:r w:rsidR="00D82154" w:rsidRPr="00D948C1">
        <w:rPr>
          <w:szCs w:val="24"/>
        </w:rPr>
        <w:t xml:space="preserve">as assessed by the scheme actuary, throughout the agreed </w:t>
      </w:r>
      <w:r w:rsidR="008853BC" w:rsidRPr="00D948C1">
        <w:rPr>
          <w:szCs w:val="24"/>
        </w:rPr>
        <w:t>surplus</w:t>
      </w:r>
      <w:r w:rsidR="00D82154" w:rsidRPr="00D948C1">
        <w:rPr>
          <w:szCs w:val="24"/>
        </w:rPr>
        <w:t xml:space="preserve"> recovery period.</w:t>
      </w:r>
    </w:p>
    <w:p w14:paraId="13EAA407" w14:textId="77777777" w:rsidR="00D90216" w:rsidRPr="00D948C1" w:rsidRDefault="00D90216" w:rsidP="006C0086">
      <w:pPr>
        <w:numPr>
          <w:ilvl w:val="0"/>
          <w:numId w:val="4"/>
        </w:numPr>
        <w:tabs>
          <w:tab w:val="clear" w:pos="360"/>
          <w:tab w:val="num" w:pos="1069"/>
        </w:tabs>
        <w:spacing w:line="276" w:lineRule="auto"/>
        <w:ind w:left="1069"/>
        <w:rPr>
          <w:szCs w:val="24"/>
        </w:rPr>
      </w:pPr>
      <w:r w:rsidRPr="00D948C1">
        <w:rPr>
          <w:szCs w:val="24"/>
        </w:rPr>
        <w:t>Finance is only required to be raised to cover fire fighter pensions when the pensions are actually paid.</w:t>
      </w:r>
    </w:p>
    <w:p w14:paraId="2BA35BAA" w14:textId="77777777" w:rsidR="00D90216" w:rsidRPr="00D948C1" w:rsidRDefault="00D90216" w:rsidP="006C0086">
      <w:pPr>
        <w:spacing w:line="276" w:lineRule="auto"/>
        <w:ind w:left="709"/>
        <w:rPr>
          <w:szCs w:val="24"/>
        </w:rPr>
      </w:pPr>
    </w:p>
    <w:p w14:paraId="3500484C" w14:textId="1451CECE" w:rsidR="00D90216" w:rsidRPr="00D948C1" w:rsidRDefault="00D90216" w:rsidP="006C0086">
      <w:pPr>
        <w:spacing w:line="276" w:lineRule="auto"/>
        <w:ind w:left="709"/>
        <w:rPr>
          <w:szCs w:val="24"/>
        </w:rPr>
      </w:pPr>
      <w:r w:rsidRPr="00D948C1">
        <w:rPr>
          <w:szCs w:val="24"/>
        </w:rPr>
        <w:t>Estimated contributions expected to be paid by the Authority into each scheme during the next financial year:</w:t>
      </w:r>
    </w:p>
    <w:p w14:paraId="7FDCEAD3" w14:textId="77777777" w:rsidR="00DD63D7" w:rsidRPr="00D948C1" w:rsidRDefault="00DD63D7" w:rsidP="006C0086">
      <w:pPr>
        <w:spacing w:line="276" w:lineRule="auto"/>
        <w:ind w:left="709"/>
        <w:rPr>
          <w:szCs w:val="24"/>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410"/>
        <w:gridCol w:w="2126"/>
      </w:tblGrid>
      <w:tr w:rsidR="00D90216" w:rsidRPr="00D948C1" w14:paraId="4FE7DC7D" w14:textId="77777777" w:rsidTr="00611673">
        <w:tc>
          <w:tcPr>
            <w:tcW w:w="2835" w:type="dxa"/>
            <w:shd w:val="clear" w:color="auto" w:fill="BD2716"/>
          </w:tcPr>
          <w:p w14:paraId="66E266A5" w14:textId="77777777" w:rsidR="00D90216" w:rsidRPr="00D948C1" w:rsidRDefault="00D90216" w:rsidP="006C0086">
            <w:pPr>
              <w:spacing w:line="276" w:lineRule="auto"/>
              <w:ind w:left="426" w:hanging="426"/>
              <w:rPr>
                <w:color w:val="FFFFFF" w:themeColor="background1"/>
                <w:szCs w:val="24"/>
              </w:rPr>
            </w:pPr>
          </w:p>
        </w:tc>
        <w:tc>
          <w:tcPr>
            <w:tcW w:w="2268" w:type="dxa"/>
            <w:shd w:val="clear" w:color="auto" w:fill="BD2716"/>
            <w:vAlign w:val="center"/>
          </w:tcPr>
          <w:p w14:paraId="3100097A" w14:textId="77777777" w:rsidR="00D90216" w:rsidRPr="00D948C1" w:rsidRDefault="00D90216" w:rsidP="006C0086">
            <w:pPr>
              <w:spacing w:line="276" w:lineRule="auto"/>
              <w:jc w:val="right"/>
              <w:rPr>
                <w:color w:val="FFFFFF" w:themeColor="background1"/>
                <w:szCs w:val="24"/>
              </w:rPr>
            </w:pPr>
            <w:r w:rsidRPr="00D948C1">
              <w:rPr>
                <w:color w:val="FFFFFF" w:themeColor="background1"/>
                <w:szCs w:val="24"/>
              </w:rPr>
              <w:t>Local Government Pension Scheme</w:t>
            </w:r>
            <w:r w:rsidR="00210E84" w:rsidRPr="00D948C1">
              <w:rPr>
                <w:color w:val="FFFFFF" w:themeColor="background1"/>
                <w:szCs w:val="24"/>
              </w:rPr>
              <w:t>*</w:t>
            </w:r>
          </w:p>
          <w:p w14:paraId="1688BC62" w14:textId="7AA8483A" w:rsidR="00053629" w:rsidRPr="00D948C1" w:rsidRDefault="00053629" w:rsidP="006C0086">
            <w:pPr>
              <w:spacing w:line="276" w:lineRule="auto"/>
              <w:jc w:val="right"/>
              <w:rPr>
                <w:color w:val="FFFFFF" w:themeColor="background1"/>
                <w:szCs w:val="24"/>
              </w:rPr>
            </w:pPr>
            <w:r w:rsidRPr="00D948C1">
              <w:rPr>
                <w:color w:val="FFFFFF" w:themeColor="background1"/>
                <w:szCs w:val="24"/>
              </w:rPr>
              <w:t>£000</w:t>
            </w:r>
          </w:p>
        </w:tc>
        <w:tc>
          <w:tcPr>
            <w:tcW w:w="2410" w:type="dxa"/>
            <w:shd w:val="clear" w:color="auto" w:fill="BD2716"/>
            <w:vAlign w:val="center"/>
          </w:tcPr>
          <w:p w14:paraId="6D9B4358" w14:textId="77777777" w:rsidR="00D90216" w:rsidRPr="00D948C1" w:rsidRDefault="00D90216" w:rsidP="006C0086">
            <w:pPr>
              <w:spacing w:line="276" w:lineRule="auto"/>
              <w:jc w:val="right"/>
              <w:rPr>
                <w:color w:val="FFFFFF" w:themeColor="background1"/>
                <w:szCs w:val="24"/>
              </w:rPr>
            </w:pPr>
            <w:r w:rsidRPr="00D948C1">
              <w:rPr>
                <w:color w:val="FFFFFF" w:themeColor="background1"/>
                <w:szCs w:val="24"/>
              </w:rPr>
              <w:t>Firefighters’ Pension Scheme</w:t>
            </w:r>
            <w:r w:rsidR="00192E75" w:rsidRPr="00D948C1">
              <w:rPr>
                <w:color w:val="FFFFFF" w:themeColor="background1"/>
                <w:szCs w:val="24"/>
              </w:rPr>
              <w:t>**</w:t>
            </w:r>
          </w:p>
          <w:p w14:paraId="16AFB96C" w14:textId="23C0B98C" w:rsidR="00053629" w:rsidRPr="00D948C1" w:rsidRDefault="00053629" w:rsidP="006C0086">
            <w:pPr>
              <w:spacing w:line="276" w:lineRule="auto"/>
              <w:jc w:val="right"/>
              <w:rPr>
                <w:color w:val="FFFFFF" w:themeColor="background1"/>
                <w:szCs w:val="24"/>
              </w:rPr>
            </w:pPr>
            <w:r w:rsidRPr="00D948C1">
              <w:rPr>
                <w:color w:val="FFFFFF" w:themeColor="background1"/>
                <w:szCs w:val="24"/>
              </w:rPr>
              <w:t>£000</w:t>
            </w:r>
          </w:p>
        </w:tc>
        <w:tc>
          <w:tcPr>
            <w:tcW w:w="2126" w:type="dxa"/>
            <w:shd w:val="clear" w:color="auto" w:fill="BD2716"/>
            <w:vAlign w:val="center"/>
          </w:tcPr>
          <w:p w14:paraId="5BE01002" w14:textId="77777777" w:rsidR="00D90216" w:rsidRPr="00D948C1" w:rsidRDefault="00D90216" w:rsidP="006C0086">
            <w:pPr>
              <w:spacing w:line="276" w:lineRule="auto"/>
              <w:jc w:val="right"/>
              <w:rPr>
                <w:color w:val="FFFFFF" w:themeColor="background1"/>
                <w:szCs w:val="24"/>
              </w:rPr>
            </w:pPr>
            <w:r w:rsidRPr="00D948C1">
              <w:rPr>
                <w:color w:val="FFFFFF" w:themeColor="background1"/>
                <w:szCs w:val="24"/>
              </w:rPr>
              <w:t>Total</w:t>
            </w:r>
          </w:p>
          <w:p w14:paraId="6E691217" w14:textId="77E8834D" w:rsidR="00053629" w:rsidRPr="00D948C1" w:rsidRDefault="00053629" w:rsidP="006C0086">
            <w:pPr>
              <w:spacing w:line="276" w:lineRule="auto"/>
              <w:jc w:val="right"/>
              <w:rPr>
                <w:color w:val="FFFFFF" w:themeColor="background1"/>
                <w:szCs w:val="24"/>
              </w:rPr>
            </w:pPr>
            <w:r w:rsidRPr="00D948C1">
              <w:rPr>
                <w:color w:val="FFFFFF" w:themeColor="background1"/>
                <w:szCs w:val="24"/>
              </w:rPr>
              <w:t>£000</w:t>
            </w:r>
          </w:p>
        </w:tc>
      </w:tr>
      <w:tr w:rsidR="00D90216" w:rsidRPr="00D948C1" w14:paraId="1F709C57" w14:textId="77777777" w:rsidTr="00DD63D7">
        <w:trPr>
          <w:trHeight w:val="115"/>
        </w:trPr>
        <w:tc>
          <w:tcPr>
            <w:tcW w:w="2835" w:type="dxa"/>
            <w:shd w:val="clear" w:color="auto" w:fill="auto"/>
          </w:tcPr>
          <w:p w14:paraId="22AEE303" w14:textId="77777777" w:rsidR="00D90216" w:rsidRPr="00D948C1" w:rsidRDefault="00D90216" w:rsidP="006C0086">
            <w:pPr>
              <w:spacing w:line="276" w:lineRule="auto"/>
              <w:ind w:left="34"/>
              <w:rPr>
                <w:szCs w:val="24"/>
              </w:rPr>
            </w:pPr>
            <w:r w:rsidRPr="00D948C1">
              <w:rPr>
                <w:szCs w:val="24"/>
              </w:rPr>
              <w:t>Estimated contributions</w:t>
            </w:r>
          </w:p>
        </w:tc>
        <w:tc>
          <w:tcPr>
            <w:tcW w:w="2268" w:type="dxa"/>
            <w:shd w:val="clear" w:color="auto" w:fill="auto"/>
            <w:vAlign w:val="center"/>
          </w:tcPr>
          <w:p w14:paraId="2A47AB34" w14:textId="5B372F7F" w:rsidR="00D90216" w:rsidRPr="00D948C1" w:rsidRDefault="00632382" w:rsidP="006C0086">
            <w:pPr>
              <w:spacing w:line="276" w:lineRule="auto"/>
              <w:jc w:val="right"/>
              <w:rPr>
                <w:szCs w:val="24"/>
              </w:rPr>
            </w:pPr>
            <w:r w:rsidRPr="00D948C1">
              <w:rPr>
                <w:szCs w:val="24"/>
              </w:rPr>
              <w:t>1,</w:t>
            </w:r>
            <w:r w:rsidR="008727DC" w:rsidRPr="00D948C1">
              <w:rPr>
                <w:szCs w:val="24"/>
              </w:rPr>
              <w:t>2</w:t>
            </w:r>
            <w:r w:rsidR="005B7C89" w:rsidRPr="00D948C1">
              <w:rPr>
                <w:szCs w:val="24"/>
              </w:rPr>
              <w:t>31</w:t>
            </w:r>
          </w:p>
        </w:tc>
        <w:tc>
          <w:tcPr>
            <w:tcW w:w="2410" w:type="dxa"/>
            <w:shd w:val="clear" w:color="auto" w:fill="auto"/>
            <w:vAlign w:val="center"/>
          </w:tcPr>
          <w:p w14:paraId="1A7FBDD0" w14:textId="78CB89A2" w:rsidR="00D90216" w:rsidRPr="00D948C1" w:rsidRDefault="00064784" w:rsidP="006C0086">
            <w:pPr>
              <w:spacing w:line="276" w:lineRule="auto"/>
              <w:jc w:val="right"/>
              <w:rPr>
                <w:szCs w:val="24"/>
              </w:rPr>
            </w:pPr>
            <w:r w:rsidRPr="00D948C1">
              <w:rPr>
                <w:szCs w:val="24"/>
              </w:rPr>
              <w:t>10,577</w:t>
            </w:r>
          </w:p>
        </w:tc>
        <w:tc>
          <w:tcPr>
            <w:tcW w:w="2126" w:type="dxa"/>
            <w:shd w:val="clear" w:color="auto" w:fill="auto"/>
            <w:vAlign w:val="center"/>
          </w:tcPr>
          <w:p w14:paraId="31A198D3" w14:textId="585C4896" w:rsidR="00D90216" w:rsidRPr="00D948C1" w:rsidRDefault="00064784" w:rsidP="006C0086">
            <w:pPr>
              <w:spacing w:line="276" w:lineRule="auto"/>
              <w:jc w:val="right"/>
              <w:rPr>
                <w:szCs w:val="24"/>
              </w:rPr>
            </w:pPr>
            <w:r w:rsidRPr="00D948C1">
              <w:rPr>
                <w:szCs w:val="24"/>
              </w:rPr>
              <w:t>11,808</w:t>
            </w:r>
          </w:p>
        </w:tc>
      </w:tr>
    </w:tbl>
    <w:p w14:paraId="3E2A663C" w14:textId="77777777" w:rsidR="00210E84" w:rsidRPr="00D948C1" w:rsidRDefault="00210E84" w:rsidP="006C0086">
      <w:pPr>
        <w:tabs>
          <w:tab w:val="num" w:pos="1069"/>
        </w:tabs>
        <w:spacing w:line="276" w:lineRule="auto"/>
        <w:ind w:left="709"/>
        <w:jc w:val="both"/>
        <w:rPr>
          <w:sz w:val="22"/>
        </w:rPr>
      </w:pPr>
    </w:p>
    <w:p w14:paraId="7BA0E136" w14:textId="13FCC813" w:rsidR="00D90216" w:rsidRPr="00D948C1" w:rsidRDefault="00210E84" w:rsidP="006C0086">
      <w:pPr>
        <w:pStyle w:val="ListParagraph"/>
        <w:spacing w:line="276" w:lineRule="auto"/>
        <w:rPr>
          <w:szCs w:val="24"/>
        </w:rPr>
      </w:pPr>
      <w:r w:rsidRPr="00D948C1">
        <w:rPr>
          <w:szCs w:val="24"/>
        </w:rPr>
        <w:t>*</w:t>
      </w:r>
      <w:r w:rsidR="000C0FF2" w:rsidRPr="000C0FF2">
        <w:rPr>
          <w:szCs w:val="24"/>
        </w:rPr>
        <w:t xml:space="preserve"> </w:t>
      </w:r>
      <w:r w:rsidR="000C0FF2" w:rsidRPr="00D948C1">
        <w:rPr>
          <w:szCs w:val="24"/>
        </w:rPr>
        <w:t xml:space="preserve">Local Government Pension Scheme </w:t>
      </w:r>
      <w:r w:rsidRPr="00D948C1">
        <w:rPr>
          <w:szCs w:val="24"/>
        </w:rPr>
        <w:t>contributions shown are gross of surplus recovery</w:t>
      </w:r>
      <w:r w:rsidR="00765DED" w:rsidRPr="00D948C1">
        <w:rPr>
          <w:szCs w:val="24"/>
        </w:rPr>
        <w:t xml:space="preserve"> </w:t>
      </w:r>
      <w:r w:rsidRPr="00D948C1">
        <w:rPr>
          <w:szCs w:val="24"/>
        </w:rPr>
        <w:t>referred above.</w:t>
      </w:r>
    </w:p>
    <w:p w14:paraId="65ECD784" w14:textId="7F246381" w:rsidR="00192E75" w:rsidRPr="00D948C1" w:rsidRDefault="00192E75" w:rsidP="006C0086">
      <w:pPr>
        <w:pStyle w:val="ListParagraph"/>
        <w:spacing w:line="276" w:lineRule="auto"/>
        <w:rPr>
          <w:szCs w:val="24"/>
        </w:rPr>
      </w:pPr>
      <w:r w:rsidRPr="00D948C1">
        <w:rPr>
          <w:szCs w:val="24"/>
        </w:rPr>
        <w:t xml:space="preserve">** </w:t>
      </w:r>
      <w:r w:rsidR="004E09C9" w:rsidRPr="00D948C1">
        <w:rPr>
          <w:szCs w:val="24"/>
        </w:rPr>
        <w:t>Firefigh</w:t>
      </w:r>
      <w:r w:rsidR="00CF38F0" w:rsidRPr="00D948C1">
        <w:rPr>
          <w:szCs w:val="24"/>
        </w:rPr>
        <w:t>t</w:t>
      </w:r>
      <w:r w:rsidR="004E09C9" w:rsidRPr="00D948C1">
        <w:rPr>
          <w:szCs w:val="24"/>
        </w:rPr>
        <w:t xml:space="preserve">er contributions are </w:t>
      </w:r>
      <w:r w:rsidR="00D47439" w:rsidRPr="00D948C1">
        <w:rPr>
          <w:szCs w:val="24"/>
        </w:rPr>
        <w:t>part funded from</w:t>
      </w:r>
      <w:r w:rsidR="004E09C9" w:rsidRPr="00D948C1">
        <w:rPr>
          <w:szCs w:val="24"/>
        </w:rPr>
        <w:t xml:space="preserve"> government top up grant.</w:t>
      </w:r>
    </w:p>
    <w:p w14:paraId="3FCAAE8A" w14:textId="59299D08" w:rsidR="001E71F1" w:rsidRPr="00D948C1" w:rsidRDefault="001E71F1" w:rsidP="006C0086">
      <w:pPr>
        <w:spacing w:line="276" w:lineRule="auto"/>
        <w:rPr>
          <w:b/>
          <w:szCs w:val="24"/>
        </w:rPr>
      </w:pPr>
    </w:p>
    <w:p w14:paraId="1A7E73B2" w14:textId="65CB355A" w:rsidR="00D90216" w:rsidRPr="00D948C1" w:rsidRDefault="00D90216" w:rsidP="006C0086">
      <w:pPr>
        <w:spacing w:line="276" w:lineRule="auto"/>
        <w:ind w:left="709"/>
        <w:rPr>
          <w:b/>
          <w:szCs w:val="24"/>
        </w:rPr>
      </w:pPr>
      <w:r w:rsidRPr="00D948C1">
        <w:rPr>
          <w:b/>
          <w:szCs w:val="24"/>
        </w:rPr>
        <w:t>Basis for Estimating Assets and Liabilities</w:t>
      </w:r>
    </w:p>
    <w:p w14:paraId="002924E5" w14:textId="77777777" w:rsidR="00D90216" w:rsidRPr="00D948C1" w:rsidRDefault="00D90216" w:rsidP="006C0086">
      <w:pPr>
        <w:spacing w:line="276" w:lineRule="auto"/>
        <w:ind w:left="709"/>
        <w:rPr>
          <w:szCs w:val="24"/>
        </w:rPr>
      </w:pPr>
    </w:p>
    <w:p w14:paraId="457925A1" w14:textId="289BCF56" w:rsidR="00B56986" w:rsidRPr="00D948C1" w:rsidRDefault="00D90216" w:rsidP="006C0086">
      <w:pPr>
        <w:spacing w:line="276" w:lineRule="auto"/>
        <w:ind w:left="709"/>
        <w:rPr>
          <w:szCs w:val="24"/>
        </w:rPr>
      </w:pPr>
      <w:r w:rsidRPr="00D948C1">
        <w:rPr>
          <w:szCs w:val="24"/>
        </w:rPr>
        <w:t>Liabilities have been assessed on an actuarial basis using the projected unit credit method, an estimate of the pensions that will be payable in future years dependent on assumptions about mortality rates, salary levels etc.</w:t>
      </w:r>
    </w:p>
    <w:p w14:paraId="53A5736C" w14:textId="77777777" w:rsidR="00B56986" w:rsidRPr="00D948C1" w:rsidRDefault="00B56986" w:rsidP="006C0086">
      <w:pPr>
        <w:spacing w:line="276" w:lineRule="auto"/>
        <w:ind w:left="709"/>
        <w:rPr>
          <w:szCs w:val="24"/>
        </w:rPr>
      </w:pPr>
    </w:p>
    <w:p w14:paraId="3226BD0F" w14:textId="4DF24688" w:rsidR="002E4CBA" w:rsidRPr="00D948C1" w:rsidRDefault="00B56986" w:rsidP="006C0086">
      <w:pPr>
        <w:spacing w:line="276" w:lineRule="auto"/>
        <w:ind w:left="709"/>
        <w:rPr>
          <w:szCs w:val="24"/>
        </w:rPr>
      </w:pPr>
      <w:r w:rsidRPr="00D948C1">
        <w:rPr>
          <w:szCs w:val="24"/>
        </w:rPr>
        <w:t xml:space="preserve">The Firefighters’ Scheme has been assessed by GAD (the Government Actuarial Department), an independent firm of actuaries. Estimates for the Firefighters pension scheme </w:t>
      </w:r>
      <w:proofErr w:type="gramStart"/>
      <w:r w:rsidRPr="00D948C1">
        <w:rPr>
          <w:szCs w:val="24"/>
        </w:rPr>
        <w:t>are</w:t>
      </w:r>
      <w:proofErr w:type="gramEnd"/>
      <w:r w:rsidRPr="00D948C1">
        <w:rPr>
          <w:szCs w:val="24"/>
        </w:rPr>
        <w:t xml:space="preserve"> based on a ‘roll forward approach’ which updates the last full valuation on 31 March </w:t>
      </w:r>
      <w:r w:rsidR="00C34B46" w:rsidRPr="00D948C1">
        <w:rPr>
          <w:szCs w:val="24"/>
        </w:rPr>
        <w:t>202</w:t>
      </w:r>
      <w:r w:rsidR="006817EB" w:rsidRPr="00D948C1">
        <w:rPr>
          <w:szCs w:val="24"/>
        </w:rPr>
        <w:t>3</w:t>
      </w:r>
      <w:r w:rsidRPr="00D948C1">
        <w:rPr>
          <w:szCs w:val="24"/>
        </w:rPr>
        <w:t xml:space="preserve">, taking </w:t>
      </w:r>
      <w:r w:rsidRPr="00D948C1">
        <w:rPr>
          <w:szCs w:val="24"/>
        </w:rPr>
        <w:lastRenderedPageBreak/>
        <w:t>account of any significant changes since this. T</w:t>
      </w:r>
      <w:r w:rsidR="00D90216" w:rsidRPr="00D948C1">
        <w:rPr>
          <w:szCs w:val="24"/>
        </w:rPr>
        <w:t>he Local Government Fund liabilities have been assessed by Mercer Resource Consulting L</w:t>
      </w:r>
      <w:r w:rsidR="002B520D" w:rsidRPr="00D948C1">
        <w:rPr>
          <w:szCs w:val="24"/>
        </w:rPr>
        <w:t>imi</w:t>
      </w:r>
      <w:r w:rsidR="00D90216" w:rsidRPr="00D948C1">
        <w:rPr>
          <w:szCs w:val="24"/>
        </w:rPr>
        <w:t>t</w:t>
      </w:r>
      <w:r w:rsidR="002B520D" w:rsidRPr="00D948C1">
        <w:rPr>
          <w:szCs w:val="24"/>
        </w:rPr>
        <w:t>e</w:t>
      </w:r>
      <w:r w:rsidR="00D90216" w:rsidRPr="00D948C1">
        <w:rPr>
          <w:szCs w:val="24"/>
        </w:rPr>
        <w:t xml:space="preserve">d, an independent firm of actuaries. </w:t>
      </w:r>
      <w:r w:rsidR="00830971" w:rsidRPr="00D948C1">
        <w:rPr>
          <w:szCs w:val="24"/>
        </w:rPr>
        <w:t>T</w:t>
      </w:r>
      <w:r w:rsidR="00630EE2" w:rsidRPr="00D948C1">
        <w:rPr>
          <w:szCs w:val="24"/>
        </w:rPr>
        <w:t xml:space="preserve">he last </w:t>
      </w:r>
      <w:r w:rsidR="009B6E08" w:rsidRPr="00D948C1">
        <w:rPr>
          <w:szCs w:val="24"/>
        </w:rPr>
        <w:t xml:space="preserve">full valuation </w:t>
      </w:r>
      <w:r w:rsidR="00830971" w:rsidRPr="00D948C1">
        <w:rPr>
          <w:szCs w:val="24"/>
        </w:rPr>
        <w:t xml:space="preserve">was </w:t>
      </w:r>
      <w:r w:rsidR="009B6E08" w:rsidRPr="00D948C1">
        <w:rPr>
          <w:szCs w:val="24"/>
        </w:rPr>
        <w:t xml:space="preserve">as </w:t>
      </w:r>
      <w:proofErr w:type="gramStart"/>
      <w:r w:rsidR="009B6E08" w:rsidRPr="00D948C1">
        <w:rPr>
          <w:szCs w:val="24"/>
        </w:rPr>
        <w:t>at</w:t>
      </w:r>
      <w:proofErr w:type="gramEnd"/>
      <w:r w:rsidR="009B6E08" w:rsidRPr="00D948C1">
        <w:rPr>
          <w:szCs w:val="24"/>
        </w:rPr>
        <w:t xml:space="preserve"> 31 March </w:t>
      </w:r>
      <w:r w:rsidR="00DD380F" w:rsidRPr="00D948C1">
        <w:rPr>
          <w:szCs w:val="24"/>
        </w:rPr>
        <w:t>20</w:t>
      </w:r>
      <w:r w:rsidR="00830971" w:rsidRPr="00D948C1">
        <w:rPr>
          <w:szCs w:val="24"/>
        </w:rPr>
        <w:t>22</w:t>
      </w:r>
      <w:r w:rsidR="00630EE2" w:rsidRPr="00D948C1">
        <w:rPr>
          <w:szCs w:val="24"/>
        </w:rPr>
        <w:t>.</w:t>
      </w:r>
    </w:p>
    <w:p w14:paraId="17E94855" w14:textId="77777777" w:rsidR="007F5EEE" w:rsidRPr="00D948C1" w:rsidRDefault="007F5EEE" w:rsidP="006C0086">
      <w:pPr>
        <w:spacing w:line="276" w:lineRule="auto"/>
        <w:rPr>
          <w:szCs w:val="24"/>
        </w:rPr>
      </w:pPr>
    </w:p>
    <w:p w14:paraId="132FC284" w14:textId="7B200EEB" w:rsidR="00D90216" w:rsidRPr="00D948C1" w:rsidRDefault="00D90216" w:rsidP="006C0086">
      <w:pPr>
        <w:spacing w:line="276" w:lineRule="auto"/>
        <w:ind w:firstLine="709"/>
        <w:rPr>
          <w:szCs w:val="24"/>
        </w:rPr>
      </w:pPr>
      <w:r w:rsidRPr="00D948C1">
        <w:rPr>
          <w:szCs w:val="24"/>
        </w:rPr>
        <w:t>The principal assumptions used by the actuary have been:</w:t>
      </w:r>
    </w:p>
    <w:p w14:paraId="2A46022B" w14:textId="77777777" w:rsidR="00D90216" w:rsidRPr="00D948C1" w:rsidRDefault="00D90216" w:rsidP="006C0086">
      <w:pPr>
        <w:spacing w:line="276" w:lineRule="auto"/>
        <w:ind w:left="709"/>
        <w:jc w:val="both"/>
        <w:rPr>
          <w:sz w:val="16"/>
          <w:szCs w:val="16"/>
        </w:rPr>
      </w:pPr>
    </w:p>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831B30" w:rsidRPr="00D948C1" w14:paraId="33096203" w14:textId="77777777" w:rsidTr="00611673">
        <w:trPr>
          <w:tblHeader/>
        </w:trPr>
        <w:tc>
          <w:tcPr>
            <w:tcW w:w="3260" w:type="dxa"/>
            <w:shd w:val="clear" w:color="auto" w:fill="BD2716"/>
          </w:tcPr>
          <w:p w14:paraId="5ACDF8A5" w14:textId="77777777" w:rsidR="00831B30" w:rsidRPr="00D948C1" w:rsidRDefault="00831B30" w:rsidP="006C0086">
            <w:pPr>
              <w:spacing w:line="276" w:lineRule="auto"/>
              <w:jc w:val="both"/>
              <w:rPr>
                <w:color w:val="FFFFFF" w:themeColor="background1"/>
                <w:szCs w:val="24"/>
              </w:rPr>
            </w:pPr>
          </w:p>
        </w:tc>
        <w:tc>
          <w:tcPr>
            <w:tcW w:w="2160" w:type="dxa"/>
            <w:gridSpan w:val="2"/>
            <w:shd w:val="clear" w:color="auto" w:fill="BD2716"/>
            <w:vAlign w:val="center"/>
          </w:tcPr>
          <w:p w14:paraId="2AC8C7A8" w14:textId="77777777" w:rsidR="00831B30" w:rsidRPr="00D948C1" w:rsidRDefault="00831B30" w:rsidP="006C0086">
            <w:pPr>
              <w:spacing w:line="276" w:lineRule="auto"/>
              <w:jc w:val="center"/>
              <w:rPr>
                <w:color w:val="FFFFFF" w:themeColor="background1"/>
                <w:szCs w:val="24"/>
              </w:rPr>
            </w:pPr>
            <w:r w:rsidRPr="00D948C1">
              <w:rPr>
                <w:color w:val="FFFFFF" w:themeColor="background1"/>
                <w:szCs w:val="24"/>
              </w:rPr>
              <w:t>NWFC Local Government Pension Scheme</w:t>
            </w:r>
          </w:p>
        </w:tc>
        <w:tc>
          <w:tcPr>
            <w:tcW w:w="2127" w:type="dxa"/>
            <w:gridSpan w:val="2"/>
            <w:shd w:val="clear" w:color="auto" w:fill="BD2716"/>
            <w:vAlign w:val="center"/>
          </w:tcPr>
          <w:p w14:paraId="73A03937" w14:textId="77777777" w:rsidR="00831B30" w:rsidRPr="00D948C1" w:rsidRDefault="00831B30" w:rsidP="006C0086">
            <w:pPr>
              <w:spacing w:line="276" w:lineRule="auto"/>
              <w:jc w:val="center"/>
              <w:rPr>
                <w:color w:val="FFFFFF" w:themeColor="background1"/>
                <w:szCs w:val="24"/>
              </w:rPr>
            </w:pPr>
            <w:r w:rsidRPr="00D948C1">
              <w:rPr>
                <w:color w:val="FFFFFF" w:themeColor="background1"/>
                <w:szCs w:val="24"/>
              </w:rPr>
              <w:t>LCFA Local Government Pension Scheme</w:t>
            </w:r>
          </w:p>
        </w:tc>
        <w:tc>
          <w:tcPr>
            <w:tcW w:w="2126" w:type="dxa"/>
            <w:gridSpan w:val="2"/>
            <w:shd w:val="clear" w:color="auto" w:fill="BD2716"/>
            <w:vAlign w:val="center"/>
          </w:tcPr>
          <w:p w14:paraId="64BFF43B" w14:textId="77777777" w:rsidR="00831B30" w:rsidRPr="00D948C1" w:rsidRDefault="00831B30" w:rsidP="006C0086">
            <w:pPr>
              <w:spacing w:line="276" w:lineRule="auto"/>
              <w:jc w:val="center"/>
              <w:rPr>
                <w:color w:val="FFFFFF" w:themeColor="background1"/>
                <w:szCs w:val="24"/>
              </w:rPr>
            </w:pPr>
            <w:r w:rsidRPr="00D948C1">
              <w:rPr>
                <w:color w:val="FFFFFF" w:themeColor="background1"/>
                <w:szCs w:val="24"/>
              </w:rPr>
              <w:t>Uniformed Firefighters’ Pension Scheme</w:t>
            </w:r>
          </w:p>
        </w:tc>
      </w:tr>
      <w:tr w:rsidR="00FF43EE" w:rsidRPr="00D948C1" w14:paraId="33E30F14" w14:textId="77777777" w:rsidTr="00611673">
        <w:trPr>
          <w:tblHeader/>
        </w:trPr>
        <w:tc>
          <w:tcPr>
            <w:tcW w:w="3260" w:type="dxa"/>
            <w:shd w:val="clear" w:color="auto" w:fill="BD2716"/>
            <w:vAlign w:val="bottom"/>
          </w:tcPr>
          <w:p w14:paraId="0A01DA1F" w14:textId="6B548BA0" w:rsidR="00FF43EE" w:rsidRPr="00D948C1" w:rsidRDefault="00FF43EE" w:rsidP="006C0086">
            <w:pPr>
              <w:spacing w:line="276" w:lineRule="auto"/>
              <w:rPr>
                <w:color w:val="FFFFFF" w:themeColor="background1"/>
                <w:szCs w:val="24"/>
              </w:rPr>
            </w:pPr>
          </w:p>
        </w:tc>
        <w:tc>
          <w:tcPr>
            <w:tcW w:w="1134" w:type="dxa"/>
            <w:shd w:val="clear" w:color="auto" w:fill="BD2716"/>
            <w:vAlign w:val="center"/>
          </w:tcPr>
          <w:p w14:paraId="04198040" w14:textId="0F9865A3"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tc>
        <w:tc>
          <w:tcPr>
            <w:tcW w:w="1026" w:type="dxa"/>
            <w:shd w:val="clear" w:color="auto" w:fill="BD2716"/>
            <w:vAlign w:val="center"/>
          </w:tcPr>
          <w:p w14:paraId="6159D870" w14:textId="151DF62D"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tc>
        <w:tc>
          <w:tcPr>
            <w:tcW w:w="1134" w:type="dxa"/>
            <w:shd w:val="clear" w:color="auto" w:fill="BD2716"/>
            <w:vAlign w:val="center"/>
          </w:tcPr>
          <w:p w14:paraId="4ED11B93" w14:textId="616ED73E"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tc>
        <w:tc>
          <w:tcPr>
            <w:tcW w:w="993" w:type="dxa"/>
            <w:shd w:val="clear" w:color="auto" w:fill="BD2716"/>
            <w:vAlign w:val="center"/>
          </w:tcPr>
          <w:p w14:paraId="471BBCE7" w14:textId="7E13ACD8"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tc>
        <w:tc>
          <w:tcPr>
            <w:tcW w:w="992" w:type="dxa"/>
            <w:shd w:val="clear" w:color="auto" w:fill="BD2716"/>
            <w:vAlign w:val="center"/>
          </w:tcPr>
          <w:p w14:paraId="0E2AD658" w14:textId="0CD8D7AF"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2024</w:t>
            </w:r>
          </w:p>
        </w:tc>
        <w:tc>
          <w:tcPr>
            <w:tcW w:w="1134" w:type="dxa"/>
            <w:shd w:val="clear" w:color="auto" w:fill="BD2716"/>
            <w:vAlign w:val="center"/>
          </w:tcPr>
          <w:p w14:paraId="1C6D9B14" w14:textId="5753B5C3" w:rsidR="00FF43EE" w:rsidRPr="00D948C1" w:rsidRDefault="00FF43EE" w:rsidP="006C0086">
            <w:pPr>
              <w:spacing w:line="276" w:lineRule="auto"/>
              <w:jc w:val="right"/>
              <w:rPr>
                <w:color w:val="FFFFFF" w:themeColor="background1"/>
                <w:szCs w:val="24"/>
              </w:rPr>
            </w:pPr>
            <w:r w:rsidRPr="00D948C1">
              <w:rPr>
                <w:color w:val="FFFFFF" w:themeColor="background1"/>
                <w:szCs w:val="24"/>
              </w:rPr>
              <w:t>31 March 2023</w:t>
            </w:r>
          </w:p>
        </w:tc>
      </w:tr>
      <w:tr w:rsidR="001E71F1" w:rsidRPr="00D948C1" w14:paraId="64C0F372" w14:textId="77777777" w:rsidTr="00982FEC">
        <w:tc>
          <w:tcPr>
            <w:tcW w:w="9673" w:type="dxa"/>
            <w:gridSpan w:val="7"/>
            <w:shd w:val="clear" w:color="auto" w:fill="D9D9D9" w:themeFill="background1" w:themeFillShade="D9"/>
            <w:vAlign w:val="bottom"/>
          </w:tcPr>
          <w:p w14:paraId="5D782219" w14:textId="7010FDEE" w:rsidR="001E71F1" w:rsidRPr="00D948C1" w:rsidRDefault="001E71F1" w:rsidP="006C0086">
            <w:pPr>
              <w:spacing w:line="276" w:lineRule="auto"/>
              <w:rPr>
                <w:b/>
                <w:bCs/>
                <w:szCs w:val="24"/>
              </w:rPr>
            </w:pPr>
            <w:r w:rsidRPr="00D948C1">
              <w:rPr>
                <w:b/>
                <w:bCs/>
                <w:szCs w:val="24"/>
              </w:rPr>
              <w:t>Mortality assumptions:</w:t>
            </w:r>
          </w:p>
        </w:tc>
      </w:tr>
      <w:tr w:rsidR="00526A3B" w:rsidRPr="00D948C1" w14:paraId="26ECF4EF" w14:textId="77777777" w:rsidTr="001E71F1">
        <w:tc>
          <w:tcPr>
            <w:tcW w:w="9673" w:type="dxa"/>
            <w:gridSpan w:val="7"/>
          </w:tcPr>
          <w:p w14:paraId="26FF304E" w14:textId="7280375D" w:rsidR="00526A3B" w:rsidRPr="00D948C1" w:rsidRDefault="00526A3B" w:rsidP="006C0086">
            <w:pPr>
              <w:spacing w:line="276" w:lineRule="auto"/>
              <w:rPr>
                <w:snapToGrid w:val="0"/>
                <w:color w:val="000000"/>
                <w:szCs w:val="24"/>
              </w:rPr>
            </w:pPr>
            <w:r w:rsidRPr="00D948C1">
              <w:rPr>
                <w:szCs w:val="24"/>
              </w:rPr>
              <w:t>Longevity at 65 for current pensioners:</w:t>
            </w:r>
          </w:p>
        </w:tc>
      </w:tr>
      <w:tr w:rsidR="00FF43EE" w:rsidRPr="00D948C1" w14:paraId="67CE7FC8" w14:textId="77777777" w:rsidTr="00DD63D7">
        <w:tc>
          <w:tcPr>
            <w:tcW w:w="3260" w:type="dxa"/>
          </w:tcPr>
          <w:p w14:paraId="6B7D2B12" w14:textId="77777777" w:rsidR="00FF43EE" w:rsidRPr="00D948C1" w:rsidRDefault="00FF43EE" w:rsidP="006C0086">
            <w:pPr>
              <w:spacing w:line="276" w:lineRule="auto"/>
              <w:ind w:left="601"/>
              <w:rPr>
                <w:szCs w:val="24"/>
              </w:rPr>
            </w:pPr>
            <w:r w:rsidRPr="00D948C1">
              <w:rPr>
                <w:szCs w:val="24"/>
              </w:rPr>
              <w:t>Men</w:t>
            </w:r>
          </w:p>
        </w:tc>
        <w:tc>
          <w:tcPr>
            <w:tcW w:w="1134" w:type="dxa"/>
            <w:vAlign w:val="center"/>
          </w:tcPr>
          <w:p w14:paraId="3BEA3EDC" w14:textId="2953CE42" w:rsidR="00FF43EE" w:rsidRPr="00D948C1" w:rsidRDefault="005D55BC" w:rsidP="006C0086">
            <w:pPr>
              <w:spacing w:line="276" w:lineRule="auto"/>
              <w:jc w:val="right"/>
              <w:rPr>
                <w:snapToGrid w:val="0"/>
                <w:color w:val="000000"/>
                <w:szCs w:val="24"/>
              </w:rPr>
            </w:pPr>
            <w:r w:rsidRPr="00D948C1">
              <w:rPr>
                <w:snapToGrid w:val="0"/>
                <w:color w:val="000000"/>
                <w:szCs w:val="24"/>
              </w:rPr>
              <w:t>19.8</w:t>
            </w:r>
          </w:p>
        </w:tc>
        <w:tc>
          <w:tcPr>
            <w:tcW w:w="1026" w:type="dxa"/>
            <w:vAlign w:val="center"/>
          </w:tcPr>
          <w:p w14:paraId="247A585D" w14:textId="642E28DD"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c>
          <w:tcPr>
            <w:tcW w:w="1134" w:type="dxa"/>
            <w:vAlign w:val="center"/>
          </w:tcPr>
          <w:p w14:paraId="049CA47B" w14:textId="34DDA51D" w:rsidR="00FF43EE" w:rsidRPr="00D948C1" w:rsidRDefault="004137B7" w:rsidP="006C0086">
            <w:pPr>
              <w:spacing w:line="276" w:lineRule="auto"/>
              <w:jc w:val="right"/>
              <w:rPr>
                <w:snapToGrid w:val="0"/>
                <w:color w:val="000000"/>
                <w:szCs w:val="24"/>
              </w:rPr>
            </w:pPr>
            <w:r w:rsidRPr="00D948C1">
              <w:rPr>
                <w:snapToGrid w:val="0"/>
                <w:color w:val="000000"/>
                <w:szCs w:val="24"/>
              </w:rPr>
              <w:t>21.1</w:t>
            </w:r>
          </w:p>
        </w:tc>
        <w:tc>
          <w:tcPr>
            <w:tcW w:w="993" w:type="dxa"/>
            <w:vAlign w:val="center"/>
          </w:tcPr>
          <w:p w14:paraId="085EBB1C" w14:textId="7C8D46CF" w:rsidR="00FF43EE" w:rsidRPr="00D948C1" w:rsidRDefault="00FF43EE" w:rsidP="006C0086">
            <w:pPr>
              <w:spacing w:line="276" w:lineRule="auto"/>
              <w:jc w:val="right"/>
              <w:rPr>
                <w:snapToGrid w:val="0"/>
                <w:color w:val="000000"/>
                <w:szCs w:val="24"/>
              </w:rPr>
            </w:pPr>
            <w:r w:rsidRPr="00D948C1">
              <w:rPr>
                <w:snapToGrid w:val="0"/>
                <w:color w:val="000000"/>
                <w:szCs w:val="24"/>
              </w:rPr>
              <w:t>21.5</w:t>
            </w:r>
          </w:p>
        </w:tc>
        <w:tc>
          <w:tcPr>
            <w:tcW w:w="992" w:type="dxa"/>
            <w:vAlign w:val="center"/>
          </w:tcPr>
          <w:p w14:paraId="353CCC08" w14:textId="11FC2E9B" w:rsidR="00FF43EE" w:rsidRPr="00D948C1" w:rsidRDefault="00FF43EE" w:rsidP="006C0086">
            <w:pPr>
              <w:spacing w:line="276" w:lineRule="auto"/>
              <w:jc w:val="right"/>
              <w:rPr>
                <w:snapToGrid w:val="0"/>
                <w:color w:val="000000"/>
                <w:szCs w:val="24"/>
              </w:rPr>
            </w:pPr>
            <w:r w:rsidRPr="00D948C1">
              <w:rPr>
                <w:snapToGrid w:val="0"/>
                <w:color w:val="000000"/>
                <w:szCs w:val="24"/>
              </w:rPr>
              <w:t>21.</w:t>
            </w:r>
            <w:r w:rsidR="00D00CE4" w:rsidRPr="00D948C1">
              <w:rPr>
                <w:snapToGrid w:val="0"/>
                <w:color w:val="000000"/>
                <w:szCs w:val="24"/>
              </w:rPr>
              <w:t>3</w:t>
            </w:r>
          </w:p>
        </w:tc>
        <w:tc>
          <w:tcPr>
            <w:tcW w:w="1134" w:type="dxa"/>
            <w:vAlign w:val="center"/>
          </w:tcPr>
          <w:p w14:paraId="786C24D9" w14:textId="0C52DFDD"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r>
      <w:tr w:rsidR="00FF43EE" w:rsidRPr="00D948C1" w14:paraId="67DAF8E0" w14:textId="77777777" w:rsidTr="00DD63D7">
        <w:tc>
          <w:tcPr>
            <w:tcW w:w="3260" w:type="dxa"/>
          </w:tcPr>
          <w:p w14:paraId="78090BAC" w14:textId="77777777" w:rsidR="00FF43EE" w:rsidRPr="00D948C1" w:rsidRDefault="00FF43EE" w:rsidP="006C0086">
            <w:pPr>
              <w:spacing w:line="276" w:lineRule="auto"/>
              <w:ind w:left="601"/>
              <w:rPr>
                <w:szCs w:val="24"/>
              </w:rPr>
            </w:pPr>
            <w:r w:rsidRPr="00D948C1">
              <w:rPr>
                <w:szCs w:val="24"/>
              </w:rPr>
              <w:t>Women</w:t>
            </w:r>
          </w:p>
        </w:tc>
        <w:tc>
          <w:tcPr>
            <w:tcW w:w="1134" w:type="dxa"/>
            <w:vAlign w:val="center"/>
          </w:tcPr>
          <w:p w14:paraId="0E11B488" w14:textId="134ADA28" w:rsidR="00FF43EE" w:rsidRPr="00D948C1" w:rsidRDefault="005D55BC" w:rsidP="006C0086">
            <w:pPr>
              <w:spacing w:line="276" w:lineRule="auto"/>
              <w:jc w:val="right"/>
              <w:rPr>
                <w:snapToGrid w:val="0"/>
                <w:color w:val="000000"/>
                <w:szCs w:val="24"/>
              </w:rPr>
            </w:pPr>
            <w:r w:rsidRPr="00D948C1">
              <w:rPr>
                <w:snapToGrid w:val="0"/>
                <w:color w:val="000000"/>
                <w:szCs w:val="24"/>
              </w:rPr>
              <w:t>23.7</w:t>
            </w:r>
          </w:p>
        </w:tc>
        <w:tc>
          <w:tcPr>
            <w:tcW w:w="1026" w:type="dxa"/>
            <w:vAlign w:val="center"/>
          </w:tcPr>
          <w:p w14:paraId="58478060" w14:textId="635CA625" w:rsidR="00FF43EE" w:rsidRPr="00D948C1" w:rsidRDefault="00FF43EE" w:rsidP="006C0086">
            <w:pPr>
              <w:spacing w:line="276" w:lineRule="auto"/>
              <w:jc w:val="right"/>
              <w:rPr>
                <w:snapToGrid w:val="0"/>
                <w:color w:val="000000"/>
                <w:szCs w:val="24"/>
              </w:rPr>
            </w:pPr>
            <w:r w:rsidRPr="00D948C1">
              <w:rPr>
                <w:snapToGrid w:val="0"/>
                <w:color w:val="000000"/>
                <w:szCs w:val="24"/>
              </w:rPr>
              <w:t>23.8</w:t>
            </w:r>
          </w:p>
        </w:tc>
        <w:tc>
          <w:tcPr>
            <w:tcW w:w="1134" w:type="dxa"/>
            <w:vAlign w:val="center"/>
          </w:tcPr>
          <w:p w14:paraId="4A14BAD7" w14:textId="3E83E134" w:rsidR="00FF43EE" w:rsidRPr="00D948C1" w:rsidRDefault="00FF43EE" w:rsidP="006C0086">
            <w:pPr>
              <w:spacing w:line="276" w:lineRule="auto"/>
              <w:jc w:val="right"/>
              <w:rPr>
                <w:snapToGrid w:val="0"/>
                <w:color w:val="000000"/>
                <w:szCs w:val="24"/>
              </w:rPr>
            </w:pPr>
            <w:r w:rsidRPr="00D948C1">
              <w:rPr>
                <w:snapToGrid w:val="0"/>
                <w:color w:val="000000"/>
                <w:szCs w:val="24"/>
              </w:rPr>
              <w:t>23.</w:t>
            </w:r>
            <w:r w:rsidR="004137B7" w:rsidRPr="00D948C1">
              <w:rPr>
                <w:snapToGrid w:val="0"/>
                <w:color w:val="000000"/>
                <w:szCs w:val="24"/>
              </w:rPr>
              <w:t>5</w:t>
            </w:r>
          </w:p>
        </w:tc>
        <w:tc>
          <w:tcPr>
            <w:tcW w:w="993" w:type="dxa"/>
            <w:vAlign w:val="center"/>
          </w:tcPr>
          <w:p w14:paraId="1850AD63" w14:textId="536F53CE" w:rsidR="00FF43EE" w:rsidRPr="00D948C1" w:rsidRDefault="00FF43EE" w:rsidP="006C0086">
            <w:pPr>
              <w:spacing w:line="276" w:lineRule="auto"/>
              <w:jc w:val="right"/>
              <w:rPr>
                <w:snapToGrid w:val="0"/>
                <w:color w:val="000000"/>
                <w:szCs w:val="24"/>
              </w:rPr>
            </w:pPr>
            <w:r w:rsidRPr="00D948C1">
              <w:rPr>
                <w:snapToGrid w:val="0"/>
                <w:color w:val="000000"/>
                <w:szCs w:val="24"/>
              </w:rPr>
              <w:t>23.8</w:t>
            </w:r>
          </w:p>
        </w:tc>
        <w:tc>
          <w:tcPr>
            <w:tcW w:w="992" w:type="dxa"/>
            <w:vAlign w:val="center"/>
          </w:tcPr>
          <w:p w14:paraId="6A187C4A" w14:textId="6EC32081" w:rsidR="00FF43EE" w:rsidRPr="00D948C1" w:rsidRDefault="00FF43EE" w:rsidP="006C0086">
            <w:pPr>
              <w:spacing w:line="276" w:lineRule="auto"/>
              <w:jc w:val="right"/>
              <w:rPr>
                <w:snapToGrid w:val="0"/>
                <w:color w:val="000000"/>
                <w:szCs w:val="24"/>
              </w:rPr>
            </w:pPr>
            <w:r w:rsidRPr="00D948C1">
              <w:rPr>
                <w:snapToGrid w:val="0"/>
                <w:color w:val="000000"/>
                <w:szCs w:val="24"/>
              </w:rPr>
              <w:t>21.</w:t>
            </w:r>
            <w:r w:rsidR="00D00CE4" w:rsidRPr="00D948C1">
              <w:rPr>
                <w:snapToGrid w:val="0"/>
                <w:color w:val="000000"/>
                <w:szCs w:val="24"/>
              </w:rPr>
              <w:t>3</w:t>
            </w:r>
          </w:p>
        </w:tc>
        <w:tc>
          <w:tcPr>
            <w:tcW w:w="1134" w:type="dxa"/>
            <w:vAlign w:val="center"/>
          </w:tcPr>
          <w:p w14:paraId="48650E1B" w14:textId="02474883"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r>
    </w:tbl>
    <w:p w14:paraId="24FCB1F6" w14:textId="77777777" w:rsidR="001E71F1" w:rsidRPr="00D948C1" w:rsidRDefault="001E71F1" w:rsidP="006C0086">
      <w:pPr>
        <w:spacing w:line="276" w:lineRule="auto"/>
      </w:pPr>
    </w:p>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526A3B" w:rsidRPr="00D948C1" w14:paraId="145FE162" w14:textId="77777777" w:rsidTr="00982FEC">
        <w:tc>
          <w:tcPr>
            <w:tcW w:w="9673" w:type="dxa"/>
            <w:gridSpan w:val="7"/>
            <w:shd w:val="clear" w:color="auto" w:fill="D9D9D9" w:themeFill="background1" w:themeFillShade="D9"/>
          </w:tcPr>
          <w:p w14:paraId="024B0DDF" w14:textId="05A4923D" w:rsidR="00526A3B" w:rsidRPr="00D948C1" w:rsidRDefault="00526A3B" w:rsidP="006C0086">
            <w:pPr>
              <w:spacing w:line="276" w:lineRule="auto"/>
              <w:rPr>
                <w:b/>
                <w:bCs/>
                <w:snapToGrid w:val="0"/>
                <w:color w:val="000000"/>
                <w:szCs w:val="24"/>
              </w:rPr>
            </w:pPr>
            <w:r w:rsidRPr="00D948C1">
              <w:rPr>
                <w:b/>
                <w:bCs/>
                <w:szCs w:val="24"/>
              </w:rPr>
              <w:t>Longevity at 65 for future pensioners:</w:t>
            </w:r>
          </w:p>
        </w:tc>
      </w:tr>
      <w:tr w:rsidR="00FF43EE" w:rsidRPr="00D948C1" w14:paraId="5360AEC5" w14:textId="77777777" w:rsidTr="00DD63D7">
        <w:tc>
          <w:tcPr>
            <w:tcW w:w="3260" w:type="dxa"/>
          </w:tcPr>
          <w:p w14:paraId="3D561704" w14:textId="77777777" w:rsidR="00FF43EE" w:rsidRPr="00D948C1" w:rsidRDefault="00FF43EE" w:rsidP="006C0086">
            <w:pPr>
              <w:spacing w:line="276" w:lineRule="auto"/>
              <w:ind w:left="601"/>
              <w:rPr>
                <w:szCs w:val="24"/>
              </w:rPr>
            </w:pPr>
            <w:r w:rsidRPr="00D948C1">
              <w:rPr>
                <w:szCs w:val="24"/>
              </w:rPr>
              <w:t>Men</w:t>
            </w:r>
          </w:p>
        </w:tc>
        <w:tc>
          <w:tcPr>
            <w:tcW w:w="1134" w:type="dxa"/>
            <w:vAlign w:val="center"/>
          </w:tcPr>
          <w:p w14:paraId="2ABDB797" w14:textId="46D288B3" w:rsidR="00FF43EE" w:rsidRPr="00D948C1" w:rsidRDefault="00FF43EE" w:rsidP="006C0086">
            <w:pPr>
              <w:spacing w:line="276" w:lineRule="auto"/>
              <w:jc w:val="right"/>
              <w:rPr>
                <w:snapToGrid w:val="0"/>
                <w:color w:val="000000"/>
                <w:szCs w:val="24"/>
              </w:rPr>
            </w:pPr>
            <w:r w:rsidRPr="00D948C1">
              <w:rPr>
                <w:snapToGrid w:val="0"/>
                <w:color w:val="000000"/>
                <w:szCs w:val="24"/>
              </w:rPr>
              <w:t>21.</w:t>
            </w:r>
            <w:r w:rsidR="005D55BC" w:rsidRPr="00D948C1">
              <w:rPr>
                <w:snapToGrid w:val="0"/>
                <w:color w:val="000000"/>
                <w:szCs w:val="24"/>
              </w:rPr>
              <w:t>4</w:t>
            </w:r>
          </w:p>
        </w:tc>
        <w:tc>
          <w:tcPr>
            <w:tcW w:w="1026" w:type="dxa"/>
            <w:vAlign w:val="center"/>
          </w:tcPr>
          <w:p w14:paraId="4B38EC1A" w14:textId="1C4D5430"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c>
          <w:tcPr>
            <w:tcW w:w="1134" w:type="dxa"/>
            <w:vAlign w:val="center"/>
          </w:tcPr>
          <w:p w14:paraId="61C68FE3" w14:textId="0567BE22" w:rsidR="00FF43EE" w:rsidRPr="00D948C1" w:rsidRDefault="00FF43EE" w:rsidP="006C0086">
            <w:pPr>
              <w:spacing w:line="276" w:lineRule="auto"/>
              <w:jc w:val="right"/>
              <w:rPr>
                <w:snapToGrid w:val="0"/>
                <w:color w:val="000000"/>
                <w:szCs w:val="24"/>
              </w:rPr>
            </w:pPr>
            <w:r w:rsidRPr="00D948C1">
              <w:rPr>
                <w:snapToGrid w:val="0"/>
                <w:color w:val="000000"/>
                <w:szCs w:val="24"/>
              </w:rPr>
              <w:t>2</w:t>
            </w:r>
            <w:r w:rsidR="004137B7" w:rsidRPr="00D948C1">
              <w:rPr>
                <w:snapToGrid w:val="0"/>
                <w:color w:val="000000"/>
                <w:szCs w:val="24"/>
              </w:rPr>
              <w:t>2.4</w:t>
            </w:r>
          </w:p>
        </w:tc>
        <w:tc>
          <w:tcPr>
            <w:tcW w:w="993" w:type="dxa"/>
            <w:vAlign w:val="center"/>
          </w:tcPr>
          <w:p w14:paraId="198AEDA1" w14:textId="576EDD63" w:rsidR="00FF43EE" w:rsidRPr="00D948C1" w:rsidRDefault="00FF43EE" w:rsidP="006C0086">
            <w:pPr>
              <w:spacing w:line="276" w:lineRule="auto"/>
              <w:jc w:val="right"/>
              <w:rPr>
                <w:snapToGrid w:val="0"/>
                <w:color w:val="000000"/>
                <w:szCs w:val="24"/>
              </w:rPr>
            </w:pPr>
            <w:r w:rsidRPr="00D948C1">
              <w:rPr>
                <w:snapToGrid w:val="0"/>
                <w:color w:val="000000"/>
                <w:szCs w:val="24"/>
              </w:rPr>
              <w:t>22.8</w:t>
            </w:r>
          </w:p>
        </w:tc>
        <w:tc>
          <w:tcPr>
            <w:tcW w:w="992" w:type="dxa"/>
            <w:vAlign w:val="center"/>
          </w:tcPr>
          <w:p w14:paraId="01CAFE20" w14:textId="47CB441A" w:rsidR="00FF43EE" w:rsidRPr="00D948C1" w:rsidRDefault="00FF43EE" w:rsidP="006C0086">
            <w:pPr>
              <w:spacing w:line="276" w:lineRule="auto"/>
              <w:jc w:val="right"/>
              <w:rPr>
                <w:snapToGrid w:val="0"/>
                <w:color w:val="000000"/>
                <w:szCs w:val="24"/>
              </w:rPr>
            </w:pPr>
            <w:r w:rsidRPr="00D948C1">
              <w:rPr>
                <w:snapToGrid w:val="0"/>
                <w:color w:val="000000"/>
                <w:szCs w:val="24"/>
              </w:rPr>
              <w:t>2</w:t>
            </w:r>
            <w:r w:rsidR="00010C11" w:rsidRPr="00D948C1">
              <w:rPr>
                <w:snapToGrid w:val="0"/>
                <w:color w:val="000000"/>
                <w:szCs w:val="24"/>
              </w:rPr>
              <w:t>2</w:t>
            </w:r>
            <w:r w:rsidRPr="00D948C1">
              <w:rPr>
                <w:snapToGrid w:val="0"/>
                <w:color w:val="000000"/>
                <w:szCs w:val="24"/>
              </w:rPr>
              <w:t>.</w:t>
            </w:r>
            <w:r w:rsidR="00D00CE4" w:rsidRPr="00D948C1">
              <w:rPr>
                <w:snapToGrid w:val="0"/>
                <w:color w:val="000000"/>
                <w:szCs w:val="24"/>
              </w:rPr>
              <w:t>9</w:t>
            </w:r>
          </w:p>
        </w:tc>
        <w:tc>
          <w:tcPr>
            <w:tcW w:w="1134" w:type="dxa"/>
            <w:vAlign w:val="center"/>
          </w:tcPr>
          <w:p w14:paraId="6383D3C9" w14:textId="0EE3B696"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r>
      <w:tr w:rsidR="00FF43EE" w:rsidRPr="00D948C1" w14:paraId="1D719DAF" w14:textId="77777777" w:rsidTr="00DD63D7">
        <w:tc>
          <w:tcPr>
            <w:tcW w:w="3260" w:type="dxa"/>
          </w:tcPr>
          <w:p w14:paraId="3F1DA9DC" w14:textId="77777777" w:rsidR="00FF43EE" w:rsidRPr="00D948C1" w:rsidRDefault="00FF43EE" w:rsidP="006C0086">
            <w:pPr>
              <w:spacing w:line="276" w:lineRule="auto"/>
              <w:ind w:left="601"/>
              <w:rPr>
                <w:szCs w:val="24"/>
              </w:rPr>
            </w:pPr>
            <w:r w:rsidRPr="00D948C1">
              <w:rPr>
                <w:szCs w:val="24"/>
              </w:rPr>
              <w:t>Women</w:t>
            </w:r>
          </w:p>
        </w:tc>
        <w:tc>
          <w:tcPr>
            <w:tcW w:w="1134" w:type="dxa"/>
            <w:vAlign w:val="center"/>
          </w:tcPr>
          <w:p w14:paraId="700A4525" w14:textId="5D6FBED8" w:rsidR="00FF43EE" w:rsidRPr="00D948C1" w:rsidRDefault="00FF43EE" w:rsidP="006C0086">
            <w:pPr>
              <w:spacing w:line="276" w:lineRule="auto"/>
              <w:jc w:val="right"/>
              <w:rPr>
                <w:snapToGrid w:val="0"/>
                <w:color w:val="000000"/>
                <w:szCs w:val="24"/>
              </w:rPr>
            </w:pPr>
            <w:r w:rsidRPr="00D948C1">
              <w:rPr>
                <w:snapToGrid w:val="0"/>
                <w:color w:val="000000"/>
                <w:szCs w:val="24"/>
              </w:rPr>
              <w:t>25.</w:t>
            </w:r>
            <w:r w:rsidR="005D55BC" w:rsidRPr="00D948C1">
              <w:rPr>
                <w:snapToGrid w:val="0"/>
                <w:color w:val="000000"/>
                <w:szCs w:val="24"/>
              </w:rPr>
              <w:t>3</w:t>
            </w:r>
          </w:p>
        </w:tc>
        <w:tc>
          <w:tcPr>
            <w:tcW w:w="1026" w:type="dxa"/>
            <w:vAlign w:val="center"/>
          </w:tcPr>
          <w:p w14:paraId="550B8FAE" w14:textId="656C1798" w:rsidR="00FF43EE" w:rsidRPr="00D948C1" w:rsidRDefault="00FF43EE" w:rsidP="006C0086">
            <w:pPr>
              <w:spacing w:line="276" w:lineRule="auto"/>
              <w:jc w:val="right"/>
              <w:rPr>
                <w:snapToGrid w:val="0"/>
                <w:color w:val="000000"/>
                <w:szCs w:val="24"/>
              </w:rPr>
            </w:pPr>
            <w:r w:rsidRPr="00D948C1">
              <w:rPr>
                <w:snapToGrid w:val="0"/>
                <w:color w:val="000000"/>
                <w:szCs w:val="24"/>
              </w:rPr>
              <w:t>25.5</w:t>
            </w:r>
          </w:p>
        </w:tc>
        <w:tc>
          <w:tcPr>
            <w:tcW w:w="1134" w:type="dxa"/>
            <w:vAlign w:val="center"/>
          </w:tcPr>
          <w:p w14:paraId="3793EE23" w14:textId="2CC48096" w:rsidR="00FF43EE" w:rsidRPr="00D948C1" w:rsidRDefault="00FF43EE" w:rsidP="006C0086">
            <w:pPr>
              <w:spacing w:line="276" w:lineRule="auto"/>
              <w:jc w:val="right"/>
              <w:rPr>
                <w:snapToGrid w:val="0"/>
                <w:color w:val="000000"/>
                <w:szCs w:val="24"/>
              </w:rPr>
            </w:pPr>
            <w:r w:rsidRPr="00D948C1">
              <w:rPr>
                <w:snapToGrid w:val="0"/>
                <w:color w:val="000000"/>
                <w:szCs w:val="24"/>
              </w:rPr>
              <w:t>25.</w:t>
            </w:r>
            <w:r w:rsidR="004137B7" w:rsidRPr="00D948C1">
              <w:rPr>
                <w:snapToGrid w:val="0"/>
                <w:color w:val="000000"/>
                <w:szCs w:val="24"/>
              </w:rPr>
              <w:t>3</w:t>
            </w:r>
          </w:p>
        </w:tc>
        <w:tc>
          <w:tcPr>
            <w:tcW w:w="993" w:type="dxa"/>
            <w:vAlign w:val="center"/>
          </w:tcPr>
          <w:p w14:paraId="41238C15" w14:textId="72184C20" w:rsidR="00FF43EE" w:rsidRPr="00D948C1" w:rsidRDefault="00FF43EE" w:rsidP="006C0086">
            <w:pPr>
              <w:spacing w:line="276" w:lineRule="auto"/>
              <w:jc w:val="right"/>
              <w:rPr>
                <w:snapToGrid w:val="0"/>
                <w:color w:val="000000"/>
                <w:szCs w:val="24"/>
              </w:rPr>
            </w:pPr>
            <w:r w:rsidRPr="00D948C1">
              <w:rPr>
                <w:snapToGrid w:val="0"/>
                <w:color w:val="000000"/>
                <w:szCs w:val="24"/>
              </w:rPr>
              <w:t>25.6</w:t>
            </w:r>
          </w:p>
        </w:tc>
        <w:tc>
          <w:tcPr>
            <w:tcW w:w="992" w:type="dxa"/>
            <w:vAlign w:val="center"/>
          </w:tcPr>
          <w:p w14:paraId="0BC1D387" w14:textId="15E98500" w:rsidR="00FF43EE" w:rsidRPr="00D948C1" w:rsidRDefault="00FF43EE" w:rsidP="006C0086">
            <w:pPr>
              <w:spacing w:line="276" w:lineRule="auto"/>
              <w:jc w:val="right"/>
              <w:rPr>
                <w:snapToGrid w:val="0"/>
                <w:color w:val="000000"/>
                <w:szCs w:val="24"/>
              </w:rPr>
            </w:pPr>
            <w:r w:rsidRPr="00D948C1">
              <w:rPr>
                <w:snapToGrid w:val="0"/>
                <w:color w:val="000000"/>
                <w:szCs w:val="24"/>
              </w:rPr>
              <w:t>2</w:t>
            </w:r>
            <w:r w:rsidR="00010C11" w:rsidRPr="00D948C1">
              <w:rPr>
                <w:snapToGrid w:val="0"/>
                <w:color w:val="000000"/>
                <w:szCs w:val="24"/>
              </w:rPr>
              <w:t>2</w:t>
            </w:r>
            <w:r w:rsidRPr="00D948C1">
              <w:rPr>
                <w:snapToGrid w:val="0"/>
                <w:color w:val="000000"/>
                <w:szCs w:val="24"/>
              </w:rPr>
              <w:t>.</w:t>
            </w:r>
            <w:r w:rsidR="00D00CE4" w:rsidRPr="00D948C1">
              <w:rPr>
                <w:snapToGrid w:val="0"/>
                <w:color w:val="000000"/>
                <w:szCs w:val="24"/>
              </w:rPr>
              <w:t>9</w:t>
            </w:r>
          </w:p>
        </w:tc>
        <w:tc>
          <w:tcPr>
            <w:tcW w:w="1134" w:type="dxa"/>
            <w:vAlign w:val="center"/>
          </w:tcPr>
          <w:p w14:paraId="25DCA9FA" w14:textId="483F55B9" w:rsidR="00FF43EE" w:rsidRPr="00D948C1" w:rsidRDefault="00FF43EE" w:rsidP="006C0086">
            <w:pPr>
              <w:spacing w:line="276" w:lineRule="auto"/>
              <w:jc w:val="right"/>
              <w:rPr>
                <w:snapToGrid w:val="0"/>
                <w:color w:val="000000"/>
                <w:szCs w:val="24"/>
              </w:rPr>
            </w:pPr>
            <w:r w:rsidRPr="00D948C1">
              <w:rPr>
                <w:snapToGrid w:val="0"/>
                <w:color w:val="000000"/>
                <w:szCs w:val="24"/>
              </w:rPr>
              <w:t>21.2</w:t>
            </w:r>
          </w:p>
        </w:tc>
      </w:tr>
      <w:tr w:rsidR="00FF43EE" w:rsidRPr="00D948C1" w14:paraId="11E8A6B3" w14:textId="77777777" w:rsidTr="00DD63D7">
        <w:tc>
          <w:tcPr>
            <w:tcW w:w="3260" w:type="dxa"/>
          </w:tcPr>
          <w:p w14:paraId="2ABB0F74" w14:textId="77777777" w:rsidR="00FF43EE" w:rsidRPr="00D948C1" w:rsidRDefault="00FF43EE" w:rsidP="006C0086">
            <w:pPr>
              <w:spacing w:line="276" w:lineRule="auto"/>
              <w:rPr>
                <w:szCs w:val="24"/>
              </w:rPr>
            </w:pPr>
            <w:r w:rsidRPr="00D948C1">
              <w:rPr>
                <w:szCs w:val="24"/>
              </w:rPr>
              <w:t>Rate of CPI inflation</w:t>
            </w:r>
          </w:p>
        </w:tc>
        <w:tc>
          <w:tcPr>
            <w:tcW w:w="1134" w:type="dxa"/>
            <w:vAlign w:val="center"/>
          </w:tcPr>
          <w:p w14:paraId="654C968D" w14:textId="3EA5EB17" w:rsidR="00FF43EE" w:rsidRPr="00D948C1" w:rsidRDefault="005D55BC" w:rsidP="006C0086">
            <w:pPr>
              <w:spacing w:line="276" w:lineRule="auto"/>
              <w:jc w:val="right"/>
              <w:rPr>
                <w:snapToGrid w:val="0"/>
                <w:color w:val="000000"/>
                <w:szCs w:val="24"/>
              </w:rPr>
            </w:pPr>
            <w:r w:rsidRPr="00D948C1">
              <w:rPr>
                <w:snapToGrid w:val="0"/>
                <w:color w:val="000000"/>
                <w:szCs w:val="24"/>
              </w:rPr>
              <w:t>2.75%</w:t>
            </w:r>
          </w:p>
        </w:tc>
        <w:tc>
          <w:tcPr>
            <w:tcW w:w="1026" w:type="dxa"/>
            <w:vAlign w:val="center"/>
          </w:tcPr>
          <w:p w14:paraId="46388F04" w14:textId="5BF2D843" w:rsidR="00FF43EE" w:rsidRPr="00D948C1" w:rsidRDefault="00FF43EE" w:rsidP="006C0086">
            <w:pPr>
              <w:spacing w:line="276" w:lineRule="auto"/>
              <w:jc w:val="right"/>
              <w:rPr>
                <w:snapToGrid w:val="0"/>
                <w:color w:val="000000"/>
                <w:szCs w:val="24"/>
              </w:rPr>
            </w:pPr>
            <w:r w:rsidRPr="00D948C1">
              <w:rPr>
                <w:snapToGrid w:val="0"/>
                <w:color w:val="000000"/>
                <w:szCs w:val="24"/>
              </w:rPr>
              <w:t>3.15%</w:t>
            </w:r>
          </w:p>
        </w:tc>
        <w:tc>
          <w:tcPr>
            <w:tcW w:w="1134" w:type="dxa"/>
            <w:vAlign w:val="center"/>
          </w:tcPr>
          <w:p w14:paraId="02D36699" w14:textId="0052AE6F" w:rsidR="00FF43EE" w:rsidRPr="00D948C1" w:rsidRDefault="00FF43EE" w:rsidP="006C0086">
            <w:pPr>
              <w:spacing w:line="276" w:lineRule="auto"/>
              <w:jc w:val="right"/>
              <w:rPr>
                <w:snapToGrid w:val="0"/>
                <w:color w:val="000000"/>
                <w:szCs w:val="24"/>
              </w:rPr>
            </w:pPr>
            <w:r w:rsidRPr="00D948C1">
              <w:rPr>
                <w:snapToGrid w:val="0"/>
                <w:color w:val="000000"/>
                <w:szCs w:val="24"/>
              </w:rPr>
              <w:t>2.70%</w:t>
            </w:r>
          </w:p>
        </w:tc>
        <w:tc>
          <w:tcPr>
            <w:tcW w:w="993" w:type="dxa"/>
            <w:vAlign w:val="center"/>
          </w:tcPr>
          <w:p w14:paraId="03139C68" w14:textId="4DEF4205" w:rsidR="00FF43EE" w:rsidRPr="00D948C1" w:rsidRDefault="00FF43EE" w:rsidP="006C0086">
            <w:pPr>
              <w:spacing w:line="276" w:lineRule="auto"/>
              <w:jc w:val="right"/>
              <w:rPr>
                <w:snapToGrid w:val="0"/>
                <w:color w:val="000000"/>
                <w:szCs w:val="24"/>
              </w:rPr>
            </w:pPr>
            <w:r w:rsidRPr="00D948C1">
              <w:rPr>
                <w:snapToGrid w:val="0"/>
                <w:color w:val="000000"/>
                <w:szCs w:val="24"/>
              </w:rPr>
              <w:t>2.70%</w:t>
            </w:r>
          </w:p>
        </w:tc>
        <w:tc>
          <w:tcPr>
            <w:tcW w:w="992" w:type="dxa"/>
            <w:vAlign w:val="center"/>
          </w:tcPr>
          <w:p w14:paraId="2263E454" w14:textId="617B503C" w:rsidR="00FF43EE" w:rsidRPr="00D948C1" w:rsidRDefault="00FF43EE" w:rsidP="006C0086">
            <w:pPr>
              <w:spacing w:line="276" w:lineRule="auto"/>
              <w:jc w:val="right"/>
              <w:rPr>
                <w:snapToGrid w:val="0"/>
                <w:color w:val="000000"/>
                <w:szCs w:val="24"/>
              </w:rPr>
            </w:pPr>
            <w:r w:rsidRPr="00D948C1">
              <w:rPr>
                <w:snapToGrid w:val="0"/>
                <w:color w:val="000000"/>
                <w:szCs w:val="24"/>
              </w:rPr>
              <w:t>2.60%</w:t>
            </w:r>
          </w:p>
        </w:tc>
        <w:tc>
          <w:tcPr>
            <w:tcW w:w="1134" w:type="dxa"/>
            <w:vAlign w:val="center"/>
          </w:tcPr>
          <w:p w14:paraId="6D3B2ADF" w14:textId="63F0AF5A" w:rsidR="00FF43EE" w:rsidRPr="00D948C1" w:rsidRDefault="00FF43EE" w:rsidP="006C0086">
            <w:pPr>
              <w:spacing w:line="276" w:lineRule="auto"/>
              <w:jc w:val="right"/>
              <w:rPr>
                <w:snapToGrid w:val="0"/>
                <w:color w:val="000000"/>
                <w:szCs w:val="24"/>
              </w:rPr>
            </w:pPr>
            <w:r w:rsidRPr="00D948C1">
              <w:rPr>
                <w:snapToGrid w:val="0"/>
                <w:color w:val="000000"/>
                <w:szCs w:val="24"/>
              </w:rPr>
              <w:t>2.60%</w:t>
            </w:r>
          </w:p>
        </w:tc>
      </w:tr>
      <w:tr w:rsidR="00FF43EE" w:rsidRPr="00D948C1" w14:paraId="119731DB" w14:textId="77777777" w:rsidTr="00DD63D7">
        <w:tc>
          <w:tcPr>
            <w:tcW w:w="3260" w:type="dxa"/>
          </w:tcPr>
          <w:p w14:paraId="254FD3E8" w14:textId="77777777" w:rsidR="00FF43EE" w:rsidRPr="00D948C1" w:rsidRDefault="00FF43EE" w:rsidP="006C0086">
            <w:pPr>
              <w:spacing w:line="276" w:lineRule="auto"/>
              <w:rPr>
                <w:szCs w:val="24"/>
              </w:rPr>
            </w:pPr>
            <w:r w:rsidRPr="00D948C1">
              <w:rPr>
                <w:szCs w:val="24"/>
              </w:rPr>
              <w:t>Rate of increase in salaries</w:t>
            </w:r>
          </w:p>
        </w:tc>
        <w:tc>
          <w:tcPr>
            <w:tcW w:w="1134" w:type="dxa"/>
            <w:vAlign w:val="center"/>
          </w:tcPr>
          <w:p w14:paraId="02812B93" w14:textId="5A80D59E" w:rsidR="00FF43EE" w:rsidRPr="00D948C1" w:rsidRDefault="00FF43EE" w:rsidP="006C0086">
            <w:pPr>
              <w:spacing w:line="276" w:lineRule="auto"/>
              <w:jc w:val="right"/>
              <w:rPr>
                <w:snapToGrid w:val="0"/>
                <w:color w:val="000000"/>
                <w:szCs w:val="24"/>
              </w:rPr>
            </w:pPr>
            <w:r w:rsidRPr="00D948C1">
              <w:rPr>
                <w:snapToGrid w:val="0"/>
                <w:color w:val="000000"/>
                <w:szCs w:val="24"/>
              </w:rPr>
              <w:t>3.</w:t>
            </w:r>
            <w:r w:rsidR="00D00CE4" w:rsidRPr="00D948C1">
              <w:rPr>
                <w:snapToGrid w:val="0"/>
                <w:color w:val="000000"/>
                <w:szCs w:val="24"/>
              </w:rPr>
              <w:t>4</w:t>
            </w:r>
            <w:r w:rsidRPr="00D948C1">
              <w:rPr>
                <w:snapToGrid w:val="0"/>
                <w:color w:val="000000"/>
                <w:szCs w:val="24"/>
              </w:rPr>
              <w:t>5%</w:t>
            </w:r>
          </w:p>
        </w:tc>
        <w:tc>
          <w:tcPr>
            <w:tcW w:w="1026" w:type="dxa"/>
            <w:vAlign w:val="center"/>
          </w:tcPr>
          <w:p w14:paraId="30715409" w14:textId="1A3A5D9A" w:rsidR="00FF43EE" w:rsidRPr="00D948C1" w:rsidRDefault="00FF43EE" w:rsidP="006C0086">
            <w:pPr>
              <w:spacing w:line="276" w:lineRule="auto"/>
              <w:jc w:val="right"/>
              <w:rPr>
                <w:snapToGrid w:val="0"/>
                <w:color w:val="000000"/>
                <w:szCs w:val="24"/>
              </w:rPr>
            </w:pPr>
            <w:r w:rsidRPr="00D948C1">
              <w:rPr>
                <w:snapToGrid w:val="0"/>
                <w:color w:val="000000"/>
                <w:szCs w:val="24"/>
              </w:rPr>
              <w:t>3.</w:t>
            </w:r>
            <w:r w:rsidR="00D00CE4" w:rsidRPr="00D948C1">
              <w:rPr>
                <w:snapToGrid w:val="0"/>
                <w:color w:val="000000"/>
                <w:szCs w:val="24"/>
              </w:rPr>
              <w:t>6</w:t>
            </w:r>
            <w:r w:rsidRPr="00D948C1">
              <w:rPr>
                <w:snapToGrid w:val="0"/>
                <w:color w:val="000000"/>
                <w:szCs w:val="24"/>
              </w:rPr>
              <w:t>5%</w:t>
            </w:r>
          </w:p>
        </w:tc>
        <w:tc>
          <w:tcPr>
            <w:tcW w:w="1134" w:type="dxa"/>
            <w:vAlign w:val="center"/>
          </w:tcPr>
          <w:p w14:paraId="06B1A881" w14:textId="6E13FAA9" w:rsidR="00FF43EE" w:rsidRPr="00D948C1" w:rsidRDefault="00FF43EE" w:rsidP="006C0086">
            <w:pPr>
              <w:spacing w:line="276" w:lineRule="auto"/>
              <w:jc w:val="right"/>
              <w:rPr>
                <w:snapToGrid w:val="0"/>
                <w:color w:val="000000"/>
                <w:szCs w:val="24"/>
              </w:rPr>
            </w:pPr>
            <w:r w:rsidRPr="00D948C1">
              <w:rPr>
                <w:snapToGrid w:val="0"/>
                <w:color w:val="000000"/>
                <w:szCs w:val="24"/>
              </w:rPr>
              <w:t>4.20%</w:t>
            </w:r>
          </w:p>
        </w:tc>
        <w:tc>
          <w:tcPr>
            <w:tcW w:w="993" w:type="dxa"/>
            <w:vAlign w:val="center"/>
          </w:tcPr>
          <w:p w14:paraId="689A0F10" w14:textId="0897AC3B" w:rsidR="00FF43EE" w:rsidRPr="00D948C1" w:rsidRDefault="00FF43EE" w:rsidP="006C0086">
            <w:pPr>
              <w:spacing w:line="276" w:lineRule="auto"/>
              <w:jc w:val="right"/>
              <w:rPr>
                <w:snapToGrid w:val="0"/>
                <w:color w:val="000000"/>
                <w:szCs w:val="24"/>
              </w:rPr>
            </w:pPr>
            <w:r w:rsidRPr="00D948C1">
              <w:rPr>
                <w:snapToGrid w:val="0"/>
                <w:color w:val="000000"/>
                <w:szCs w:val="24"/>
              </w:rPr>
              <w:t>4.20%</w:t>
            </w:r>
          </w:p>
        </w:tc>
        <w:tc>
          <w:tcPr>
            <w:tcW w:w="992" w:type="dxa"/>
            <w:vAlign w:val="center"/>
          </w:tcPr>
          <w:p w14:paraId="7940CD79" w14:textId="484AD379" w:rsidR="00FF43EE" w:rsidRPr="00D948C1" w:rsidRDefault="00FF43EE" w:rsidP="006C0086">
            <w:pPr>
              <w:spacing w:line="276" w:lineRule="auto"/>
              <w:jc w:val="right"/>
              <w:rPr>
                <w:snapToGrid w:val="0"/>
                <w:color w:val="000000"/>
                <w:szCs w:val="24"/>
              </w:rPr>
            </w:pPr>
            <w:r w:rsidRPr="00D948C1">
              <w:rPr>
                <w:snapToGrid w:val="0"/>
                <w:color w:val="000000"/>
                <w:szCs w:val="24"/>
              </w:rPr>
              <w:t>3.85%</w:t>
            </w:r>
          </w:p>
        </w:tc>
        <w:tc>
          <w:tcPr>
            <w:tcW w:w="1134" w:type="dxa"/>
            <w:vAlign w:val="center"/>
          </w:tcPr>
          <w:p w14:paraId="4617940B" w14:textId="16F09AF4" w:rsidR="00FF43EE" w:rsidRPr="00D948C1" w:rsidRDefault="00FF43EE" w:rsidP="006C0086">
            <w:pPr>
              <w:spacing w:line="276" w:lineRule="auto"/>
              <w:jc w:val="right"/>
              <w:rPr>
                <w:snapToGrid w:val="0"/>
                <w:color w:val="000000"/>
                <w:szCs w:val="24"/>
              </w:rPr>
            </w:pPr>
            <w:r w:rsidRPr="00D948C1">
              <w:rPr>
                <w:snapToGrid w:val="0"/>
                <w:color w:val="000000"/>
                <w:szCs w:val="24"/>
              </w:rPr>
              <w:t>3.85%</w:t>
            </w:r>
          </w:p>
        </w:tc>
      </w:tr>
      <w:tr w:rsidR="00FF43EE" w:rsidRPr="00D948C1" w14:paraId="101DD171" w14:textId="77777777" w:rsidTr="00DD63D7">
        <w:tc>
          <w:tcPr>
            <w:tcW w:w="3260" w:type="dxa"/>
          </w:tcPr>
          <w:p w14:paraId="70605973" w14:textId="77777777" w:rsidR="00FF43EE" w:rsidRPr="00D948C1" w:rsidRDefault="00FF43EE" w:rsidP="006C0086">
            <w:pPr>
              <w:spacing w:line="276" w:lineRule="auto"/>
              <w:rPr>
                <w:szCs w:val="24"/>
              </w:rPr>
            </w:pPr>
            <w:r w:rsidRPr="00D948C1">
              <w:rPr>
                <w:szCs w:val="24"/>
              </w:rPr>
              <w:t>Rate of increase in pensions</w:t>
            </w:r>
          </w:p>
        </w:tc>
        <w:tc>
          <w:tcPr>
            <w:tcW w:w="1134" w:type="dxa"/>
            <w:vAlign w:val="center"/>
          </w:tcPr>
          <w:p w14:paraId="3B548824" w14:textId="10A8727C" w:rsidR="00FF43EE" w:rsidRPr="00D948C1" w:rsidRDefault="00D00CE4" w:rsidP="006C0086">
            <w:pPr>
              <w:spacing w:line="276" w:lineRule="auto"/>
              <w:jc w:val="right"/>
              <w:rPr>
                <w:snapToGrid w:val="0"/>
                <w:color w:val="000000"/>
                <w:szCs w:val="24"/>
              </w:rPr>
            </w:pPr>
            <w:r w:rsidRPr="00D948C1">
              <w:rPr>
                <w:snapToGrid w:val="0"/>
                <w:color w:val="000000"/>
                <w:szCs w:val="24"/>
              </w:rPr>
              <w:t>2.75</w:t>
            </w:r>
            <w:r w:rsidR="00FF43EE" w:rsidRPr="00D948C1">
              <w:rPr>
                <w:snapToGrid w:val="0"/>
                <w:color w:val="000000"/>
                <w:szCs w:val="24"/>
              </w:rPr>
              <w:t>%</w:t>
            </w:r>
          </w:p>
        </w:tc>
        <w:tc>
          <w:tcPr>
            <w:tcW w:w="1026" w:type="dxa"/>
            <w:vAlign w:val="center"/>
          </w:tcPr>
          <w:p w14:paraId="34F78E31" w14:textId="59C1B9B8" w:rsidR="00FF43EE" w:rsidRPr="00D948C1" w:rsidRDefault="00D00CE4" w:rsidP="006C0086">
            <w:pPr>
              <w:spacing w:line="276" w:lineRule="auto"/>
              <w:jc w:val="right"/>
              <w:rPr>
                <w:snapToGrid w:val="0"/>
                <w:color w:val="000000"/>
                <w:szCs w:val="24"/>
              </w:rPr>
            </w:pPr>
            <w:r w:rsidRPr="00D948C1">
              <w:rPr>
                <w:snapToGrid w:val="0"/>
                <w:color w:val="000000"/>
                <w:szCs w:val="24"/>
              </w:rPr>
              <w:t>2.95</w:t>
            </w:r>
            <w:r w:rsidR="00FF43EE" w:rsidRPr="00D948C1">
              <w:rPr>
                <w:snapToGrid w:val="0"/>
                <w:color w:val="000000"/>
                <w:szCs w:val="24"/>
              </w:rPr>
              <w:t>%</w:t>
            </w:r>
          </w:p>
        </w:tc>
        <w:tc>
          <w:tcPr>
            <w:tcW w:w="1134" w:type="dxa"/>
            <w:vAlign w:val="center"/>
          </w:tcPr>
          <w:p w14:paraId="1816C1B9" w14:textId="6908165A" w:rsidR="00FF43EE" w:rsidRPr="00D948C1" w:rsidRDefault="00FF43EE" w:rsidP="006C0086">
            <w:pPr>
              <w:spacing w:line="276" w:lineRule="auto"/>
              <w:jc w:val="right"/>
              <w:rPr>
                <w:snapToGrid w:val="0"/>
                <w:color w:val="000000"/>
                <w:szCs w:val="24"/>
              </w:rPr>
            </w:pPr>
            <w:r w:rsidRPr="00D948C1">
              <w:rPr>
                <w:snapToGrid w:val="0"/>
                <w:color w:val="000000"/>
                <w:szCs w:val="24"/>
              </w:rPr>
              <w:t>2.80%</w:t>
            </w:r>
          </w:p>
        </w:tc>
        <w:tc>
          <w:tcPr>
            <w:tcW w:w="993" w:type="dxa"/>
            <w:vAlign w:val="center"/>
          </w:tcPr>
          <w:p w14:paraId="3C129A78" w14:textId="3093F5B3" w:rsidR="00FF43EE" w:rsidRPr="00D948C1" w:rsidRDefault="00FF43EE" w:rsidP="006C0086">
            <w:pPr>
              <w:spacing w:line="276" w:lineRule="auto"/>
              <w:jc w:val="right"/>
              <w:rPr>
                <w:snapToGrid w:val="0"/>
                <w:color w:val="000000"/>
                <w:szCs w:val="24"/>
              </w:rPr>
            </w:pPr>
            <w:r w:rsidRPr="00D948C1">
              <w:rPr>
                <w:snapToGrid w:val="0"/>
                <w:color w:val="000000"/>
                <w:szCs w:val="24"/>
              </w:rPr>
              <w:t>2.80%</w:t>
            </w:r>
          </w:p>
        </w:tc>
        <w:tc>
          <w:tcPr>
            <w:tcW w:w="992" w:type="dxa"/>
            <w:vAlign w:val="center"/>
          </w:tcPr>
          <w:p w14:paraId="30BCB347" w14:textId="21CF64F2" w:rsidR="00FF43EE" w:rsidRPr="00D948C1" w:rsidRDefault="00FF43EE" w:rsidP="006C0086">
            <w:pPr>
              <w:spacing w:line="276" w:lineRule="auto"/>
              <w:jc w:val="right"/>
              <w:rPr>
                <w:snapToGrid w:val="0"/>
                <w:color w:val="000000"/>
                <w:szCs w:val="24"/>
              </w:rPr>
            </w:pPr>
            <w:r w:rsidRPr="00D948C1">
              <w:rPr>
                <w:snapToGrid w:val="0"/>
                <w:color w:val="000000"/>
                <w:szCs w:val="24"/>
              </w:rPr>
              <w:t>2.60%</w:t>
            </w:r>
          </w:p>
        </w:tc>
        <w:tc>
          <w:tcPr>
            <w:tcW w:w="1134" w:type="dxa"/>
            <w:vAlign w:val="center"/>
          </w:tcPr>
          <w:p w14:paraId="523681C9" w14:textId="572B48C0" w:rsidR="00FF43EE" w:rsidRPr="00D948C1" w:rsidRDefault="00FF43EE" w:rsidP="006C0086">
            <w:pPr>
              <w:spacing w:line="276" w:lineRule="auto"/>
              <w:jc w:val="right"/>
              <w:rPr>
                <w:snapToGrid w:val="0"/>
                <w:color w:val="000000"/>
                <w:szCs w:val="24"/>
              </w:rPr>
            </w:pPr>
            <w:r w:rsidRPr="00D948C1">
              <w:rPr>
                <w:snapToGrid w:val="0"/>
                <w:color w:val="000000"/>
                <w:szCs w:val="24"/>
              </w:rPr>
              <w:t>2.60%</w:t>
            </w:r>
          </w:p>
        </w:tc>
      </w:tr>
      <w:tr w:rsidR="00FF43EE" w:rsidRPr="00D948C1" w14:paraId="23F3C53C" w14:textId="77777777" w:rsidTr="00DD63D7">
        <w:tc>
          <w:tcPr>
            <w:tcW w:w="3260" w:type="dxa"/>
          </w:tcPr>
          <w:p w14:paraId="62F89239" w14:textId="77777777" w:rsidR="00FF43EE" w:rsidRPr="00D948C1" w:rsidRDefault="00FF43EE" w:rsidP="006C0086">
            <w:pPr>
              <w:spacing w:line="276" w:lineRule="auto"/>
              <w:rPr>
                <w:szCs w:val="24"/>
              </w:rPr>
            </w:pPr>
            <w:r w:rsidRPr="00D948C1">
              <w:rPr>
                <w:szCs w:val="24"/>
              </w:rPr>
              <w:t>Rate for discounting scheme liabilities</w:t>
            </w:r>
          </w:p>
        </w:tc>
        <w:tc>
          <w:tcPr>
            <w:tcW w:w="1134" w:type="dxa"/>
            <w:vAlign w:val="center"/>
          </w:tcPr>
          <w:p w14:paraId="750E7B0E" w14:textId="147BA9DF" w:rsidR="00FF43EE" w:rsidRPr="00D948C1" w:rsidRDefault="00D00CE4" w:rsidP="006C0086">
            <w:pPr>
              <w:spacing w:line="276" w:lineRule="auto"/>
              <w:jc w:val="right"/>
              <w:rPr>
                <w:snapToGrid w:val="0"/>
                <w:color w:val="000000"/>
                <w:szCs w:val="24"/>
              </w:rPr>
            </w:pPr>
            <w:r w:rsidRPr="00D948C1">
              <w:rPr>
                <w:snapToGrid w:val="0"/>
                <w:color w:val="000000"/>
                <w:szCs w:val="24"/>
              </w:rPr>
              <w:t>4</w:t>
            </w:r>
            <w:r w:rsidR="00FF43EE" w:rsidRPr="00D948C1">
              <w:rPr>
                <w:snapToGrid w:val="0"/>
                <w:color w:val="000000"/>
                <w:szCs w:val="24"/>
              </w:rPr>
              <w:t>.</w:t>
            </w:r>
            <w:r w:rsidRPr="00D948C1">
              <w:rPr>
                <w:snapToGrid w:val="0"/>
                <w:color w:val="000000"/>
                <w:szCs w:val="24"/>
              </w:rPr>
              <w:t>8</w:t>
            </w:r>
            <w:r w:rsidR="00FF43EE" w:rsidRPr="00D948C1">
              <w:rPr>
                <w:snapToGrid w:val="0"/>
                <w:color w:val="000000"/>
                <w:szCs w:val="24"/>
              </w:rPr>
              <w:t>5%</w:t>
            </w:r>
          </w:p>
        </w:tc>
        <w:tc>
          <w:tcPr>
            <w:tcW w:w="1026" w:type="dxa"/>
            <w:vAlign w:val="center"/>
          </w:tcPr>
          <w:p w14:paraId="4793CCEF" w14:textId="4EE2D988" w:rsidR="00FF43EE" w:rsidRPr="00D948C1" w:rsidRDefault="00D00CE4" w:rsidP="006C0086">
            <w:pPr>
              <w:spacing w:line="276" w:lineRule="auto"/>
              <w:jc w:val="right"/>
              <w:rPr>
                <w:snapToGrid w:val="0"/>
                <w:color w:val="000000"/>
                <w:szCs w:val="24"/>
              </w:rPr>
            </w:pPr>
            <w:r w:rsidRPr="00D948C1">
              <w:rPr>
                <w:snapToGrid w:val="0"/>
                <w:color w:val="000000"/>
                <w:szCs w:val="24"/>
              </w:rPr>
              <w:t>4</w:t>
            </w:r>
            <w:r w:rsidR="00FF43EE" w:rsidRPr="00D948C1">
              <w:rPr>
                <w:snapToGrid w:val="0"/>
                <w:color w:val="000000"/>
                <w:szCs w:val="24"/>
              </w:rPr>
              <w:t>.75%</w:t>
            </w:r>
          </w:p>
        </w:tc>
        <w:tc>
          <w:tcPr>
            <w:tcW w:w="1134" w:type="dxa"/>
            <w:vAlign w:val="center"/>
          </w:tcPr>
          <w:p w14:paraId="0C29C89D" w14:textId="3B96FDAF" w:rsidR="00FF43EE" w:rsidRPr="00D948C1" w:rsidRDefault="00FF43EE" w:rsidP="006C0086">
            <w:pPr>
              <w:spacing w:line="276" w:lineRule="auto"/>
              <w:jc w:val="right"/>
              <w:rPr>
                <w:snapToGrid w:val="0"/>
                <w:color w:val="000000"/>
                <w:szCs w:val="24"/>
              </w:rPr>
            </w:pPr>
            <w:r w:rsidRPr="00D948C1">
              <w:rPr>
                <w:snapToGrid w:val="0"/>
                <w:color w:val="000000"/>
                <w:szCs w:val="24"/>
              </w:rPr>
              <w:t>4.80%</w:t>
            </w:r>
          </w:p>
        </w:tc>
        <w:tc>
          <w:tcPr>
            <w:tcW w:w="993" w:type="dxa"/>
            <w:vAlign w:val="center"/>
          </w:tcPr>
          <w:p w14:paraId="3A01F611" w14:textId="03F5D450" w:rsidR="00FF43EE" w:rsidRPr="00D948C1" w:rsidRDefault="00FF43EE" w:rsidP="006C0086">
            <w:pPr>
              <w:spacing w:line="276" w:lineRule="auto"/>
              <w:jc w:val="right"/>
              <w:rPr>
                <w:snapToGrid w:val="0"/>
                <w:color w:val="000000"/>
                <w:szCs w:val="24"/>
              </w:rPr>
            </w:pPr>
            <w:r w:rsidRPr="00D948C1">
              <w:rPr>
                <w:snapToGrid w:val="0"/>
                <w:color w:val="000000"/>
                <w:szCs w:val="24"/>
              </w:rPr>
              <w:t>4.80%</w:t>
            </w:r>
          </w:p>
        </w:tc>
        <w:tc>
          <w:tcPr>
            <w:tcW w:w="992" w:type="dxa"/>
            <w:vAlign w:val="center"/>
          </w:tcPr>
          <w:p w14:paraId="7849CB81" w14:textId="1CD1FE73" w:rsidR="00FF43EE" w:rsidRPr="00D948C1" w:rsidRDefault="00FF43EE" w:rsidP="006C0086">
            <w:pPr>
              <w:spacing w:line="276" w:lineRule="auto"/>
              <w:jc w:val="right"/>
              <w:rPr>
                <w:snapToGrid w:val="0"/>
                <w:color w:val="000000"/>
                <w:szCs w:val="24"/>
              </w:rPr>
            </w:pPr>
            <w:r w:rsidRPr="00D948C1">
              <w:rPr>
                <w:snapToGrid w:val="0"/>
                <w:color w:val="000000"/>
                <w:szCs w:val="24"/>
              </w:rPr>
              <w:t>4.</w:t>
            </w:r>
            <w:r w:rsidR="00D00CE4" w:rsidRPr="00D948C1">
              <w:rPr>
                <w:snapToGrid w:val="0"/>
                <w:color w:val="000000"/>
                <w:szCs w:val="24"/>
              </w:rPr>
              <w:t>7</w:t>
            </w:r>
            <w:r w:rsidRPr="00D948C1">
              <w:rPr>
                <w:snapToGrid w:val="0"/>
                <w:color w:val="000000"/>
                <w:szCs w:val="24"/>
              </w:rPr>
              <w:t>5%</w:t>
            </w:r>
          </w:p>
        </w:tc>
        <w:tc>
          <w:tcPr>
            <w:tcW w:w="1134" w:type="dxa"/>
            <w:vAlign w:val="center"/>
          </w:tcPr>
          <w:p w14:paraId="42111231" w14:textId="44E2D350" w:rsidR="00FF43EE" w:rsidRPr="00D948C1" w:rsidRDefault="00FF43EE" w:rsidP="006C0086">
            <w:pPr>
              <w:spacing w:line="276" w:lineRule="auto"/>
              <w:jc w:val="right"/>
              <w:rPr>
                <w:snapToGrid w:val="0"/>
                <w:color w:val="000000"/>
                <w:szCs w:val="24"/>
              </w:rPr>
            </w:pPr>
            <w:r w:rsidRPr="00D948C1">
              <w:rPr>
                <w:snapToGrid w:val="0"/>
                <w:color w:val="000000"/>
                <w:szCs w:val="24"/>
              </w:rPr>
              <w:t>4.65%</w:t>
            </w:r>
          </w:p>
        </w:tc>
      </w:tr>
      <w:tr w:rsidR="00495739" w:rsidRPr="00D948C1" w14:paraId="4963FFBF" w14:textId="77777777" w:rsidTr="00CA0B6B">
        <w:trPr>
          <w:tblHeader/>
        </w:trPr>
        <w:tc>
          <w:tcPr>
            <w:tcW w:w="3260" w:type="dxa"/>
            <w:shd w:val="clear" w:color="auto" w:fill="BD2716"/>
          </w:tcPr>
          <w:p w14:paraId="276779A5" w14:textId="77777777" w:rsidR="00495739" w:rsidRPr="00D948C1" w:rsidRDefault="00495739" w:rsidP="006C0086">
            <w:pPr>
              <w:spacing w:line="276" w:lineRule="auto"/>
              <w:jc w:val="both"/>
              <w:rPr>
                <w:color w:val="FFFFFF" w:themeColor="background1"/>
                <w:szCs w:val="24"/>
              </w:rPr>
            </w:pPr>
          </w:p>
        </w:tc>
        <w:tc>
          <w:tcPr>
            <w:tcW w:w="2160" w:type="dxa"/>
            <w:gridSpan w:val="2"/>
            <w:shd w:val="clear" w:color="auto" w:fill="BD2716"/>
            <w:vAlign w:val="center"/>
          </w:tcPr>
          <w:p w14:paraId="47B2742D" w14:textId="77777777" w:rsidR="00495739" w:rsidRPr="00D948C1" w:rsidRDefault="00495739" w:rsidP="006C0086">
            <w:pPr>
              <w:spacing w:line="276" w:lineRule="auto"/>
              <w:jc w:val="center"/>
              <w:rPr>
                <w:color w:val="FFFFFF" w:themeColor="background1"/>
                <w:szCs w:val="24"/>
              </w:rPr>
            </w:pPr>
            <w:r w:rsidRPr="00D948C1">
              <w:rPr>
                <w:color w:val="FFFFFF" w:themeColor="background1"/>
                <w:szCs w:val="24"/>
              </w:rPr>
              <w:t>NWFC Local Government Pension Scheme</w:t>
            </w:r>
          </w:p>
        </w:tc>
        <w:tc>
          <w:tcPr>
            <w:tcW w:w="2127" w:type="dxa"/>
            <w:gridSpan w:val="2"/>
            <w:shd w:val="clear" w:color="auto" w:fill="BD2716"/>
            <w:vAlign w:val="center"/>
          </w:tcPr>
          <w:p w14:paraId="241FB5E5" w14:textId="77777777" w:rsidR="00495739" w:rsidRPr="00D948C1" w:rsidRDefault="00495739" w:rsidP="006C0086">
            <w:pPr>
              <w:spacing w:line="276" w:lineRule="auto"/>
              <w:jc w:val="center"/>
              <w:rPr>
                <w:color w:val="FFFFFF" w:themeColor="background1"/>
                <w:szCs w:val="24"/>
              </w:rPr>
            </w:pPr>
            <w:r w:rsidRPr="00D948C1">
              <w:rPr>
                <w:color w:val="FFFFFF" w:themeColor="background1"/>
                <w:szCs w:val="24"/>
              </w:rPr>
              <w:t>LCFA Local Government Pension Scheme</w:t>
            </w:r>
          </w:p>
        </w:tc>
        <w:tc>
          <w:tcPr>
            <w:tcW w:w="2126" w:type="dxa"/>
            <w:gridSpan w:val="2"/>
            <w:shd w:val="clear" w:color="auto" w:fill="BD2716"/>
            <w:vAlign w:val="center"/>
          </w:tcPr>
          <w:p w14:paraId="6F91D9F8" w14:textId="77777777" w:rsidR="00495739" w:rsidRPr="00D948C1" w:rsidRDefault="00495739" w:rsidP="006C0086">
            <w:pPr>
              <w:spacing w:line="276" w:lineRule="auto"/>
              <w:jc w:val="center"/>
              <w:rPr>
                <w:color w:val="FFFFFF" w:themeColor="background1"/>
                <w:szCs w:val="24"/>
              </w:rPr>
            </w:pPr>
            <w:r w:rsidRPr="00D948C1">
              <w:rPr>
                <w:color w:val="FFFFFF" w:themeColor="background1"/>
                <w:szCs w:val="24"/>
              </w:rPr>
              <w:t>Uniformed Firefighters’ Pension Scheme</w:t>
            </w:r>
          </w:p>
        </w:tc>
      </w:tr>
      <w:tr w:rsidR="00495739" w:rsidRPr="00D948C1" w14:paraId="47FF8302" w14:textId="77777777" w:rsidTr="009A7A46">
        <w:trPr>
          <w:tblHeader/>
        </w:trPr>
        <w:tc>
          <w:tcPr>
            <w:tcW w:w="3260" w:type="dxa"/>
            <w:tcBorders>
              <w:bottom w:val="single" w:sz="4" w:space="0" w:color="auto"/>
            </w:tcBorders>
            <w:shd w:val="clear" w:color="auto" w:fill="BD2716"/>
            <w:vAlign w:val="bottom"/>
          </w:tcPr>
          <w:p w14:paraId="1C571795" w14:textId="77777777" w:rsidR="00495739" w:rsidRPr="00D948C1" w:rsidRDefault="00495739" w:rsidP="006C0086">
            <w:pPr>
              <w:spacing w:line="276" w:lineRule="auto"/>
              <w:rPr>
                <w:color w:val="FFFFFF" w:themeColor="background1"/>
                <w:szCs w:val="24"/>
              </w:rPr>
            </w:pPr>
          </w:p>
        </w:tc>
        <w:tc>
          <w:tcPr>
            <w:tcW w:w="1134" w:type="dxa"/>
            <w:tcBorders>
              <w:bottom w:val="single" w:sz="4" w:space="0" w:color="auto"/>
            </w:tcBorders>
            <w:shd w:val="clear" w:color="auto" w:fill="BD2716"/>
            <w:vAlign w:val="center"/>
          </w:tcPr>
          <w:p w14:paraId="543076C2"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2024</w:t>
            </w:r>
          </w:p>
        </w:tc>
        <w:tc>
          <w:tcPr>
            <w:tcW w:w="1026" w:type="dxa"/>
            <w:tcBorders>
              <w:bottom w:val="single" w:sz="4" w:space="0" w:color="auto"/>
            </w:tcBorders>
            <w:shd w:val="clear" w:color="auto" w:fill="BD2716"/>
            <w:vAlign w:val="center"/>
          </w:tcPr>
          <w:p w14:paraId="6248E331"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2023</w:t>
            </w:r>
          </w:p>
        </w:tc>
        <w:tc>
          <w:tcPr>
            <w:tcW w:w="1134" w:type="dxa"/>
            <w:tcBorders>
              <w:bottom w:val="single" w:sz="4" w:space="0" w:color="auto"/>
            </w:tcBorders>
            <w:shd w:val="clear" w:color="auto" w:fill="BD2716"/>
            <w:vAlign w:val="center"/>
          </w:tcPr>
          <w:p w14:paraId="2140AC2A"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2024</w:t>
            </w:r>
          </w:p>
        </w:tc>
        <w:tc>
          <w:tcPr>
            <w:tcW w:w="993" w:type="dxa"/>
            <w:tcBorders>
              <w:bottom w:val="single" w:sz="4" w:space="0" w:color="auto"/>
            </w:tcBorders>
            <w:shd w:val="clear" w:color="auto" w:fill="BD2716"/>
            <w:vAlign w:val="center"/>
          </w:tcPr>
          <w:p w14:paraId="4919872C"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2023</w:t>
            </w:r>
          </w:p>
        </w:tc>
        <w:tc>
          <w:tcPr>
            <w:tcW w:w="992" w:type="dxa"/>
            <w:tcBorders>
              <w:bottom w:val="single" w:sz="4" w:space="0" w:color="auto"/>
            </w:tcBorders>
            <w:shd w:val="clear" w:color="auto" w:fill="BD2716"/>
            <w:vAlign w:val="center"/>
          </w:tcPr>
          <w:p w14:paraId="73637A7F"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2024</w:t>
            </w:r>
          </w:p>
        </w:tc>
        <w:tc>
          <w:tcPr>
            <w:tcW w:w="1134" w:type="dxa"/>
            <w:tcBorders>
              <w:bottom w:val="single" w:sz="4" w:space="0" w:color="auto"/>
            </w:tcBorders>
            <w:shd w:val="clear" w:color="auto" w:fill="BD2716"/>
            <w:vAlign w:val="center"/>
          </w:tcPr>
          <w:p w14:paraId="4A5F6055" w14:textId="77777777" w:rsidR="00495739" w:rsidRPr="00D948C1" w:rsidRDefault="00495739" w:rsidP="006C0086">
            <w:pPr>
              <w:spacing w:line="276" w:lineRule="auto"/>
              <w:jc w:val="right"/>
              <w:rPr>
                <w:color w:val="FFFFFF" w:themeColor="background1"/>
                <w:szCs w:val="24"/>
              </w:rPr>
            </w:pPr>
            <w:r w:rsidRPr="00D948C1">
              <w:rPr>
                <w:color w:val="FFFFFF" w:themeColor="background1"/>
                <w:szCs w:val="24"/>
              </w:rPr>
              <w:t>31 March 2023</w:t>
            </w:r>
          </w:p>
        </w:tc>
      </w:tr>
      <w:tr w:rsidR="00495739" w:rsidRPr="00D948C1" w14:paraId="29D6581E" w14:textId="77777777" w:rsidTr="009A7A46">
        <w:trPr>
          <w:tblHeader/>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440B4DB" w14:textId="77777777" w:rsidR="00495739" w:rsidRPr="00495739" w:rsidRDefault="00495739" w:rsidP="006C0086">
            <w:pPr>
              <w:spacing w:line="276" w:lineRule="auto"/>
              <w:rPr>
                <w:szCs w:val="24"/>
              </w:rPr>
            </w:pPr>
            <w:r w:rsidRPr="00495739">
              <w:rPr>
                <w:szCs w:val="24"/>
              </w:rPr>
              <w:t>Take up of option to convert annual pension into retirement lump 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6E80F" w14:textId="77777777" w:rsidR="00495739" w:rsidRPr="00495739" w:rsidRDefault="00495739" w:rsidP="006C0086">
            <w:pPr>
              <w:spacing w:line="276" w:lineRule="auto"/>
              <w:jc w:val="right"/>
              <w:rPr>
                <w:szCs w:val="24"/>
              </w:rPr>
            </w:pPr>
            <w:r w:rsidRPr="00495739">
              <w:rPr>
                <w:szCs w:val="24"/>
              </w:rPr>
              <w:t>50%</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3E171A0" w14:textId="77777777" w:rsidR="00495739" w:rsidRPr="00495739" w:rsidRDefault="00495739" w:rsidP="006C0086">
            <w:pPr>
              <w:spacing w:line="276" w:lineRule="auto"/>
              <w:jc w:val="right"/>
              <w:rPr>
                <w:szCs w:val="24"/>
              </w:rPr>
            </w:pPr>
            <w:r w:rsidRPr="00495739">
              <w:rPr>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0C95D" w14:textId="77777777" w:rsidR="00495739" w:rsidRPr="00495739" w:rsidRDefault="00495739" w:rsidP="006C0086">
            <w:pPr>
              <w:spacing w:line="276" w:lineRule="auto"/>
              <w:jc w:val="right"/>
              <w:rPr>
                <w:szCs w:val="24"/>
              </w:rPr>
            </w:pPr>
            <w:r w:rsidRPr="00495739">
              <w:rPr>
                <w:szCs w:val="24"/>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C9BE24" w14:textId="77777777" w:rsidR="00495739" w:rsidRPr="00495739" w:rsidRDefault="00495739" w:rsidP="006C0086">
            <w:pPr>
              <w:spacing w:line="276" w:lineRule="auto"/>
              <w:jc w:val="right"/>
              <w:rPr>
                <w:szCs w:val="24"/>
              </w:rPr>
            </w:pPr>
            <w:r w:rsidRPr="00495739">
              <w:rPr>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903E40" w14:textId="77777777" w:rsidR="00495739" w:rsidRPr="00495739" w:rsidRDefault="00495739" w:rsidP="006C0086">
            <w:pPr>
              <w:spacing w:line="276" w:lineRule="auto"/>
              <w:jc w:val="right"/>
              <w:rPr>
                <w:szCs w:val="24"/>
              </w:rPr>
            </w:pPr>
            <w:r w:rsidRPr="00495739">
              <w:rPr>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0E88D" w14:textId="77777777" w:rsidR="00495739" w:rsidRPr="00495739" w:rsidRDefault="00495739" w:rsidP="006C0086">
            <w:pPr>
              <w:spacing w:line="276" w:lineRule="auto"/>
              <w:jc w:val="right"/>
              <w:rPr>
                <w:szCs w:val="24"/>
              </w:rPr>
            </w:pPr>
            <w:r w:rsidRPr="00495739">
              <w:rPr>
                <w:szCs w:val="24"/>
              </w:rPr>
              <w:t>50%</w:t>
            </w:r>
          </w:p>
        </w:tc>
      </w:tr>
    </w:tbl>
    <w:p w14:paraId="691E27A4" w14:textId="11CE23E8" w:rsidR="00EC3487" w:rsidRPr="009A7A46" w:rsidRDefault="00EC3487" w:rsidP="006C0086">
      <w:pPr>
        <w:spacing w:line="276" w:lineRule="auto"/>
        <w:rPr>
          <w:sz w:val="22"/>
          <w:szCs w:val="22"/>
        </w:rPr>
      </w:pPr>
    </w:p>
    <w:p w14:paraId="5577C117" w14:textId="66947A21" w:rsidR="00D90216" w:rsidRPr="00D948C1" w:rsidRDefault="00D90216" w:rsidP="006C0086">
      <w:pPr>
        <w:spacing w:line="276" w:lineRule="auto"/>
        <w:ind w:left="720"/>
        <w:rPr>
          <w:szCs w:val="24"/>
        </w:rPr>
      </w:pPr>
      <w:r w:rsidRPr="00D948C1">
        <w:rPr>
          <w:szCs w:val="24"/>
        </w:rPr>
        <w:t>The Firefighters’ Pension Scheme has no assets to cover its liabilities. The Local Government Pension Fund’s assets consist of the following categories, by proportion of the total assets held by the Fund:</w:t>
      </w:r>
    </w:p>
    <w:p w14:paraId="6E377482" w14:textId="77777777" w:rsidR="0050693C" w:rsidRPr="00D948C1" w:rsidRDefault="0050693C" w:rsidP="006C0086">
      <w:pPr>
        <w:spacing w:line="276" w:lineRule="auto"/>
        <w:ind w:left="709"/>
        <w:jc w:val="both"/>
        <w:rPr>
          <w:sz w:val="22"/>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247"/>
        <w:gridCol w:w="1276"/>
        <w:gridCol w:w="1134"/>
        <w:gridCol w:w="1275"/>
        <w:gridCol w:w="1135"/>
      </w:tblGrid>
      <w:tr w:rsidR="00AD0137" w:rsidRPr="00D948C1" w14:paraId="0182D760" w14:textId="77777777" w:rsidTr="00611673">
        <w:trPr>
          <w:tblHeader/>
        </w:trPr>
        <w:tc>
          <w:tcPr>
            <w:tcW w:w="1872" w:type="dxa"/>
            <w:shd w:val="clear" w:color="auto" w:fill="BD2716"/>
          </w:tcPr>
          <w:p w14:paraId="607D814E" w14:textId="77777777" w:rsidR="00AD0137" w:rsidRPr="00D948C1" w:rsidRDefault="00AD0137" w:rsidP="006C0086">
            <w:pPr>
              <w:pStyle w:val="00-Normal-BB"/>
              <w:spacing w:line="276" w:lineRule="auto"/>
              <w:rPr>
                <w:rFonts w:eastAsia="Times New Roman"/>
                <w:color w:val="FFFFFF" w:themeColor="background1"/>
                <w:sz w:val="24"/>
                <w:szCs w:val="24"/>
              </w:rPr>
            </w:pPr>
          </w:p>
        </w:tc>
        <w:tc>
          <w:tcPr>
            <w:tcW w:w="1247" w:type="dxa"/>
            <w:shd w:val="clear" w:color="auto" w:fill="BD2716"/>
          </w:tcPr>
          <w:p w14:paraId="49D684B2" w14:textId="23477CC1" w:rsidR="00AD0137" w:rsidRPr="00D948C1" w:rsidRDefault="00AD0137" w:rsidP="006C0086">
            <w:pPr>
              <w:spacing w:line="276" w:lineRule="auto"/>
              <w:jc w:val="center"/>
              <w:rPr>
                <w:color w:val="FFFFFF" w:themeColor="background1"/>
                <w:szCs w:val="24"/>
              </w:rPr>
            </w:pPr>
          </w:p>
        </w:tc>
        <w:tc>
          <w:tcPr>
            <w:tcW w:w="2410" w:type="dxa"/>
            <w:gridSpan w:val="2"/>
            <w:shd w:val="clear" w:color="auto" w:fill="BD2716"/>
            <w:vAlign w:val="center"/>
          </w:tcPr>
          <w:p w14:paraId="45AD8811" w14:textId="045B0BDA" w:rsidR="00AD0137" w:rsidRPr="00D948C1" w:rsidRDefault="00AD0137" w:rsidP="006C0086">
            <w:pPr>
              <w:spacing w:line="276" w:lineRule="auto"/>
              <w:jc w:val="center"/>
              <w:rPr>
                <w:color w:val="FFFFFF" w:themeColor="background1"/>
                <w:szCs w:val="24"/>
              </w:rPr>
            </w:pPr>
            <w:r w:rsidRPr="00D948C1">
              <w:rPr>
                <w:color w:val="FFFFFF" w:themeColor="background1"/>
                <w:szCs w:val="24"/>
              </w:rPr>
              <w:t xml:space="preserve">Assets </w:t>
            </w:r>
            <w:proofErr w:type="gramStart"/>
            <w:r w:rsidRPr="00D948C1">
              <w:rPr>
                <w:color w:val="FFFFFF" w:themeColor="background1"/>
                <w:szCs w:val="24"/>
              </w:rPr>
              <w:t>at</w:t>
            </w:r>
            <w:proofErr w:type="gramEnd"/>
            <w:r w:rsidRPr="00D948C1">
              <w:rPr>
                <w:color w:val="FFFFFF" w:themeColor="background1"/>
                <w:szCs w:val="24"/>
              </w:rPr>
              <w:t xml:space="preserve"> 31 March 20</w:t>
            </w:r>
            <w:r w:rsidR="00061A8D" w:rsidRPr="00D948C1">
              <w:rPr>
                <w:color w:val="FFFFFF" w:themeColor="background1"/>
                <w:szCs w:val="24"/>
              </w:rPr>
              <w:t>2</w:t>
            </w:r>
            <w:r w:rsidR="00FF43EE" w:rsidRPr="00D948C1">
              <w:rPr>
                <w:color w:val="FFFFFF" w:themeColor="background1"/>
                <w:szCs w:val="24"/>
              </w:rPr>
              <w:t>4</w:t>
            </w:r>
          </w:p>
        </w:tc>
        <w:tc>
          <w:tcPr>
            <w:tcW w:w="2410" w:type="dxa"/>
            <w:gridSpan w:val="2"/>
            <w:shd w:val="clear" w:color="auto" w:fill="BD2716"/>
            <w:vAlign w:val="center"/>
          </w:tcPr>
          <w:p w14:paraId="2D49C121" w14:textId="0B8FBF6C" w:rsidR="00AD0137" w:rsidRPr="00D948C1" w:rsidRDefault="00AD0137" w:rsidP="006C0086">
            <w:pPr>
              <w:spacing w:line="276" w:lineRule="auto"/>
              <w:jc w:val="center"/>
              <w:rPr>
                <w:color w:val="FFFFFF" w:themeColor="background1"/>
                <w:szCs w:val="24"/>
              </w:rPr>
            </w:pPr>
            <w:r w:rsidRPr="00D948C1">
              <w:rPr>
                <w:color w:val="FFFFFF" w:themeColor="background1"/>
                <w:szCs w:val="24"/>
              </w:rPr>
              <w:t xml:space="preserve">Assets </w:t>
            </w:r>
            <w:proofErr w:type="gramStart"/>
            <w:r w:rsidRPr="00D948C1">
              <w:rPr>
                <w:color w:val="FFFFFF" w:themeColor="background1"/>
                <w:szCs w:val="24"/>
              </w:rPr>
              <w:t>at</w:t>
            </w:r>
            <w:proofErr w:type="gramEnd"/>
            <w:r w:rsidRPr="00D948C1">
              <w:rPr>
                <w:color w:val="FFFFFF" w:themeColor="background1"/>
                <w:szCs w:val="24"/>
              </w:rPr>
              <w:t xml:space="preserve"> 31 March 20</w:t>
            </w:r>
            <w:r w:rsidR="00BC6AC5" w:rsidRPr="00D948C1">
              <w:rPr>
                <w:color w:val="FFFFFF" w:themeColor="background1"/>
                <w:szCs w:val="24"/>
              </w:rPr>
              <w:t>2</w:t>
            </w:r>
            <w:r w:rsidR="00FF43EE" w:rsidRPr="00D948C1">
              <w:rPr>
                <w:color w:val="FFFFFF" w:themeColor="background1"/>
                <w:szCs w:val="24"/>
              </w:rPr>
              <w:t>3</w:t>
            </w:r>
          </w:p>
        </w:tc>
      </w:tr>
      <w:tr w:rsidR="00721F24" w:rsidRPr="00D948C1" w14:paraId="1CD6A7CD" w14:textId="77777777" w:rsidTr="00611673">
        <w:trPr>
          <w:tblHeader/>
        </w:trPr>
        <w:tc>
          <w:tcPr>
            <w:tcW w:w="1872" w:type="dxa"/>
            <w:shd w:val="clear" w:color="auto" w:fill="BD2716"/>
          </w:tcPr>
          <w:p w14:paraId="138D1CD3" w14:textId="77777777" w:rsidR="00721F24" w:rsidRPr="00D948C1" w:rsidRDefault="00721F24" w:rsidP="006C0086">
            <w:pPr>
              <w:spacing w:line="276" w:lineRule="auto"/>
              <w:jc w:val="both"/>
              <w:rPr>
                <w:color w:val="FFFFFF" w:themeColor="background1"/>
                <w:szCs w:val="24"/>
              </w:rPr>
            </w:pPr>
          </w:p>
        </w:tc>
        <w:tc>
          <w:tcPr>
            <w:tcW w:w="1247" w:type="dxa"/>
            <w:shd w:val="clear" w:color="auto" w:fill="BD2716"/>
          </w:tcPr>
          <w:p w14:paraId="27977ECE" w14:textId="1C0FC00D" w:rsidR="00721F24" w:rsidRPr="00D948C1" w:rsidRDefault="00611673" w:rsidP="006C0086">
            <w:pPr>
              <w:tabs>
                <w:tab w:val="decimal" w:pos="681"/>
              </w:tabs>
              <w:spacing w:line="276" w:lineRule="auto"/>
              <w:rPr>
                <w:color w:val="FFFFFF" w:themeColor="background1"/>
                <w:szCs w:val="24"/>
              </w:rPr>
            </w:pPr>
            <w:r w:rsidRPr="00D948C1">
              <w:rPr>
                <w:color w:val="FFFFFF" w:themeColor="background1"/>
                <w:szCs w:val="24"/>
              </w:rPr>
              <w:t>Quoted in active market</w:t>
            </w:r>
          </w:p>
        </w:tc>
        <w:tc>
          <w:tcPr>
            <w:tcW w:w="1276" w:type="dxa"/>
            <w:shd w:val="clear" w:color="auto" w:fill="BD2716"/>
            <w:vAlign w:val="center"/>
          </w:tcPr>
          <w:p w14:paraId="5995FDFC" w14:textId="77777777" w:rsidR="00721F24" w:rsidRPr="00D948C1" w:rsidRDefault="00721F24" w:rsidP="006C0086">
            <w:pPr>
              <w:tabs>
                <w:tab w:val="decimal" w:pos="681"/>
              </w:tabs>
              <w:spacing w:line="276" w:lineRule="auto"/>
              <w:jc w:val="right"/>
              <w:rPr>
                <w:color w:val="FFFFFF" w:themeColor="background1"/>
                <w:szCs w:val="24"/>
              </w:rPr>
            </w:pPr>
            <w:r w:rsidRPr="00D948C1">
              <w:rPr>
                <w:color w:val="FFFFFF" w:themeColor="background1"/>
                <w:szCs w:val="24"/>
              </w:rPr>
              <w:t>Fair Value</w:t>
            </w:r>
          </w:p>
          <w:p w14:paraId="79E873FF" w14:textId="25F957FA" w:rsidR="007A439F" w:rsidRPr="00D948C1" w:rsidRDefault="007A439F" w:rsidP="006C0086">
            <w:pPr>
              <w:tabs>
                <w:tab w:val="decimal" w:pos="681"/>
              </w:tabs>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65B6E6F2" w14:textId="77777777" w:rsidR="00721F24" w:rsidRPr="00D948C1" w:rsidRDefault="00721F24" w:rsidP="006C0086">
            <w:pPr>
              <w:spacing w:line="276" w:lineRule="auto"/>
              <w:jc w:val="right"/>
              <w:rPr>
                <w:color w:val="FFFFFF" w:themeColor="background1"/>
                <w:szCs w:val="24"/>
              </w:rPr>
            </w:pPr>
            <w:r w:rsidRPr="00D948C1">
              <w:rPr>
                <w:color w:val="FFFFFF" w:themeColor="background1"/>
                <w:szCs w:val="24"/>
              </w:rPr>
              <w:t>%</w:t>
            </w:r>
          </w:p>
        </w:tc>
        <w:tc>
          <w:tcPr>
            <w:tcW w:w="1275" w:type="dxa"/>
            <w:shd w:val="clear" w:color="auto" w:fill="BD2716"/>
            <w:vAlign w:val="center"/>
          </w:tcPr>
          <w:p w14:paraId="42872CFD" w14:textId="77777777" w:rsidR="00721F24" w:rsidRPr="00D948C1" w:rsidRDefault="00721F24" w:rsidP="006C0086">
            <w:pPr>
              <w:tabs>
                <w:tab w:val="decimal" w:pos="681"/>
              </w:tabs>
              <w:spacing w:line="276" w:lineRule="auto"/>
              <w:jc w:val="right"/>
              <w:rPr>
                <w:color w:val="FFFFFF" w:themeColor="background1"/>
                <w:szCs w:val="24"/>
              </w:rPr>
            </w:pPr>
            <w:r w:rsidRPr="00D948C1">
              <w:rPr>
                <w:color w:val="FFFFFF" w:themeColor="background1"/>
                <w:szCs w:val="24"/>
              </w:rPr>
              <w:t>Fair Value</w:t>
            </w:r>
          </w:p>
          <w:p w14:paraId="34C6CA53" w14:textId="358433EB" w:rsidR="007A439F" w:rsidRPr="00D948C1" w:rsidRDefault="007A439F" w:rsidP="006C0086">
            <w:pPr>
              <w:tabs>
                <w:tab w:val="decimal" w:pos="681"/>
              </w:tabs>
              <w:spacing w:line="276" w:lineRule="auto"/>
              <w:jc w:val="right"/>
              <w:rPr>
                <w:color w:val="FFFFFF" w:themeColor="background1"/>
                <w:szCs w:val="24"/>
              </w:rPr>
            </w:pPr>
            <w:r w:rsidRPr="00D948C1">
              <w:rPr>
                <w:color w:val="FFFFFF" w:themeColor="background1"/>
                <w:szCs w:val="24"/>
              </w:rPr>
              <w:t>£000</w:t>
            </w:r>
          </w:p>
        </w:tc>
        <w:tc>
          <w:tcPr>
            <w:tcW w:w="1135" w:type="dxa"/>
            <w:shd w:val="clear" w:color="auto" w:fill="BD2716"/>
            <w:vAlign w:val="center"/>
          </w:tcPr>
          <w:p w14:paraId="494CA805" w14:textId="3DF223B1" w:rsidR="00721F24" w:rsidRPr="00D948C1" w:rsidRDefault="00721F24" w:rsidP="006C0086">
            <w:pPr>
              <w:spacing w:line="276" w:lineRule="auto"/>
              <w:ind w:right="99"/>
              <w:jc w:val="right"/>
              <w:rPr>
                <w:color w:val="FFFFFF" w:themeColor="background1"/>
                <w:szCs w:val="24"/>
              </w:rPr>
            </w:pPr>
            <w:r w:rsidRPr="00D948C1">
              <w:rPr>
                <w:color w:val="FFFFFF" w:themeColor="background1"/>
                <w:szCs w:val="24"/>
              </w:rPr>
              <w:t>%</w:t>
            </w:r>
          </w:p>
        </w:tc>
      </w:tr>
      <w:tr w:rsidR="00FF43EE" w:rsidRPr="00D948C1" w14:paraId="0813B342" w14:textId="77777777" w:rsidTr="00982FEC">
        <w:trPr>
          <w:trHeight w:hRule="exact" w:val="300"/>
        </w:trPr>
        <w:tc>
          <w:tcPr>
            <w:tcW w:w="1872" w:type="dxa"/>
          </w:tcPr>
          <w:p w14:paraId="3942774D" w14:textId="77777777" w:rsidR="00FF43EE" w:rsidRPr="00D948C1" w:rsidRDefault="00FF43EE" w:rsidP="006C0086">
            <w:pPr>
              <w:spacing w:line="276" w:lineRule="auto"/>
              <w:rPr>
                <w:szCs w:val="24"/>
              </w:rPr>
            </w:pPr>
            <w:r w:rsidRPr="00D948C1">
              <w:rPr>
                <w:szCs w:val="24"/>
              </w:rPr>
              <w:t>Equities</w:t>
            </w:r>
          </w:p>
        </w:tc>
        <w:tc>
          <w:tcPr>
            <w:tcW w:w="1247" w:type="dxa"/>
          </w:tcPr>
          <w:p w14:paraId="45E7930C" w14:textId="77777777" w:rsidR="00FF43EE" w:rsidRPr="00D948C1" w:rsidRDefault="00FF43EE" w:rsidP="006C0086">
            <w:pPr>
              <w:spacing w:line="276" w:lineRule="auto"/>
              <w:jc w:val="center"/>
              <w:rPr>
                <w:snapToGrid w:val="0"/>
                <w:color w:val="000000"/>
                <w:szCs w:val="24"/>
              </w:rPr>
            </w:pPr>
            <w:r w:rsidRPr="00D948C1">
              <w:rPr>
                <w:snapToGrid w:val="0"/>
                <w:color w:val="000000"/>
                <w:szCs w:val="24"/>
              </w:rPr>
              <w:t>Y</w:t>
            </w:r>
          </w:p>
        </w:tc>
        <w:tc>
          <w:tcPr>
            <w:tcW w:w="1276" w:type="dxa"/>
            <w:vAlign w:val="center"/>
          </w:tcPr>
          <w:p w14:paraId="60011789" w14:textId="76116FF2" w:rsidR="00FF43EE" w:rsidRPr="00D948C1" w:rsidRDefault="000D683A" w:rsidP="006C0086">
            <w:pPr>
              <w:spacing w:line="276" w:lineRule="auto"/>
              <w:jc w:val="right"/>
              <w:rPr>
                <w:szCs w:val="24"/>
              </w:rPr>
            </w:pPr>
            <w:r w:rsidRPr="00D948C1">
              <w:rPr>
                <w:szCs w:val="24"/>
              </w:rPr>
              <w:t>1,873</w:t>
            </w:r>
          </w:p>
        </w:tc>
        <w:tc>
          <w:tcPr>
            <w:tcW w:w="1134" w:type="dxa"/>
            <w:vAlign w:val="center"/>
          </w:tcPr>
          <w:p w14:paraId="24F0DD5B" w14:textId="17D4604E"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2.</w:t>
            </w:r>
            <w:r w:rsidR="004D27AB" w:rsidRPr="00D948C1">
              <w:rPr>
                <w:snapToGrid w:val="0"/>
                <w:color w:val="000000"/>
                <w:szCs w:val="24"/>
              </w:rPr>
              <w:t>2</w:t>
            </w:r>
          </w:p>
        </w:tc>
        <w:tc>
          <w:tcPr>
            <w:tcW w:w="1275" w:type="dxa"/>
            <w:vAlign w:val="center"/>
          </w:tcPr>
          <w:p w14:paraId="4768A5D4" w14:textId="21D77A69" w:rsidR="00FF43EE" w:rsidRPr="00D948C1" w:rsidRDefault="00FF43EE" w:rsidP="006C0086">
            <w:pPr>
              <w:spacing w:line="276" w:lineRule="auto"/>
              <w:jc w:val="right"/>
              <w:rPr>
                <w:szCs w:val="24"/>
              </w:rPr>
            </w:pPr>
            <w:r w:rsidRPr="00D948C1">
              <w:rPr>
                <w:szCs w:val="24"/>
              </w:rPr>
              <w:t>1,645</w:t>
            </w:r>
          </w:p>
        </w:tc>
        <w:tc>
          <w:tcPr>
            <w:tcW w:w="1135" w:type="dxa"/>
            <w:vAlign w:val="center"/>
          </w:tcPr>
          <w:p w14:paraId="14AE9195" w14:textId="5ECB6D8A"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2.1</w:t>
            </w:r>
          </w:p>
        </w:tc>
      </w:tr>
      <w:tr w:rsidR="00FF43EE" w:rsidRPr="00D948C1" w14:paraId="785081DF" w14:textId="77777777" w:rsidTr="00982FEC">
        <w:trPr>
          <w:trHeight w:hRule="exact" w:val="300"/>
        </w:trPr>
        <w:tc>
          <w:tcPr>
            <w:tcW w:w="1872" w:type="dxa"/>
          </w:tcPr>
          <w:p w14:paraId="76D0B24E" w14:textId="77777777" w:rsidR="00FF43EE" w:rsidRPr="00D948C1" w:rsidRDefault="00FF43EE" w:rsidP="006C0086">
            <w:pPr>
              <w:spacing w:line="276" w:lineRule="auto"/>
              <w:rPr>
                <w:szCs w:val="24"/>
              </w:rPr>
            </w:pPr>
            <w:r w:rsidRPr="00D948C1">
              <w:rPr>
                <w:szCs w:val="24"/>
              </w:rPr>
              <w:lastRenderedPageBreak/>
              <w:t>Bonds</w:t>
            </w:r>
          </w:p>
        </w:tc>
        <w:tc>
          <w:tcPr>
            <w:tcW w:w="1247" w:type="dxa"/>
          </w:tcPr>
          <w:p w14:paraId="3F55578B" w14:textId="77777777" w:rsidR="00FF43EE" w:rsidRPr="00D948C1" w:rsidRDefault="00FF43EE" w:rsidP="006C0086">
            <w:pPr>
              <w:spacing w:line="276" w:lineRule="auto"/>
              <w:jc w:val="center"/>
              <w:rPr>
                <w:snapToGrid w:val="0"/>
                <w:color w:val="000000"/>
                <w:szCs w:val="24"/>
              </w:rPr>
            </w:pPr>
            <w:r w:rsidRPr="00D948C1">
              <w:rPr>
                <w:snapToGrid w:val="0"/>
                <w:color w:val="000000"/>
                <w:szCs w:val="24"/>
              </w:rPr>
              <w:t>Y</w:t>
            </w:r>
          </w:p>
        </w:tc>
        <w:tc>
          <w:tcPr>
            <w:tcW w:w="1276" w:type="dxa"/>
            <w:vAlign w:val="center"/>
          </w:tcPr>
          <w:p w14:paraId="480C370D" w14:textId="56C96FEE" w:rsidR="00FF43EE" w:rsidRPr="00D948C1" w:rsidRDefault="00FF43EE" w:rsidP="006C0086">
            <w:pPr>
              <w:spacing w:line="276" w:lineRule="auto"/>
              <w:jc w:val="right"/>
              <w:rPr>
                <w:szCs w:val="24"/>
              </w:rPr>
            </w:pPr>
            <w:r w:rsidRPr="00D948C1">
              <w:rPr>
                <w:szCs w:val="24"/>
              </w:rPr>
              <w:t>1,</w:t>
            </w:r>
            <w:r w:rsidR="000D683A" w:rsidRPr="00D948C1">
              <w:rPr>
                <w:szCs w:val="24"/>
              </w:rPr>
              <w:t>349</w:t>
            </w:r>
          </w:p>
        </w:tc>
        <w:tc>
          <w:tcPr>
            <w:tcW w:w="1134" w:type="dxa"/>
            <w:vAlign w:val="center"/>
          </w:tcPr>
          <w:p w14:paraId="17A8D979" w14:textId="3516B4AE"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1.</w:t>
            </w:r>
            <w:r w:rsidR="004D27AB" w:rsidRPr="00D948C1">
              <w:rPr>
                <w:snapToGrid w:val="0"/>
                <w:color w:val="000000"/>
                <w:szCs w:val="24"/>
              </w:rPr>
              <w:t>6</w:t>
            </w:r>
          </w:p>
        </w:tc>
        <w:tc>
          <w:tcPr>
            <w:tcW w:w="1275" w:type="dxa"/>
            <w:vAlign w:val="center"/>
          </w:tcPr>
          <w:p w14:paraId="43ABB213" w14:textId="60E95EA3" w:rsidR="00FF43EE" w:rsidRPr="00D948C1" w:rsidRDefault="00FF43EE" w:rsidP="006C0086">
            <w:pPr>
              <w:spacing w:line="276" w:lineRule="auto"/>
              <w:jc w:val="right"/>
              <w:rPr>
                <w:szCs w:val="24"/>
              </w:rPr>
            </w:pPr>
            <w:r w:rsidRPr="00D948C1">
              <w:rPr>
                <w:szCs w:val="24"/>
              </w:rPr>
              <w:t>1,325</w:t>
            </w:r>
          </w:p>
        </w:tc>
        <w:tc>
          <w:tcPr>
            <w:tcW w:w="1135" w:type="dxa"/>
            <w:vAlign w:val="center"/>
          </w:tcPr>
          <w:p w14:paraId="2CDB68CE" w14:textId="0445DDF1"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1.7</w:t>
            </w:r>
          </w:p>
        </w:tc>
      </w:tr>
      <w:tr w:rsidR="00FF43EE" w:rsidRPr="00D948C1" w14:paraId="1BF86F9E" w14:textId="77777777" w:rsidTr="00982FEC">
        <w:trPr>
          <w:trHeight w:hRule="exact" w:val="300"/>
        </w:trPr>
        <w:tc>
          <w:tcPr>
            <w:tcW w:w="1872" w:type="dxa"/>
          </w:tcPr>
          <w:p w14:paraId="43933C73" w14:textId="77777777" w:rsidR="00FF43EE" w:rsidRPr="00D948C1" w:rsidRDefault="00FF43EE" w:rsidP="006C0086">
            <w:pPr>
              <w:spacing w:line="276" w:lineRule="auto"/>
              <w:rPr>
                <w:szCs w:val="24"/>
              </w:rPr>
            </w:pPr>
            <w:r w:rsidRPr="00D948C1">
              <w:rPr>
                <w:szCs w:val="24"/>
              </w:rPr>
              <w:t>Property</w:t>
            </w:r>
          </w:p>
        </w:tc>
        <w:tc>
          <w:tcPr>
            <w:tcW w:w="1247" w:type="dxa"/>
          </w:tcPr>
          <w:p w14:paraId="0282EC1C" w14:textId="77777777" w:rsidR="00FF43EE" w:rsidRPr="00D948C1" w:rsidRDefault="00FF43EE" w:rsidP="006C0086">
            <w:pPr>
              <w:spacing w:line="276" w:lineRule="auto"/>
              <w:jc w:val="center"/>
              <w:rPr>
                <w:snapToGrid w:val="0"/>
                <w:color w:val="000000"/>
                <w:szCs w:val="24"/>
              </w:rPr>
            </w:pPr>
            <w:r w:rsidRPr="00D948C1">
              <w:rPr>
                <w:snapToGrid w:val="0"/>
                <w:color w:val="000000"/>
                <w:szCs w:val="24"/>
              </w:rPr>
              <w:t>N</w:t>
            </w:r>
          </w:p>
        </w:tc>
        <w:tc>
          <w:tcPr>
            <w:tcW w:w="1276" w:type="dxa"/>
            <w:vAlign w:val="center"/>
          </w:tcPr>
          <w:p w14:paraId="73A8A9F6" w14:textId="7F87F3EB" w:rsidR="00FF43EE" w:rsidRPr="00D948C1" w:rsidRDefault="00FF43EE" w:rsidP="006C0086">
            <w:pPr>
              <w:spacing w:line="276" w:lineRule="auto"/>
              <w:jc w:val="right"/>
              <w:rPr>
                <w:szCs w:val="24"/>
              </w:rPr>
            </w:pPr>
            <w:r w:rsidRPr="00D948C1">
              <w:rPr>
                <w:szCs w:val="24"/>
              </w:rPr>
              <w:t>1,</w:t>
            </w:r>
            <w:r w:rsidR="000D683A" w:rsidRPr="00D948C1">
              <w:rPr>
                <w:szCs w:val="24"/>
              </w:rPr>
              <w:t>463</w:t>
            </w:r>
          </w:p>
        </w:tc>
        <w:tc>
          <w:tcPr>
            <w:tcW w:w="1134" w:type="dxa"/>
            <w:vAlign w:val="center"/>
          </w:tcPr>
          <w:p w14:paraId="288D40A0" w14:textId="58852898" w:rsidR="00FF43EE" w:rsidRPr="00D948C1" w:rsidRDefault="004D27AB" w:rsidP="006C0086">
            <w:pPr>
              <w:tabs>
                <w:tab w:val="decimal" w:pos="600"/>
              </w:tabs>
              <w:spacing w:line="276" w:lineRule="auto"/>
              <w:ind w:right="34"/>
              <w:jc w:val="right"/>
              <w:rPr>
                <w:snapToGrid w:val="0"/>
                <w:color w:val="000000"/>
                <w:szCs w:val="24"/>
              </w:rPr>
            </w:pPr>
            <w:r w:rsidRPr="00D948C1">
              <w:rPr>
                <w:snapToGrid w:val="0"/>
                <w:color w:val="000000"/>
                <w:szCs w:val="24"/>
              </w:rPr>
              <w:t>1.7</w:t>
            </w:r>
          </w:p>
        </w:tc>
        <w:tc>
          <w:tcPr>
            <w:tcW w:w="1275" w:type="dxa"/>
            <w:vAlign w:val="center"/>
          </w:tcPr>
          <w:p w14:paraId="4DF50713" w14:textId="0DB945DF" w:rsidR="00FF43EE" w:rsidRPr="00D948C1" w:rsidRDefault="00FF43EE" w:rsidP="006C0086">
            <w:pPr>
              <w:spacing w:line="276" w:lineRule="auto"/>
              <w:jc w:val="right"/>
              <w:rPr>
                <w:szCs w:val="24"/>
              </w:rPr>
            </w:pPr>
            <w:r w:rsidRPr="00D948C1">
              <w:rPr>
                <w:szCs w:val="24"/>
              </w:rPr>
              <w:t>1,553</w:t>
            </w:r>
          </w:p>
        </w:tc>
        <w:tc>
          <w:tcPr>
            <w:tcW w:w="1135" w:type="dxa"/>
            <w:vAlign w:val="center"/>
          </w:tcPr>
          <w:p w14:paraId="4C1D52A5" w14:textId="5F0145F5"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2.0</w:t>
            </w:r>
          </w:p>
        </w:tc>
      </w:tr>
      <w:tr w:rsidR="00FF43EE" w:rsidRPr="00D948C1" w14:paraId="7ED35A95" w14:textId="77777777" w:rsidTr="00982FEC">
        <w:trPr>
          <w:trHeight w:hRule="exact" w:val="300"/>
        </w:trPr>
        <w:tc>
          <w:tcPr>
            <w:tcW w:w="1872" w:type="dxa"/>
          </w:tcPr>
          <w:p w14:paraId="24DEB48D" w14:textId="08B18A9E" w:rsidR="00FF43EE" w:rsidRPr="00D948C1" w:rsidRDefault="00FF43EE" w:rsidP="006C0086">
            <w:pPr>
              <w:spacing w:line="276" w:lineRule="auto"/>
              <w:rPr>
                <w:szCs w:val="24"/>
              </w:rPr>
            </w:pPr>
            <w:r w:rsidRPr="00D948C1">
              <w:rPr>
                <w:snapToGrid w:val="0"/>
                <w:color w:val="000000"/>
                <w:szCs w:val="24"/>
              </w:rPr>
              <w:t>Cash/Liquidity</w:t>
            </w:r>
          </w:p>
        </w:tc>
        <w:tc>
          <w:tcPr>
            <w:tcW w:w="1247" w:type="dxa"/>
          </w:tcPr>
          <w:p w14:paraId="0EC148E3" w14:textId="77777777" w:rsidR="00FF43EE" w:rsidRPr="00D948C1" w:rsidRDefault="00FF43EE" w:rsidP="006C0086">
            <w:pPr>
              <w:spacing w:line="276" w:lineRule="auto"/>
              <w:jc w:val="center"/>
              <w:rPr>
                <w:snapToGrid w:val="0"/>
                <w:color w:val="000000"/>
                <w:szCs w:val="24"/>
              </w:rPr>
            </w:pPr>
            <w:r w:rsidRPr="00D948C1">
              <w:rPr>
                <w:snapToGrid w:val="0"/>
                <w:color w:val="000000"/>
                <w:szCs w:val="24"/>
              </w:rPr>
              <w:t xml:space="preserve">N </w:t>
            </w:r>
          </w:p>
        </w:tc>
        <w:tc>
          <w:tcPr>
            <w:tcW w:w="1276" w:type="dxa"/>
            <w:vAlign w:val="center"/>
          </w:tcPr>
          <w:p w14:paraId="2815E0C4" w14:textId="2A985F57" w:rsidR="00FF43EE" w:rsidRPr="00D948C1" w:rsidRDefault="000D683A" w:rsidP="006C0086">
            <w:pPr>
              <w:spacing w:line="276" w:lineRule="auto"/>
              <w:jc w:val="right"/>
              <w:rPr>
                <w:szCs w:val="24"/>
              </w:rPr>
            </w:pPr>
            <w:r w:rsidRPr="00D948C1">
              <w:rPr>
                <w:szCs w:val="24"/>
              </w:rPr>
              <w:t>1,560</w:t>
            </w:r>
          </w:p>
        </w:tc>
        <w:tc>
          <w:tcPr>
            <w:tcW w:w="1134" w:type="dxa"/>
            <w:vAlign w:val="center"/>
          </w:tcPr>
          <w:p w14:paraId="6A5C90CC" w14:textId="6B95AC9B" w:rsidR="00FF43EE" w:rsidRPr="00D948C1" w:rsidRDefault="004D27AB" w:rsidP="006C0086">
            <w:pPr>
              <w:tabs>
                <w:tab w:val="decimal" w:pos="600"/>
              </w:tabs>
              <w:spacing w:line="276" w:lineRule="auto"/>
              <w:ind w:right="34"/>
              <w:jc w:val="right"/>
              <w:rPr>
                <w:snapToGrid w:val="0"/>
                <w:color w:val="000000"/>
                <w:szCs w:val="24"/>
              </w:rPr>
            </w:pPr>
            <w:r w:rsidRPr="00D948C1">
              <w:rPr>
                <w:snapToGrid w:val="0"/>
                <w:color w:val="000000"/>
                <w:szCs w:val="24"/>
              </w:rPr>
              <w:t>1</w:t>
            </w:r>
            <w:r w:rsidR="00FF43EE" w:rsidRPr="00D948C1">
              <w:rPr>
                <w:snapToGrid w:val="0"/>
                <w:color w:val="000000"/>
                <w:szCs w:val="24"/>
              </w:rPr>
              <w:t>.9</w:t>
            </w:r>
          </w:p>
        </w:tc>
        <w:tc>
          <w:tcPr>
            <w:tcW w:w="1275" w:type="dxa"/>
            <w:vAlign w:val="center"/>
          </w:tcPr>
          <w:p w14:paraId="7C2BDAE4" w14:textId="5C281A00" w:rsidR="00FF43EE" w:rsidRPr="00D948C1" w:rsidRDefault="00FF43EE" w:rsidP="006C0086">
            <w:pPr>
              <w:spacing w:line="276" w:lineRule="auto"/>
              <w:jc w:val="right"/>
              <w:rPr>
                <w:szCs w:val="24"/>
              </w:rPr>
            </w:pPr>
            <w:r w:rsidRPr="00D948C1">
              <w:rPr>
                <w:szCs w:val="24"/>
              </w:rPr>
              <w:t>695</w:t>
            </w:r>
          </w:p>
        </w:tc>
        <w:tc>
          <w:tcPr>
            <w:tcW w:w="1135" w:type="dxa"/>
            <w:vAlign w:val="center"/>
          </w:tcPr>
          <w:p w14:paraId="3979558A" w14:textId="344082D4"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0.9</w:t>
            </w:r>
          </w:p>
        </w:tc>
      </w:tr>
      <w:tr w:rsidR="00FF43EE" w:rsidRPr="00D948C1" w14:paraId="27D015D1" w14:textId="77777777" w:rsidTr="00982FEC">
        <w:trPr>
          <w:trHeight w:hRule="exact" w:val="300"/>
        </w:trPr>
        <w:tc>
          <w:tcPr>
            <w:tcW w:w="1872" w:type="dxa"/>
          </w:tcPr>
          <w:p w14:paraId="0D4702F6" w14:textId="77777777" w:rsidR="00FF43EE" w:rsidRPr="00D948C1" w:rsidRDefault="00FF43EE" w:rsidP="006C0086">
            <w:pPr>
              <w:spacing w:line="276" w:lineRule="auto"/>
              <w:rPr>
                <w:szCs w:val="24"/>
              </w:rPr>
            </w:pPr>
            <w:r w:rsidRPr="00D948C1">
              <w:rPr>
                <w:szCs w:val="24"/>
              </w:rPr>
              <w:t>Other</w:t>
            </w:r>
          </w:p>
        </w:tc>
        <w:tc>
          <w:tcPr>
            <w:tcW w:w="1247" w:type="dxa"/>
          </w:tcPr>
          <w:p w14:paraId="78496284" w14:textId="77777777" w:rsidR="00FF43EE" w:rsidRPr="00D948C1" w:rsidRDefault="00FF43EE" w:rsidP="006C0086">
            <w:pPr>
              <w:spacing w:line="276" w:lineRule="auto"/>
              <w:jc w:val="center"/>
              <w:rPr>
                <w:snapToGrid w:val="0"/>
                <w:color w:val="000000"/>
                <w:szCs w:val="24"/>
              </w:rPr>
            </w:pPr>
            <w:r w:rsidRPr="00D948C1">
              <w:rPr>
                <w:snapToGrid w:val="0"/>
                <w:color w:val="000000"/>
                <w:szCs w:val="24"/>
              </w:rPr>
              <w:t>N</w:t>
            </w:r>
          </w:p>
        </w:tc>
        <w:tc>
          <w:tcPr>
            <w:tcW w:w="1276" w:type="dxa"/>
            <w:vAlign w:val="center"/>
          </w:tcPr>
          <w:p w14:paraId="32556946" w14:textId="0F6AEB61" w:rsidR="00FF43EE" w:rsidRPr="00D948C1" w:rsidRDefault="00FF43EE" w:rsidP="006C0086">
            <w:pPr>
              <w:spacing w:line="276" w:lineRule="auto"/>
              <w:jc w:val="right"/>
              <w:rPr>
                <w:szCs w:val="24"/>
              </w:rPr>
            </w:pPr>
            <w:r w:rsidRPr="00D948C1">
              <w:rPr>
                <w:szCs w:val="24"/>
              </w:rPr>
              <w:t>7</w:t>
            </w:r>
            <w:r w:rsidR="000D683A" w:rsidRPr="00D948C1">
              <w:rPr>
                <w:szCs w:val="24"/>
              </w:rPr>
              <w:t>7,867</w:t>
            </w:r>
          </w:p>
        </w:tc>
        <w:tc>
          <w:tcPr>
            <w:tcW w:w="1134" w:type="dxa"/>
            <w:vAlign w:val="center"/>
          </w:tcPr>
          <w:p w14:paraId="11B47E12" w14:textId="1A7A8F90"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9</w:t>
            </w:r>
            <w:r w:rsidR="004D27AB" w:rsidRPr="00D948C1">
              <w:rPr>
                <w:snapToGrid w:val="0"/>
                <w:color w:val="000000"/>
                <w:szCs w:val="24"/>
              </w:rPr>
              <w:t>2.6</w:t>
            </w:r>
          </w:p>
        </w:tc>
        <w:tc>
          <w:tcPr>
            <w:tcW w:w="1275" w:type="dxa"/>
            <w:vAlign w:val="center"/>
          </w:tcPr>
          <w:p w14:paraId="545531A2" w14:textId="3EBC1821" w:rsidR="00FF43EE" w:rsidRPr="00D948C1" w:rsidRDefault="00FF43EE" w:rsidP="006C0086">
            <w:pPr>
              <w:spacing w:line="276" w:lineRule="auto"/>
              <w:jc w:val="right"/>
              <w:rPr>
                <w:szCs w:val="24"/>
              </w:rPr>
            </w:pPr>
            <w:r w:rsidRPr="00D948C1">
              <w:rPr>
                <w:szCs w:val="24"/>
              </w:rPr>
              <w:t>73,142</w:t>
            </w:r>
          </w:p>
        </w:tc>
        <w:tc>
          <w:tcPr>
            <w:tcW w:w="1135" w:type="dxa"/>
            <w:vAlign w:val="center"/>
          </w:tcPr>
          <w:p w14:paraId="635DFD6C" w14:textId="18C814BF"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93.3</w:t>
            </w:r>
          </w:p>
        </w:tc>
      </w:tr>
      <w:tr w:rsidR="00FF43EE" w:rsidRPr="00D948C1" w14:paraId="47A9C906" w14:textId="77777777" w:rsidTr="00982FEC">
        <w:trPr>
          <w:trHeight w:hRule="exact" w:val="300"/>
        </w:trPr>
        <w:tc>
          <w:tcPr>
            <w:tcW w:w="1872" w:type="dxa"/>
          </w:tcPr>
          <w:p w14:paraId="74E1B6E2" w14:textId="7623FAE9" w:rsidR="00FF43EE" w:rsidRPr="00D948C1" w:rsidRDefault="00FF43EE" w:rsidP="006C0086">
            <w:pPr>
              <w:spacing w:line="276" w:lineRule="auto"/>
              <w:rPr>
                <w:szCs w:val="24"/>
              </w:rPr>
            </w:pPr>
            <w:r w:rsidRPr="00D948C1">
              <w:rPr>
                <w:szCs w:val="24"/>
              </w:rPr>
              <w:t>Total</w:t>
            </w:r>
          </w:p>
        </w:tc>
        <w:tc>
          <w:tcPr>
            <w:tcW w:w="1247" w:type="dxa"/>
          </w:tcPr>
          <w:p w14:paraId="1231F2A4" w14:textId="77777777" w:rsidR="00FF43EE" w:rsidRPr="00D948C1" w:rsidRDefault="00FF43EE" w:rsidP="006C0086">
            <w:pPr>
              <w:spacing w:line="276" w:lineRule="auto"/>
              <w:jc w:val="center"/>
              <w:rPr>
                <w:snapToGrid w:val="0"/>
                <w:color w:val="000000"/>
                <w:szCs w:val="24"/>
              </w:rPr>
            </w:pPr>
          </w:p>
        </w:tc>
        <w:tc>
          <w:tcPr>
            <w:tcW w:w="1276" w:type="dxa"/>
            <w:vAlign w:val="center"/>
          </w:tcPr>
          <w:p w14:paraId="21363ED8" w14:textId="46E77C03" w:rsidR="00FF43EE" w:rsidRPr="00D948C1" w:rsidRDefault="000D683A" w:rsidP="006C0086">
            <w:pPr>
              <w:spacing w:line="276" w:lineRule="auto"/>
              <w:jc w:val="right"/>
              <w:rPr>
                <w:szCs w:val="24"/>
              </w:rPr>
            </w:pPr>
            <w:r w:rsidRPr="00D948C1">
              <w:rPr>
                <w:szCs w:val="24"/>
              </w:rPr>
              <w:t>8</w:t>
            </w:r>
            <w:r w:rsidR="000931CD" w:rsidRPr="00D948C1">
              <w:rPr>
                <w:szCs w:val="24"/>
              </w:rPr>
              <w:t>4,113</w:t>
            </w:r>
          </w:p>
        </w:tc>
        <w:tc>
          <w:tcPr>
            <w:tcW w:w="1134" w:type="dxa"/>
            <w:vAlign w:val="center"/>
          </w:tcPr>
          <w:p w14:paraId="39159FF6" w14:textId="0BC9926A"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100.0</w:t>
            </w:r>
          </w:p>
        </w:tc>
        <w:tc>
          <w:tcPr>
            <w:tcW w:w="1275" w:type="dxa"/>
            <w:vAlign w:val="center"/>
          </w:tcPr>
          <w:p w14:paraId="0DA682C0" w14:textId="35B0D182" w:rsidR="00FF43EE" w:rsidRPr="00D948C1" w:rsidRDefault="00FF43EE" w:rsidP="006C0086">
            <w:pPr>
              <w:spacing w:line="276" w:lineRule="auto"/>
              <w:jc w:val="right"/>
              <w:rPr>
                <w:szCs w:val="24"/>
              </w:rPr>
            </w:pPr>
            <w:r w:rsidRPr="00D948C1">
              <w:rPr>
                <w:szCs w:val="24"/>
              </w:rPr>
              <w:t>78,360</w:t>
            </w:r>
          </w:p>
        </w:tc>
        <w:tc>
          <w:tcPr>
            <w:tcW w:w="1135" w:type="dxa"/>
            <w:vAlign w:val="center"/>
          </w:tcPr>
          <w:p w14:paraId="47F2C62F" w14:textId="5FD8C286" w:rsidR="00FF43EE" w:rsidRPr="00D948C1" w:rsidRDefault="00FF43EE" w:rsidP="006C0086">
            <w:pPr>
              <w:tabs>
                <w:tab w:val="decimal" w:pos="600"/>
              </w:tabs>
              <w:spacing w:line="276" w:lineRule="auto"/>
              <w:ind w:right="34"/>
              <w:jc w:val="right"/>
              <w:rPr>
                <w:snapToGrid w:val="0"/>
                <w:color w:val="000000"/>
                <w:szCs w:val="24"/>
              </w:rPr>
            </w:pPr>
            <w:r w:rsidRPr="00D948C1">
              <w:rPr>
                <w:snapToGrid w:val="0"/>
                <w:color w:val="000000"/>
                <w:szCs w:val="24"/>
              </w:rPr>
              <w:t>100.0</w:t>
            </w:r>
          </w:p>
        </w:tc>
      </w:tr>
    </w:tbl>
    <w:p w14:paraId="5A3FE3F8" w14:textId="6D170DB0" w:rsidR="00F12792" w:rsidRPr="00D948C1" w:rsidRDefault="00F12792" w:rsidP="006C0086">
      <w:pPr>
        <w:spacing w:line="276" w:lineRule="auto"/>
        <w:rPr>
          <w:b/>
          <w:szCs w:val="24"/>
        </w:rPr>
      </w:pPr>
    </w:p>
    <w:p w14:paraId="6BE1E772" w14:textId="4E5CD40D" w:rsidR="00D90216" w:rsidRPr="00D948C1" w:rsidRDefault="001C592E" w:rsidP="006C0086">
      <w:pPr>
        <w:pStyle w:val="Heading2"/>
        <w:spacing w:line="276" w:lineRule="auto"/>
        <w:jc w:val="left"/>
        <w:rPr>
          <w:sz w:val="24"/>
          <w:szCs w:val="24"/>
        </w:rPr>
      </w:pPr>
      <w:bookmarkStart w:id="54" w:name="_Toc171068800"/>
      <w:r w:rsidRPr="00D948C1">
        <w:rPr>
          <w:sz w:val="24"/>
          <w:szCs w:val="24"/>
        </w:rPr>
        <w:t>1</w:t>
      </w:r>
      <w:r w:rsidR="00BC6AC5" w:rsidRPr="00D948C1">
        <w:rPr>
          <w:sz w:val="24"/>
          <w:szCs w:val="24"/>
        </w:rPr>
        <w:t>6</w:t>
      </w:r>
      <w:r w:rsidR="00D96A83" w:rsidRPr="00D948C1">
        <w:rPr>
          <w:sz w:val="24"/>
          <w:szCs w:val="24"/>
        </w:rPr>
        <w:tab/>
      </w:r>
      <w:r w:rsidR="00D90216" w:rsidRPr="00D948C1">
        <w:rPr>
          <w:sz w:val="24"/>
          <w:szCs w:val="24"/>
        </w:rPr>
        <w:t>Usable Reserves</w:t>
      </w:r>
      <w:bookmarkEnd w:id="54"/>
    </w:p>
    <w:p w14:paraId="5478EB09" w14:textId="77777777" w:rsidR="00D90216" w:rsidRPr="00D948C1" w:rsidRDefault="00D90216" w:rsidP="006C0086">
      <w:pPr>
        <w:spacing w:line="276" w:lineRule="auto"/>
        <w:ind w:left="360"/>
        <w:rPr>
          <w:szCs w:val="24"/>
        </w:rPr>
      </w:pPr>
    </w:p>
    <w:p w14:paraId="3DDDA464" w14:textId="0DCB9F67" w:rsidR="00A45B68" w:rsidRPr="00D948C1" w:rsidRDefault="00D90216" w:rsidP="006C0086">
      <w:pPr>
        <w:spacing w:line="276" w:lineRule="auto"/>
        <w:ind w:left="709"/>
        <w:rPr>
          <w:szCs w:val="24"/>
        </w:rPr>
      </w:pPr>
      <w:r w:rsidRPr="00D948C1">
        <w:rPr>
          <w:szCs w:val="24"/>
        </w:rPr>
        <w:t>Movements in the Authority’s usable reserves are detailed in the Movement in Reserves Statement</w:t>
      </w:r>
      <w:r w:rsidR="00E2639F" w:rsidRPr="00D948C1">
        <w:rPr>
          <w:szCs w:val="24"/>
        </w:rPr>
        <w:t>s</w:t>
      </w:r>
      <w:r w:rsidRPr="00D948C1">
        <w:rPr>
          <w:szCs w:val="24"/>
        </w:rPr>
        <w:t xml:space="preserve">, </w:t>
      </w:r>
      <w:r w:rsidR="004545C4" w:rsidRPr="00D948C1">
        <w:rPr>
          <w:szCs w:val="24"/>
        </w:rPr>
        <w:t>on page</w:t>
      </w:r>
      <w:r w:rsidR="00D96A83" w:rsidRPr="00D948C1">
        <w:rPr>
          <w:szCs w:val="24"/>
        </w:rPr>
        <w:t>s</w:t>
      </w:r>
      <w:r w:rsidR="008B3EDE" w:rsidRPr="00D948C1">
        <w:rPr>
          <w:szCs w:val="24"/>
        </w:rPr>
        <w:t xml:space="preserve"> </w:t>
      </w:r>
      <w:r w:rsidR="005138FC" w:rsidRPr="00D948C1">
        <w:rPr>
          <w:szCs w:val="24"/>
        </w:rPr>
        <w:t>20</w:t>
      </w:r>
      <w:r w:rsidR="00DF4E87" w:rsidRPr="00D948C1">
        <w:rPr>
          <w:szCs w:val="24"/>
        </w:rPr>
        <w:t xml:space="preserve"> </w:t>
      </w:r>
      <w:r w:rsidR="00D96A83" w:rsidRPr="00D948C1">
        <w:rPr>
          <w:szCs w:val="24"/>
        </w:rPr>
        <w:t xml:space="preserve">and </w:t>
      </w:r>
      <w:r w:rsidR="00853343" w:rsidRPr="00D948C1">
        <w:rPr>
          <w:szCs w:val="24"/>
        </w:rPr>
        <w:t>2</w:t>
      </w:r>
      <w:r w:rsidR="005138FC" w:rsidRPr="00D948C1">
        <w:rPr>
          <w:szCs w:val="24"/>
        </w:rPr>
        <w:t>1</w:t>
      </w:r>
      <w:r w:rsidRPr="00D948C1">
        <w:rPr>
          <w:szCs w:val="24"/>
        </w:rPr>
        <w:t>.</w:t>
      </w:r>
    </w:p>
    <w:p w14:paraId="0E0F420B" w14:textId="77777777" w:rsidR="007A439F" w:rsidRPr="00D948C1" w:rsidRDefault="007A439F" w:rsidP="006C0086">
      <w:pPr>
        <w:spacing w:line="276" w:lineRule="auto"/>
        <w:ind w:left="709"/>
        <w:rPr>
          <w:szCs w:val="24"/>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26"/>
        <w:gridCol w:w="1406"/>
        <w:gridCol w:w="1406"/>
        <w:gridCol w:w="1406"/>
        <w:gridCol w:w="1406"/>
      </w:tblGrid>
      <w:tr w:rsidR="00FF43EE" w:rsidRPr="00D948C1" w14:paraId="0F9D63D1" w14:textId="77777777" w:rsidTr="00611673">
        <w:trPr>
          <w:trHeight w:val="143"/>
          <w:tblHeader/>
        </w:trPr>
        <w:tc>
          <w:tcPr>
            <w:tcW w:w="3198" w:type="dxa"/>
            <w:gridSpan w:val="2"/>
            <w:shd w:val="clear" w:color="auto" w:fill="BD2716"/>
            <w:vAlign w:val="bottom"/>
          </w:tcPr>
          <w:p w14:paraId="2692079A" w14:textId="77777777" w:rsidR="00FF43EE" w:rsidRPr="00D948C1" w:rsidRDefault="00FF43EE" w:rsidP="006C0086">
            <w:pPr>
              <w:tabs>
                <w:tab w:val="decimal" w:pos="1220"/>
              </w:tabs>
              <w:spacing w:line="276" w:lineRule="auto"/>
              <w:rPr>
                <w:color w:val="FFFFFF" w:themeColor="background1"/>
                <w:szCs w:val="24"/>
              </w:rPr>
            </w:pPr>
          </w:p>
        </w:tc>
        <w:tc>
          <w:tcPr>
            <w:tcW w:w="1406" w:type="dxa"/>
            <w:shd w:val="clear" w:color="auto" w:fill="BD2716"/>
            <w:vAlign w:val="center"/>
          </w:tcPr>
          <w:p w14:paraId="55DDF51B" w14:textId="4409BD34" w:rsidR="00FF43EE" w:rsidRPr="00D948C1" w:rsidRDefault="00FF43EE" w:rsidP="006C0086">
            <w:pPr>
              <w:spacing w:line="276" w:lineRule="auto"/>
              <w:jc w:val="right"/>
              <w:rPr>
                <w:color w:val="FFFFFF" w:themeColor="background1"/>
                <w:szCs w:val="24"/>
              </w:rPr>
            </w:pPr>
            <w:r w:rsidRPr="00D948C1">
              <w:rPr>
                <w:color w:val="FFFFFF" w:themeColor="background1"/>
                <w:szCs w:val="24"/>
              </w:rPr>
              <w:t>2023/24</w:t>
            </w:r>
          </w:p>
          <w:p w14:paraId="4B3A5F4F" w14:textId="11C88D35"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1DF36A7D"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2023/24</w:t>
            </w:r>
          </w:p>
          <w:p w14:paraId="196734AA" w14:textId="1E48F622"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37F5FCB8"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2022/23</w:t>
            </w:r>
          </w:p>
          <w:p w14:paraId="275C24DE" w14:textId="72ECEC77"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c>
          <w:tcPr>
            <w:tcW w:w="1406" w:type="dxa"/>
            <w:shd w:val="clear" w:color="auto" w:fill="BD2716"/>
            <w:vAlign w:val="center"/>
          </w:tcPr>
          <w:p w14:paraId="4438952C" w14:textId="77777777" w:rsidR="00FF43EE" w:rsidRPr="00D948C1" w:rsidRDefault="00FF43EE" w:rsidP="006C0086">
            <w:pPr>
              <w:spacing w:line="276" w:lineRule="auto"/>
              <w:jc w:val="right"/>
              <w:rPr>
                <w:color w:val="FFFFFF" w:themeColor="background1"/>
                <w:szCs w:val="24"/>
              </w:rPr>
            </w:pPr>
            <w:r w:rsidRPr="00D948C1">
              <w:rPr>
                <w:color w:val="FFFFFF" w:themeColor="background1"/>
                <w:szCs w:val="24"/>
              </w:rPr>
              <w:t>2022/23</w:t>
            </w:r>
          </w:p>
          <w:p w14:paraId="1C0F3CD4" w14:textId="49BF9DD6" w:rsidR="00FF43EE" w:rsidRPr="00D948C1" w:rsidRDefault="00FF43EE" w:rsidP="006C0086">
            <w:pPr>
              <w:spacing w:line="276" w:lineRule="auto"/>
              <w:jc w:val="right"/>
              <w:rPr>
                <w:color w:val="FFFFFF" w:themeColor="background1"/>
                <w:szCs w:val="24"/>
              </w:rPr>
            </w:pPr>
            <w:r w:rsidRPr="00D948C1">
              <w:rPr>
                <w:color w:val="FFFFFF" w:themeColor="background1"/>
                <w:szCs w:val="24"/>
              </w:rPr>
              <w:t>£000</w:t>
            </w:r>
          </w:p>
        </w:tc>
      </w:tr>
      <w:tr w:rsidR="00FF43EE" w:rsidRPr="00D948C1" w14:paraId="4B3215D1" w14:textId="77777777" w:rsidTr="00982FEC">
        <w:trPr>
          <w:trHeight w:val="143"/>
        </w:trPr>
        <w:tc>
          <w:tcPr>
            <w:tcW w:w="8822" w:type="dxa"/>
            <w:gridSpan w:val="6"/>
            <w:shd w:val="clear" w:color="auto" w:fill="D9D9D9" w:themeFill="background1" w:themeFillShade="D9"/>
          </w:tcPr>
          <w:p w14:paraId="6AB209E2" w14:textId="26961627" w:rsidR="00FF43EE" w:rsidRPr="00D948C1" w:rsidRDefault="00FF43EE" w:rsidP="006C0086">
            <w:pPr>
              <w:tabs>
                <w:tab w:val="decimal" w:pos="1220"/>
              </w:tabs>
              <w:spacing w:line="276" w:lineRule="auto"/>
              <w:rPr>
                <w:b/>
                <w:bCs/>
                <w:szCs w:val="24"/>
              </w:rPr>
            </w:pPr>
            <w:r w:rsidRPr="00D948C1">
              <w:rPr>
                <w:b/>
                <w:bCs/>
                <w:szCs w:val="24"/>
              </w:rPr>
              <w:t>Revenue Reserves:</w:t>
            </w:r>
          </w:p>
        </w:tc>
      </w:tr>
      <w:tr w:rsidR="00FF43EE" w:rsidRPr="00D948C1" w14:paraId="3556BF10" w14:textId="77777777" w:rsidTr="00DD63D7">
        <w:tc>
          <w:tcPr>
            <w:tcW w:w="3172" w:type="dxa"/>
            <w:shd w:val="clear" w:color="auto" w:fill="auto"/>
          </w:tcPr>
          <w:p w14:paraId="5B7BD049" w14:textId="77777777" w:rsidR="00FF43EE" w:rsidRPr="00D948C1" w:rsidRDefault="00FF43EE" w:rsidP="006C0086">
            <w:pPr>
              <w:spacing w:line="276" w:lineRule="auto"/>
              <w:rPr>
                <w:szCs w:val="24"/>
              </w:rPr>
            </w:pPr>
            <w:r w:rsidRPr="00D948C1">
              <w:rPr>
                <w:szCs w:val="24"/>
              </w:rPr>
              <w:t>General Fund</w:t>
            </w:r>
          </w:p>
        </w:tc>
        <w:tc>
          <w:tcPr>
            <w:tcW w:w="1432" w:type="dxa"/>
            <w:gridSpan w:val="2"/>
            <w:shd w:val="clear" w:color="auto" w:fill="auto"/>
            <w:vAlign w:val="center"/>
          </w:tcPr>
          <w:p w14:paraId="37F266CC" w14:textId="77777777" w:rsidR="00FF43EE" w:rsidRPr="00D948C1" w:rsidRDefault="00FF43EE" w:rsidP="006C0086">
            <w:pPr>
              <w:spacing w:line="276" w:lineRule="auto"/>
              <w:jc w:val="right"/>
              <w:rPr>
                <w:szCs w:val="24"/>
              </w:rPr>
            </w:pPr>
          </w:p>
        </w:tc>
        <w:tc>
          <w:tcPr>
            <w:tcW w:w="1406" w:type="dxa"/>
            <w:shd w:val="clear" w:color="auto" w:fill="auto"/>
            <w:vAlign w:val="center"/>
          </w:tcPr>
          <w:p w14:paraId="695E77A0" w14:textId="6211223D" w:rsidR="00FF43EE" w:rsidRPr="00D948C1" w:rsidRDefault="00FF43EE" w:rsidP="006C0086">
            <w:pPr>
              <w:spacing w:line="276" w:lineRule="auto"/>
              <w:jc w:val="right"/>
              <w:rPr>
                <w:szCs w:val="24"/>
              </w:rPr>
            </w:pPr>
            <w:r w:rsidRPr="00D948C1">
              <w:rPr>
                <w:szCs w:val="24"/>
              </w:rPr>
              <w:t>(</w:t>
            </w:r>
            <w:r w:rsidR="00C6392D" w:rsidRPr="00D948C1">
              <w:rPr>
                <w:szCs w:val="24"/>
              </w:rPr>
              <w:t>5,662</w:t>
            </w:r>
            <w:r w:rsidRPr="00D948C1">
              <w:rPr>
                <w:szCs w:val="24"/>
              </w:rPr>
              <w:t>)</w:t>
            </w:r>
          </w:p>
        </w:tc>
        <w:tc>
          <w:tcPr>
            <w:tcW w:w="1406" w:type="dxa"/>
            <w:shd w:val="clear" w:color="auto" w:fill="auto"/>
            <w:vAlign w:val="center"/>
          </w:tcPr>
          <w:p w14:paraId="682014F5" w14:textId="77777777" w:rsidR="00FF43EE" w:rsidRPr="00D948C1" w:rsidRDefault="00FF43EE" w:rsidP="006C0086">
            <w:pPr>
              <w:spacing w:line="276" w:lineRule="auto"/>
              <w:jc w:val="right"/>
              <w:rPr>
                <w:szCs w:val="24"/>
              </w:rPr>
            </w:pPr>
          </w:p>
        </w:tc>
        <w:tc>
          <w:tcPr>
            <w:tcW w:w="1406" w:type="dxa"/>
            <w:shd w:val="clear" w:color="auto" w:fill="auto"/>
            <w:vAlign w:val="center"/>
          </w:tcPr>
          <w:p w14:paraId="31D0E10F" w14:textId="20594528" w:rsidR="00FF43EE" w:rsidRPr="00D948C1" w:rsidRDefault="00FF43EE" w:rsidP="006C0086">
            <w:pPr>
              <w:spacing w:line="276" w:lineRule="auto"/>
              <w:jc w:val="right"/>
              <w:rPr>
                <w:szCs w:val="24"/>
              </w:rPr>
            </w:pPr>
            <w:r w:rsidRPr="00D948C1">
              <w:rPr>
                <w:szCs w:val="24"/>
              </w:rPr>
              <w:t>(4,887)</w:t>
            </w:r>
          </w:p>
        </w:tc>
      </w:tr>
      <w:tr w:rsidR="00FF43EE" w:rsidRPr="00D948C1" w14:paraId="559DBAC7" w14:textId="77777777" w:rsidTr="00DD63D7">
        <w:tc>
          <w:tcPr>
            <w:tcW w:w="3172" w:type="dxa"/>
            <w:shd w:val="clear" w:color="auto" w:fill="auto"/>
          </w:tcPr>
          <w:p w14:paraId="20353151" w14:textId="77777777" w:rsidR="00FF43EE" w:rsidRPr="00D948C1" w:rsidRDefault="00FF43EE" w:rsidP="006C0086">
            <w:pPr>
              <w:spacing w:line="276" w:lineRule="auto"/>
              <w:rPr>
                <w:szCs w:val="24"/>
              </w:rPr>
            </w:pPr>
            <w:r w:rsidRPr="00D948C1">
              <w:rPr>
                <w:szCs w:val="24"/>
              </w:rPr>
              <w:t>Earmarked Reserves</w:t>
            </w:r>
          </w:p>
        </w:tc>
        <w:tc>
          <w:tcPr>
            <w:tcW w:w="1432" w:type="dxa"/>
            <w:gridSpan w:val="2"/>
            <w:shd w:val="clear" w:color="auto" w:fill="auto"/>
            <w:vAlign w:val="center"/>
          </w:tcPr>
          <w:p w14:paraId="33B1B3A3" w14:textId="040AA92C" w:rsidR="00FF43EE" w:rsidRPr="00D948C1" w:rsidRDefault="00FF43EE" w:rsidP="006C0086">
            <w:pPr>
              <w:spacing w:line="276" w:lineRule="auto"/>
              <w:jc w:val="right"/>
              <w:rPr>
                <w:szCs w:val="24"/>
              </w:rPr>
            </w:pPr>
            <w:r w:rsidRPr="00D948C1">
              <w:rPr>
                <w:szCs w:val="24"/>
              </w:rPr>
              <w:t>(</w:t>
            </w:r>
            <w:r w:rsidR="00C6392D" w:rsidRPr="00D948C1">
              <w:rPr>
                <w:szCs w:val="24"/>
              </w:rPr>
              <w:t>3,285</w:t>
            </w:r>
            <w:r w:rsidRPr="00D948C1">
              <w:rPr>
                <w:szCs w:val="24"/>
              </w:rPr>
              <w:t>)</w:t>
            </w:r>
          </w:p>
        </w:tc>
        <w:tc>
          <w:tcPr>
            <w:tcW w:w="1406" w:type="dxa"/>
            <w:shd w:val="clear" w:color="auto" w:fill="auto"/>
            <w:vAlign w:val="center"/>
          </w:tcPr>
          <w:p w14:paraId="43454B6E" w14:textId="77777777" w:rsidR="00FF43EE" w:rsidRPr="00D948C1" w:rsidRDefault="00FF43EE" w:rsidP="006C0086">
            <w:pPr>
              <w:spacing w:line="276" w:lineRule="auto"/>
              <w:jc w:val="right"/>
              <w:rPr>
                <w:szCs w:val="24"/>
              </w:rPr>
            </w:pPr>
          </w:p>
        </w:tc>
        <w:tc>
          <w:tcPr>
            <w:tcW w:w="1406" w:type="dxa"/>
            <w:shd w:val="clear" w:color="auto" w:fill="auto"/>
            <w:vAlign w:val="center"/>
          </w:tcPr>
          <w:p w14:paraId="546BA549" w14:textId="05597B35" w:rsidR="00FF43EE" w:rsidRPr="00D948C1" w:rsidRDefault="00FF43EE" w:rsidP="006C0086">
            <w:pPr>
              <w:spacing w:line="276" w:lineRule="auto"/>
              <w:jc w:val="right"/>
              <w:rPr>
                <w:szCs w:val="24"/>
              </w:rPr>
            </w:pPr>
            <w:r w:rsidRPr="00D948C1">
              <w:rPr>
                <w:szCs w:val="24"/>
              </w:rPr>
              <w:t>(4,101)</w:t>
            </w:r>
          </w:p>
        </w:tc>
        <w:tc>
          <w:tcPr>
            <w:tcW w:w="1406" w:type="dxa"/>
            <w:shd w:val="clear" w:color="auto" w:fill="auto"/>
            <w:vAlign w:val="center"/>
          </w:tcPr>
          <w:p w14:paraId="40B0B1B1" w14:textId="77777777" w:rsidR="00FF43EE" w:rsidRPr="00D948C1" w:rsidRDefault="00FF43EE" w:rsidP="006C0086">
            <w:pPr>
              <w:spacing w:line="276" w:lineRule="auto"/>
              <w:jc w:val="right"/>
              <w:rPr>
                <w:szCs w:val="24"/>
              </w:rPr>
            </w:pPr>
          </w:p>
        </w:tc>
      </w:tr>
      <w:tr w:rsidR="00FF43EE" w:rsidRPr="00D948C1" w14:paraId="495DACBE" w14:textId="77777777" w:rsidTr="00DD63D7">
        <w:tc>
          <w:tcPr>
            <w:tcW w:w="3172" w:type="dxa"/>
            <w:shd w:val="clear" w:color="auto" w:fill="auto"/>
          </w:tcPr>
          <w:p w14:paraId="1F133837" w14:textId="429FB96A" w:rsidR="00FF43EE" w:rsidRPr="00D948C1" w:rsidRDefault="0076078A" w:rsidP="006C0086">
            <w:pPr>
              <w:spacing w:line="276" w:lineRule="auto"/>
              <w:rPr>
                <w:szCs w:val="24"/>
              </w:rPr>
            </w:pPr>
            <w:r>
              <w:rPr>
                <w:szCs w:val="24"/>
              </w:rPr>
              <w:t>Private Finance Initiative</w:t>
            </w:r>
            <w:r w:rsidRPr="00D948C1">
              <w:rPr>
                <w:szCs w:val="24"/>
              </w:rPr>
              <w:t xml:space="preserve"> </w:t>
            </w:r>
            <w:r w:rsidR="00FF43EE" w:rsidRPr="00D948C1">
              <w:rPr>
                <w:szCs w:val="24"/>
              </w:rPr>
              <w:t>Equalisation Reserve</w:t>
            </w:r>
          </w:p>
        </w:tc>
        <w:tc>
          <w:tcPr>
            <w:tcW w:w="1432" w:type="dxa"/>
            <w:gridSpan w:val="2"/>
            <w:shd w:val="clear" w:color="auto" w:fill="auto"/>
            <w:vAlign w:val="center"/>
          </w:tcPr>
          <w:p w14:paraId="3F605A3E" w14:textId="07E0FA6C" w:rsidR="00FF43EE" w:rsidRPr="00D948C1" w:rsidRDefault="00FF43EE" w:rsidP="006C0086">
            <w:pPr>
              <w:spacing w:line="276" w:lineRule="auto"/>
              <w:jc w:val="right"/>
              <w:rPr>
                <w:szCs w:val="24"/>
              </w:rPr>
            </w:pPr>
            <w:r w:rsidRPr="00D948C1">
              <w:rPr>
                <w:szCs w:val="24"/>
              </w:rPr>
              <w:t>(5,157)</w:t>
            </w:r>
          </w:p>
        </w:tc>
        <w:tc>
          <w:tcPr>
            <w:tcW w:w="1406" w:type="dxa"/>
            <w:shd w:val="clear" w:color="auto" w:fill="auto"/>
            <w:vAlign w:val="center"/>
          </w:tcPr>
          <w:p w14:paraId="6E72C234" w14:textId="77777777" w:rsidR="00FF43EE" w:rsidRPr="00D948C1" w:rsidRDefault="00FF43EE" w:rsidP="006C0086">
            <w:pPr>
              <w:spacing w:line="276" w:lineRule="auto"/>
              <w:jc w:val="right"/>
              <w:rPr>
                <w:szCs w:val="24"/>
              </w:rPr>
            </w:pPr>
          </w:p>
        </w:tc>
        <w:tc>
          <w:tcPr>
            <w:tcW w:w="1406" w:type="dxa"/>
            <w:shd w:val="clear" w:color="auto" w:fill="auto"/>
            <w:vAlign w:val="center"/>
          </w:tcPr>
          <w:p w14:paraId="4391423F" w14:textId="080B95E3" w:rsidR="00FF43EE" w:rsidRPr="00D948C1" w:rsidRDefault="00FF43EE" w:rsidP="006C0086">
            <w:pPr>
              <w:spacing w:line="276" w:lineRule="auto"/>
              <w:jc w:val="right"/>
              <w:rPr>
                <w:szCs w:val="24"/>
              </w:rPr>
            </w:pPr>
            <w:r w:rsidRPr="00D948C1">
              <w:rPr>
                <w:szCs w:val="24"/>
              </w:rPr>
              <w:t>(5,157)</w:t>
            </w:r>
          </w:p>
        </w:tc>
        <w:tc>
          <w:tcPr>
            <w:tcW w:w="1406" w:type="dxa"/>
            <w:shd w:val="clear" w:color="auto" w:fill="auto"/>
            <w:vAlign w:val="center"/>
          </w:tcPr>
          <w:p w14:paraId="36A74061" w14:textId="77777777" w:rsidR="00FF43EE" w:rsidRPr="00D948C1" w:rsidRDefault="00FF43EE" w:rsidP="006C0086">
            <w:pPr>
              <w:spacing w:line="276" w:lineRule="auto"/>
              <w:jc w:val="right"/>
              <w:rPr>
                <w:szCs w:val="24"/>
              </w:rPr>
            </w:pPr>
          </w:p>
        </w:tc>
      </w:tr>
      <w:tr w:rsidR="00FF43EE" w:rsidRPr="00D948C1" w14:paraId="19510920" w14:textId="77777777" w:rsidTr="00DD63D7">
        <w:tc>
          <w:tcPr>
            <w:tcW w:w="3172" w:type="dxa"/>
            <w:shd w:val="clear" w:color="auto" w:fill="auto"/>
          </w:tcPr>
          <w:p w14:paraId="29B8D742" w14:textId="77777777" w:rsidR="00FF43EE" w:rsidRPr="00D948C1" w:rsidRDefault="00FF43EE" w:rsidP="006C0086">
            <w:pPr>
              <w:spacing w:line="276" w:lineRule="auto"/>
              <w:rPr>
                <w:szCs w:val="24"/>
              </w:rPr>
            </w:pPr>
            <w:r w:rsidRPr="00D948C1">
              <w:rPr>
                <w:szCs w:val="24"/>
              </w:rPr>
              <w:t>Total Earmarked Reserves</w:t>
            </w:r>
          </w:p>
        </w:tc>
        <w:tc>
          <w:tcPr>
            <w:tcW w:w="1432" w:type="dxa"/>
            <w:gridSpan w:val="2"/>
            <w:shd w:val="clear" w:color="auto" w:fill="auto"/>
            <w:vAlign w:val="center"/>
          </w:tcPr>
          <w:p w14:paraId="3326B779" w14:textId="77777777" w:rsidR="00FF43EE" w:rsidRPr="00D948C1" w:rsidRDefault="00FF43EE" w:rsidP="006C0086">
            <w:pPr>
              <w:spacing w:line="276" w:lineRule="auto"/>
              <w:jc w:val="right"/>
              <w:rPr>
                <w:szCs w:val="24"/>
              </w:rPr>
            </w:pPr>
          </w:p>
        </w:tc>
        <w:tc>
          <w:tcPr>
            <w:tcW w:w="1406" w:type="dxa"/>
            <w:shd w:val="clear" w:color="auto" w:fill="auto"/>
            <w:vAlign w:val="center"/>
          </w:tcPr>
          <w:p w14:paraId="6F597525" w14:textId="1B826625" w:rsidR="00FF43EE" w:rsidRPr="00D948C1" w:rsidRDefault="00FF43EE" w:rsidP="006C0086">
            <w:pPr>
              <w:spacing w:line="276" w:lineRule="auto"/>
              <w:jc w:val="right"/>
              <w:rPr>
                <w:szCs w:val="24"/>
              </w:rPr>
            </w:pPr>
            <w:r w:rsidRPr="00D948C1">
              <w:rPr>
                <w:szCs w:val="24"/>
              </w:rPr>
              <w:t>(</w:t>
            </w:r>
            <w:r w:rsidR="00C6392D" w:rsidRPr="00D948C1">
              <w:rPr>
                <w:szCs w:val="24"/>
              </w:rPr>
              <w:t>8</w:t>
            </w:r>
            <w:r w:rsidRPr="00D948C1">
              <w:rPr>
                <w:szCs w:val="24"/>
              </w:rPr>
              <w:t>,</w:t>
            </w:r>
            <w:r w:rsidR="00C6392D" w:rsidRPr="00D948C1">
              <w:rPr>
                <w:szCs w:val="24"/>
              </w:rPr>
              <w:t>442</w:t>
            </w:r>
            <w:r w:rsidRPr="00D948C1">
              <w:rPr>
                <w:szCs w:val="24"/>
              </w:rPr>
              <w:t>)</w:t>
            </w:r>
          </w:p>
        </w:tc>
        <w:tc>
          <w:tcPr>
            <w:tcW w:w="1406" w:type="dxa"/>
            <w:shd w:val="clear" w:color="auto" w:fill="auto"/>
            <w:vAlign w:val="center"/>
          </w:tcPr>
          <w:p w14:paraId="55F004A0" w14:textId="5D3D365F" w:rsidR="00FF43EE" w:rsidRPr="00D948C1" w:rsidRDefault="00FF43EE" w:rsidP="006C0086">
            <w:pPr>
              <w:spacing w:line="276" w:lineRule="auto"/>
              <w:jc w:val="right"/>
              <w:rPr>
                <w:szCs w:val="24"/>
              </w:rPr>
            </w:pPr>
          </w:p>
        </w:tc>
        <w:tc>
          <w:tcPr>
            <w:tcW w:w="1406" w:type="dxa"/>
            <w:shd w:val="clear" w:color="auto" w:fill="auto"/>
            <w:vAlign w:val="center"/>
          </w:tcPr>
          <w:p w14:paraId="73EE5573" w14:textId="754991C0" w:rsidR="00FF43EE" w:rsidRPr="00D948C1" w:rsidRDefault="00FF43EE" w:rsidP="006C0086">
            <w:pPr>
              <w:spacing w:line="276" w:lineRule="auto"/>
              <w:jc w:val="right"/>
              <w:rPr>
                <w:szCs w:val="24"/>
              </w:rPr>
            </w:pPr>
            <w:r w:rsidRPr="00D948C1">
              <w:rPr>
                <w:szCs w:val="24"/>
              </w:rPr>
              <w:t>(9,258)</w:t>
            </w:r>
          </w:p>
        </w:tc>
      </w:tr>
      <w:tr w:rsidR="00FF43EE" w:rsidRPr="00D948C1" w14:paraId="7E8269B5" w14:textId="77777777" w:rsidTr="00DD63D7">
        <w:tc>
          <w:tcPr>
            <w:tcW w:w="3172" w:type="dxa"/>
            <w:shd w:val="clear" w:color="auto" w:fill="auto"/>
          </w:tcPr>
          <w:p w14:paraId="6C44D2E2" w14:textId="77777777" w:rsidR="00FF43EE" w:rsidRPr="00D948C1" w:rsidRDefault="00FF43EE" w:rsidP="006C0086">
            <w:pPr>
              <w:spacing w:line="276" w:lineRule="auto"/>
              <w:rPr>
                <w:szCs w:val="24"/>
              </w:rPr>
            </w:pPr>
            <w:r w:rsidRPr="00D948C1">
              <w:rPr>
                <w:szCs w:val="24"/>
              </w:rPr>
              <w:t>Total Revenue Reserves</w:t>
            </w:r>
          </w:p>
        </w:tc>
        <w:tc>
          <w:tcPr>
            <w:tcW w:w="1432" w:type="dxa"/>
            <w:gridSpan w:val="2"/>
            <w:shd w:val="clear" w:color="auto" w:fill="auto"/>
            <w:vAlign w:val="center"/>
          </w:tcPr>
          <w:p w14:paraId="275B1712" w14:textId="77777777" w:rsidR="00FF43EE" w:rsidRPr="00D948C1" w:rsidRDefault="00FF43EE" w:rsidP="006C0086">
            <w:pPr>
              <w:spacing w:line="276" w:lineRule="auto"/>
              <w:jc w:val="right"/>
              <w:rPr>
                <w:szCs w:val="24"/>
              </w:rPr>
            </w:pPr>
          </w:p>
        </w:tc>
        <w:tc>
          <w:tcPr>
            <w:tcW w:w="1406" w:type="dxa"/>
            <w:shd w:val="clear" w:color="auto" w:fill="auto"/>
            <w:vAlign w:val="center"/>
          </w:tcPr>
          <w:p w14:paraId="6C90E7D3" w14:textId="212A28B9" w:rsidR="00FF43EE" w:rsidRPr="00D948C1" w:rsidRDefault="00FF43EE" w:rsidP="006C0086">
            <w:pPr>
              <w:spacing w:line="276" w:lineRule="auto"/>
              <w:jc w:val="right"/>
              <w:rPr>
                <w:szCs w:val="24"/>
              </w:rPr>
            </w:pPr>
            <w:r w:rsidRPr="00D948C1">
              <w:rPr>
                <w:szCs w:val="24"/>
              </w:rPr>
              <w:t>(14,1</w:t>
            </w:r>
            <w:r w:rsidR="00C6392D" w:rsidRPr="00D948C1">
              <w:rPr>
                <w:szCs w:val="24"/>
              </w:rPr>
              <w:t>0</w:t>
            </w:r>
            <w:r w:rsidRPr="00D948C1">
              <w:rPr>
                <w:szCs w:val="24"/>
              </w:rPr>
              <w:t>4)</w:t>
            </w:r>
          </w:p>
        </w:tc>
        <w:tc>
          <w:tcPr>
            <w:tcW w:w="1406" w:type="dxa"/>
            <w:shd w:val="clear" w:color="auto" w:fill="auto"/>
            <w:vAlign w:val="center"/>
          </w:tcPr>
          <w:p w14:paraId="0E1A8523" w14:textId="77777777" w:rsidR="00FF43EE" w:rsidRPr="00D948C1" w:rsidRDefault="00FF43EE" w:rsidP="006C0086">
            <w:pPr>
              <w:spacing w:line="276" w:lineRule="auto"/>
              <w:jc w:val="right"/>
              <w:rPr>
                <w:szCs w:val="24"/>
              </w:rPr>
            </w:pPr>
          </w:p>
        </w:tc>
        <w:tc>
          <w:tcPr>
            <w:tcW w:w="1406" w:type="dxa"/>
            <w:shd w:val="clear" w:color="auto" w:fill="auto"/>
            <w:vAlign w:val="center"/>
          </w:tcPr>
          <w:p w14:paraId="2A725061" w14:textId="4351C20B" w:rsidR="00FF43EE" w:rsidRPr="00D948C1" w:rsidRDefault="00FF43EE" w:rsidP="006C0086">
            <w:pPr>
              <w:spacing w:line="276" w:lineRule="auto"/>
              <w:jc w:val="right"/>
              <w:rPr>
                <w:szCs w:val="24"/>
              </w:rPr>
            </w:pPr>
            <w:r w:rsidRPr="00D948C1">
              <w:rPr>
                <w:szCs w:val="24"/>
              </w:rPr>
              <w:t>(14,145)</w:t>
            </w:r>
          </w:p>
        </w:tc>
      </w:tr>
    </w:tbl>
    <w:p w14:paraId="2C66ED73" w14:textId="77777777" w:rsidR="00EC3487" w:rsidRPr="00D948C1" w:rsidRDefault="00EC3487" w:rsidP="006C0086">
      <w:pPr>
        <w:spacing w:line="276" w:lineRule="auto"/>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1432"/>
        <w:gridCol w:w="1406"/>
        <w:gridCol w:w="1406"/>
        <w:gridCol w:w="1406"/>
      </w:tblGrid>
      <w:tr w:rsidR="000C442C" w:rsidRPr="00D948C1" w14:paraId="126CA6A5" w14:textId="77777777" w:rsidTr="00982FEC">
        <w:tc>
          <w:tcPr>
            <w:tcW w:w="8822" w:type="dxa"/>
            <w:gridSpan w:val="5"/>
            <w:shd w:val="clear" w:color="auto" w:fill="D9D9D9" w:themeFill="background1" w:themeFillShade="D9"/>
          </w:tcPr>
          <w:p w14:paraId="2F9F6EDB" w14:textId="1B14C03E" w:rsidR="000C442C" w:rsidRPr="00D948C1" w:rsidRDefault="000C442C" w:rsidP="006C0086">
            <w:pPr>
              <w:tabs>
                <w:tab w:val="decimal" w:pos="830"/>
              </w:tabs>
              <w:spacing w:line="276" w:lineRule="auto"/>
              <w:ind w:right="176"/>
              <w:rPr>
                <w:b/>
                <w:bCs/>
                <w:szCs w:val="24"/>
              </w:rPr>
            </w:pPr>
            <w:r w:rsidRPr="00D948C1">
              <w:rPr>
                <w:b/>
                <w:bCs/>
                <w:szCs w:val="24"/>
              </w:rPr>
              <w:t>Capital Reserves:</w:t>
            </w:r>
          </w:p>
        </w:tc>
      </w:tr>
      <w:tr w:rsidR="0010066C" w:rsidRPr="00D948C1" w14:paraId="0888863A" w14:textId="77777777" w:rsidTr="00EC3487">
        <w:tc>
          <w:tcPr>
            <w:tcW w:w="3172" w:type="dxa"/>
            <w:shd w:val="clear" w:color="auto" w:fill="auto"/>
          </w:tcPr>
          <w:p w14:paraId="6D41CEAC" w14:textId="77777777" w:rsidR="0010066C" w:rsidRPr="00D948C1" w:rsidRDefault="0010066C" w:rsidP="006C0086">
            <w:pPr>
              <w:spacing w:line="276" w:lineRule="auto"/>
              <w:rPr>
                <w:szCs w:val="24"/>
              </w:rPr>
            </w:pPr>
            <w:r w:rsidRPr="00D948C1">
              <w:rPr>
                <w:szCs w:val="24"/>
              </w:rPr>
              <w:t>Capital Funding Reserve</w:t>
            </w:r>
          </w:p>
        </w:tc>
        <w:tc>
          <w:tcPr>
            <w:tcW w:w="1432" w:type="dxa"/>
            <w:shd w:val="clear" w:color="auto" w:fill="auto"/>
          </w:tcPr>
          <w:p w14:paraId="10A2884F" w14:textId="77777777" w:rsidR="0010066C" w:rsidRPr="00D948C1" w:rsidRDefault="0010066C" w:rsidP="006C0086">
            <w:pPr>
              <w:spacing w:line="276" w:lineRule="auto"/>
              <w:jc w:val="right"/>
              <w:rPr>
                <w:szCs w:val="24"/>
              </w:rPr>
            </w:pPr>
          </w:p>
        </w:tc>
        <w:tc>
          <w:tcPr>
            <w:tcW w:w="1406" w:type="dxa"/>
            <w:shd w:val="clear" w:color="auto" w:fill="auto"/>
          </w:tcPr>
          <w:p w14:paraId="465400DC" w14:textId="029D3272" w:rsidR="0010066C" w:rsidRPr="00D948C1" w:rsidRDefault="0010066C" w:rsidP="006C0086">
            <w:pPr>
              <w:spacing w:line="276" w:lineRule="auto"/>
              <w:jc w:val="right"/>
              <w:rPr>
                <w:szCs w:val="24"/>
              </w:rPr>
            </w:pPr>
            <w:r w:rsidRPr="00D948C1">
              <w:rPr>
                <w:szCs w:val="24"/>
              </w:rPr>
              <w:t>(</w:t>
            </w:r>
            <w:r w:rsidR="008D2B83">
              <w:rPr>
                <w:szCs w:val="24"/>
              </w:rPr>
              <w:t>19,593</w:t>
            </w:r>
            <w:r w:rsidRPr="00D948C1">
              <w:rPr>
                <w:szCs w:val="24"/>
              </w:rPr>
              <w:t>)</w:t>
            </w:r>
          </w:p>
        </w:tc>
        <w:tc>
          <w:tcPr>
            <w:tcW w:w="1406" w:type="dxa"/>
            <w:shd w:val="clear" w:color="auto" w:fill="auto"/>
          </w:tcPr>
          <w:p w14:paraId="1FB1E0AD" w14:textId="77777777" w:rsidR="0010066C" w:rsidRPr="00D948C1" w:rsidRDefault="0010066C" w:rsidP="006C0086">
            <w:pPr>
              <w:spacing w:line="276" w:lineRule="auto"/>
              <w:jc w:val="right"/>
              <w:rPr>
                <w:szCs w:val="24"/>
              </w:rPr>
            </w:pPr>
          </w:p>
        </w:tc>
        <w:tc>
          <w:tcPr>
            <w:tcW w:w="1406" w:type="dxa"/>
            <w:shd w:val="clear" w:color="auto" w:fill="auto"/>
          </w:tcPr>
          <w:p w14:paraId="0604FDC8" w14:textId="2B8AC8B0" w:rsidR="0010066C" w:rsidRPr="00D948C1" w:rsidRDefault="0010066C" w:rsidP="006C0086">
            <w:pPr>
              <w:spacing w:line="276" w:lineRule="auto"/>
              <w:jc w:val="right"/>
              <w:rPr>
                <w:szCs w:val="24"/>
              </w:rPr>
            </w:pPr>
            <w:r w:rsidRPr="00D948C1">
              <w:rPr>
                <w:szCs w:val="24"/>
              </w:rPr>
              <w:t>(20,344)</w:t>
            </w:r>
          </w:p>
        </w:tc>
      </w:tr>
      <w:tr w:rsidR="0010066C" w:rsidRPr="00D948C1" w14:paraId="66767A3C" w14:textId="77777777" w:rsidTr="00EC3487">
        <w:tc>
          <w:tcPr>
            <w:tcW w:w="3172" w:type="dxa"/>
            <w:shd w:val="clear" w:color="auto" w:fill="auto"/>
          </w:tcPr>
          <w:p w14:paraId="789204C2" w14:textId="77777777" w:rsidR="0010066C" w:rsidRPr="00D948C1" w:rsidRDefault="0010066C" w:rsidP="006C0086">
            <w:pPr>
              <w:spacing w:line="276" w:lineRule="auto"/>
              <w:rPr>
                <w:szCs w:val="24"/>
              </w:rPr>
            </w:pPr>
            <w:r w:rsidRPr="00D948C1">
              <w:rPr>
                <w:szCs w:val="24"/>
              </w:rPr>
              <w:t>Capital Grants Unapplied</w:t>
            </w:r>
          </w:p>
        </w:tc>
        <w:tc>
          <w:tcPr>
            <w:tcW w:w="1432" w:type="dxa"/>
            <w:shd w:val="clear" w:color="auto" w:fill="auto"/>
          </w:tcPr>
          <w:p w14:paraId="14CD6E55" w14:textId="77777777" w:rsidR="0010066C" w:rsidRPr="00D948C1" w:rsidRDefault="0010066C" w:rsidP="006C0086">
            <w:pPr>
              <w:spacing w:line="276" w:lineRule="auto"/>
              <w:jc w:val="right"/>
              <w:rPr>
                <w:szCs w:val="24"/>
              </w:rPr>
            </w:pPr>
          </w:p>
        </w:tc>
        <w:tc>
          <w:tcPr>
            <w:tcW w:w="1406" w:type="dxa"/>
            <w:shd w:val="clear" w:color="auto" w:fill="auto"/>
          </w:tcPr>
          <w:p w14:paraId="280E5D11" w14:textId="68619442" w:rsidR="0010066C" w:rsidRPr="00D948C1" w:rsidRDefault="00C6392D" w:rsidP="006C0086">
            <w:pPr>
              <w:spacing w:line="276" w:lineRule="auto"/>
              <w:jc w:val="right"/>
              <w:rPr>
                <w:szCs w:val="24"/>
              </w:rPr>
            </w:pPr>
            <w:r w:rsidRPr="00D948C1">
              <w:rPr>
                <w:szCs w:val="24"/>
              </w:rPr>
              <w:t>-</w:t>
            </w:r>
          </w:p>
        </w:tc>
        <w:tc>
          <w:tcPr>
            <w:tcW w:w="1406" w:type="dxa"/>
            <w:shd w:val="clear" w:color="auto" w:fill="auto"/>
          </w:tcPr>
          <w:p w14:paraId="4A1512C4" w14:textId="77777777" w:rsidR="0010066C" w:rsidRPr="00D948C1" w:rsidRDefault="0010066C" w:rsidP="006C0086">
            <w:pPr>
              <w:spacing w:line="276" w:lineRule="auto"/>
              <w:jc w:val="right"/>
              <w:rPr>
                <w:szCs w:val="24"/>
              </w:rPr>
            </w:pPr>
          </w:p>
        </w:tc>
        <w:tc>
          <w:tcPr>
            <w:tcW w:w="1406" w:type="dxa"/>
            <w:shd w:val="clear" w:color="auto" w:fill="auto"/>
          </w:tcPr>
          <w:p w14:paraId="257DCEE2" w14:textId="25EFFE74" w:rsidR="0010066C" w:rsidRPr="00D948C1" w:rsidRDefault="0010066C" w:rsidP="006C0086">
            <w:pPr>
              <w:spacing w:line="276" w:lineRule="auto"/>
              <w:jc w:val="right"/>
              <w:rPr>
                <w:szCs w:val="24"/>
              </w:rPr>
            </w:pPr>
            <w:r w:rsidRPr="00D948C1">
              <w:rPr>
                <w:szCs w:val="24"/>
              </w:rPr>
              <w:t>(27)</w:t>
            </w:r>
          </w:p>
        </w:tc>
      </w:tr>
      <w:tr w:rsidR="0010066C" w:rsidRPr="00D948C1" w14:paraId="589E4C3B" w14:textId="77777777" w:rsidTr="00EC3487">
        <w:tc>
          <w:tcPr>
            <w:tcW w:w="3172" w:type="dxa"/>
            <w:shd w:val="clear" w:color="auto" w:fill="auto"/>
          </w:tcPr>
          <w:p w14:paraId="6A3C2A3C" w14:textId="77777777" w:rsidR="0010066C" w:rsidRPr="00D948C1" w:rsidRDefault="0010066C" w:rsidP="006C0086">
            <w:pPr>
              <w:spacing w:line="276" w:lineRule="auto"/>
              <w:rPr>
                <w:szCs w:val="24"/>
              </w:rPr>
            </w:pPr>
            <w:r w:rsidRPr="00D948C1">
              <w:rPr>
                <w:szCs w:val="24"/>
              </w:rPr>
              <w:t>Usable Capital Receipts</w:t>
            </w:r>
          </w:p>
        </w:tc>
        <w:tc>
          <w:tcPr>
            <w:tcW w:w="1432" w:type="dxa"/>
            <w:shd w:val="clear" w:color="auto" w:fill="auto"/>
          </w:tcPr>
          <w:p w14:paraId="212D22DB" w14:textId="77777777" w:rsidR="0010066C" w:rsidRPr="00D948C1" w:rsidRDefault="0010066C" w:rsidP="006C0086">
            <w:pPr>
              <w:spacing w:line="276" w:lineRule="auto"/>
              <w:jc w:val="right"/>
              <w:rPr>
                <w:szCs w:val="24"/>
              </w:rPr>
            </w:pPr>
          </w:p>
        </w:tc>
        <w:tc>
          <w:tcPr>
            <w:tcW w:w="1406" w:type="dxa"/>
            <w:shd w:val="clear" w:color="auto" w:fill="auto"/>
          </w:tcPr>
          <w:p w14:paraId="5B9EE3FA" w14:textId="6396EFDD" w:rsidR="0010066C" w:rsidRPr="00D948C1" w:rsidRDefault="0010066C" w:rsidP="006C0086">
            <w:pPr>
              <w:spacing w:line="276" w:lineRule="auto"/>
              <w:jc w:val="right"/>
              <w:rPr>
                <w:szCs w:val="24"/>
              </w:rPr>
            </w:pPr>
            <w:r w:rsidRPr="00D948C1">
              <w:rPr>
                <w:szCs w:val="24"/>
              </w:rPr>
              <w:t>(</w:t>
            </w:r>
            <w:r w:rsidR="004E09C9" w:rsidRPr="00D948C1">
              <w:rPr>
                <w:szCs w:val="24"/>
              </w:rPr>
              <w:t>7</w:t>
            </w:r>
            <w:r w:rsidR="008F6F5D" w:rsidRPr="00D948C1">
              <w:rPr>
                <w:szCs w:val="24"/>
              </w:rPr>
              <w:t>1</w:t>
            </w:r>
            <w:r w:rsidRPr="00D948C1">
              <w:rPr>
                <w:szCs w:val="24"/>
              </w:rPr>
              <w:t>)</w:t>
            </w:r>
          </w:p>
        </w:tc>
        <w:tc>
          <w:tcPr>
            <w:tcW w:w="1406" w:type="dxa"/>
            <w:shd w:val="clear" w:color="auto" w:fill="auto"/>
          </w:tcPr>
          <w:p w14:paraId="799CE567" w14:textId="77777777" w:rsidR="0010066C" w:rsidRPr="00D948C1" w:rsidRDefault="0010066C" w:rsidP="006C0086">
            <w:pPr>
              <w:spacing w:line="276" w:lineRule="auto"/>
              <w:jc w:val="right"/>
              <w:rPr>
                <w:szCs w:val="24"/>
              </w:rPr>
            </w:pPr>
          </w:p>
        </w:tc>
        <w:tc>
          <w:tcPr>
            <w:tcW w:w="1406" w:type="dxa"/>
            <w:shd w:val="clear" w:color="auto" w:fill="auto"/>
          </w:tcPr>
          <w:p w14:paraId="13199CBA" w14:textId="68E7AE41" w:rsidR="0010066C" w:rsidRPr="00D948C1" w:rsidRDefault="0010066C" w:rsidP="006C0086">
            <w:pPr>
              <w:spacing w:line="276" w:lineRule="auto"/>
              <w:jc w:val="right"/>
              <w:rPr>
                <w:szCs w:val="24"/>
              </w:rPr>
            </w:pPr>
            <w:r w:rsidRPr="00D948C1">
              <w:rPr>
                <w:szCs w:val="24"/>
              </w:rPr>
              <w:t>(1,692)</w:t>
            </w:r>
          </w:p>
        </w:tc>
      </w:tr>
      <w:tr w:rsidR="0010066C" w:rsidRPr="00D948C1" w14:paraId="61572B2C" w14:textId="77777777" w:rsidTr="00EC3487">
        <w:tc>
          <w:tcPr>
            <w:tcW w:w="3172" w:type="dxa"/>
            <w:shd w:val="clear" w:color="auto" w:fill="auto"/>
          </w:tcPr>
          <w:p w14:paraId="6F6D59BF" w14:textId="77777777" w:rsidR="0010066C" w:rsidRPr="00D948C1" w:rsidRDefault="0010066C" w:rsidP="006C0086">
            <w:pPr>
              <w:spacing w:line="276" w:lineRule="auto"/>
              <w:rPr>
                <w:szCs w:val="24"/>
              </w:rPr>
            </w:pPr>
            <w:r w:rsidRPr="00D948C1">
              <w:rPr>
                <w:szCs w:val="24"/>
              </w:rPr>
              <w:t>Total Usable Reserves</w:t>
            </w:r>
          </w:p>
        </w:tc>
        <w:tc>
          <w:tcPr>
            <w:tcW w:w="1432" w:type="dxa"/>
            <w:shd w:val="clear" w:color="auto" w:fill="auto"/>
          </w:tcPr>
          <w:p w14:paraId="5118D797" w14:textId="77777777" w:rsidR="0010066C" w:rsidRPr="00D948C1" w:rsidRDefault="0010066C" w:rsidP="006C0086">
            <w:pPr>
              <w:spacing w:line="276" w:lineRule="auto"/>
              <w:jc w:val="right"/>
              <w:rPr>
                <w:szCs w:val="24"/>
              </w:rPr>
            </w:pPr>
          </w:p>
        </w:tc>
        <w:tc>
          <w:tcPr>
            <w:tcW w:w="1406" w:type="dxa"/>
            <w:shd w:val="clear" w:color="auto" w:fill="auto"/>
          </w:tcPr>
          <w:p w14:paraId="4113A894" w14:textId="729C85DB" w:rsidR="0010066C" w:rsidRPr="00D948C1" w:rsidRDefault="0010066C" w:rsidP="006C0086">
            <w:pPr>
              <w:spacing w:line="276" w:lineRule="auto"/>
              <w:jc w:val="right"/>
              <w:rPr>
                <w:szCs w:val="24"/>
              </w:rPr>
            </w:pPr>
            <w:r w:rsidRPr="00D948C1">
              <w:rPr>
                <w:szCs w:val="24"/>
              </w:rPr>
              <w:t>(</w:t>
            </w:r>
            <w:r w:rsidR="008D2B83">
              <w:rPr>
                <w:szCs w:val="24"/>
              </w:rPr>
              <w:t>33,768</w:t>
            </w:r>
            <w:r w:rsidRPr="00D948C1">
              <w:rPr>
                <w:szCs w:val="24"/>
              </w:rPr>
              <w:t>)</w:t>
            </w:r>
          </w:p>
        </w:tc>
        <w:tc>
          <w:tcPr>
            <w:tcW w:w="1406" w:type="dxa"/>
            <w:shd w:val="clear" w:color="auto" w:fill="auto"/>
          </w:tcPr>
          <w:p w14:paraId="2A36FEBF" w14:textId="77777777" w:rsidR="0010066C" w:rsidRPr="00D948C1" w:rsidRDefault="0010066C" w:rsidP="006C0086">
            <w:pPr>
              <w:spacing w:line="276" w:lineRule="auto"/>
              <w:jc w:val="right"/>
              <w:rPr>
                <w:szCs w:val="24"/>
              </w:rPr>
            </w:pPr>
          </w:p>
        </w:tc>
        <w:tc>
          <w:tcPr>
            <w:tcW w:w="1406" w:type="dxa"/>
            <w:shd w:val="clear" w:color="auto" w:fill="auto"/>
          </w:tcPr>
          <w:p w14:paraId="1AD7BC15" w14:textId="0B569E93" w:rsidR="0010066C" w:rsidRPr="00D948C1" w:rsidRDefault="0010066C" w:rsidP="006C0086">
            <w:pPr>
              <w:spacing w:line="276" w:lineRule="auto"/>
              <w:jc w:val="right"/>
              <w:rPr>
                <w:szCs w:val="24"/>
              </w:rPr>
            </w:pPr>
            <w:r w:rsidRPr="00D948C1">
              <w:rPr>
                <w:szCs w:val="24"/>
              </w:rPr>
              <w:t>(36,208)</w:t>
            </w:r>
          </w:p>
        </w:tc>
      </w:tr>
    </w:tbl>
    <w:p w14:paraId="6C4ED80F" w14:textId="6B73B894" w:rsidR="000C442C" w:rsidRPr="00D948C1" w:rsidRDefault="000C442C" w:rsidP="006C0086">
      <w:pPr>
        <w:spacing w:line="276" w:lineRule="auto"/>
        <w:rPr>
          <w:b/>
          <w:szCs w:val="24"/>
        </w:rPr>
      </w:pPr>
    </w:p>
    <w:p w14:paraId="47EAA2DA" w14:textId="77777777" w:rsidR="000C442C" w:rsidRPr="00D948C1" w:rsidRDefault="000C442C" w:rsidP="006C0086">
      <w:pPr>
        <w:spacing w:line="276" w:lineRule="auto"/>
        <w:rPr>
          <w:b/>
          <w:szCs w:val="24"/>
        </w:rPr>
        <w:sectPr w:rsidR="000C442C" w:rsidRPr="00D948C1" w:rsidSect="0050229D">
          <w:pgSz w:w="11907" w:h="16840" w:code="9"/>
          <w:pgMar w:top="454" w:right="567" w:bottom="397" w:left="567" w:header="720" w:footer="720" w:gutter="0"/>
          <w:cols w:space="720"/>
          <w:docGrid w:linePitch="326"/>
        </w:sectPr>
      </w:pPr>
    </w:p>
    <w:p w14:paraId="34121F38" w14:textId="389FFA37" w:rsidR="00AF3C89" w:rsidRPr="00D948C1" w:rsidRDefault="001C592E" w:rsidP="006C0086">
      <w:pPr>
        <w:pStyle w:val="Heading2"/>
        <w:spacing w:line="276" w:lineRule="auto"/>
        <w:jc w:val="left"/>
        <w:rPr>
          <w:sz w:val="24"/>
          <w:szCs w:val="24"/>
        </w:rPr>
      </w:pPr>
      <w:bookmarkStart w:id="55" w:name="_Toc171068801"/>
      <w:r w:rsidRPr="00D948C1">
        <w:rPr>
          <w:sz w:val="24"/>
          <w:szCs w:val="24"/>
        </w:rPr>
        <w:lastRenderedPageBreak/>
        <w:t>1</w:t>
      </w:r>
      <w:r w:rsidR="00116670" w:rsidRPr="00D948C1">
        <w:rPr>
          <w:sz w:val="24"/>
          <w:szCs w:val="24"/>
        </w:rPr>
        <w:t>7</w:t>
      </w:r>
      <w:r w:rsidR="001429DE" w:rsidRPr="00D948C1">
        <w:rPr>
          <w:sz w:val="24"/>
          <w:szCs w:val="24"/>
        </w:rPr>
        <w:tab/>
      </w:r>
      <w:r w:rsidR="00AF3C89" w:rsidRPr="00D948C1">
        <w:rPr>
          <w:sz w:val="24"/>
          <w:szCs w:val="24"/>
        </w:rPr>
        <w:t>Transfers (to)/from Earmarked Reserves</w:t>
      </w:r>
      <w:bookmarkEnd w:id="55"/>
    </w:p>
    <w:p w14:paraId="36446D8D" w14:textId="77777777" w:rsidR="00D90216" w:rsidRPr="00D948C1" w:rsidRDefault="00D90216" w:rsidP="006C0086">
      <w:pPr>
        <w:spacing w:line="276" w:lineRule="auto"/>
        <w:ind w:left="709"/>
        <w:rPr>
          <w:szCs w:val="24"/>
        </w:rPr>
      </w:pPr>
    </w:p>
    <w:tbl>
      <w:tblPr>
        <w:tblW w:w="152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1701"/>
        <w:gridCol w:w="1701"/>
        <w:gridCol w:w="1701"/>
        <w:gridCol w:w="1701"/>
        <w:gridCol w:w="1701"/>
        <w:gridCol w:w="1701"/>
        <w:gridCol w:w="1701"/>
      </w:tblGrid>
      <w:tr w:rsidR="0010066C" w:rsidRPr="00D948C1" w14:paraId="3B976A56" w14:textId="77777777" w:rsidTr="00611673">
        <w:trPr>
          <w:tblHeader/>
        </w:trPr>
        <w:tc>
          <w:tcPr>
            <w:tcW w:w="3294" w:type="dxa"/>
            <w:shd w:val="clear" w:color="auto" w:fill="BD2716"/>
          </w:tcPr>
          <w:p w14:paraId="1509FD0B" w14:textId="77777777" w:rsidR="0010066C" w:rsidRPr="00D948C1" w:rsidRDefault="0010066C" w:rsidP="006C0086">
            <w:pPr>
              <w:spacing w:line="276" w:lineRule="auto"/>
              <w:rPr>
                <w:color w:val="FFFFFF" w:themeColor="background1"/>
                <w:szCs w:val="24"/>
              </w:rPr>
            </w:pPr>
          </w:p>
        </w:tc>
        <w:tc>
          <w:tcPr>
            <w:tcW w:w="1701" w:type="dxa"/>
            <w:shd w:val="clear" w:color="auto" w:fill="BD2716"/>
            <w:vAlign w:val="center"/>
          </w:tcPr>
          <w:p w14:paraId="31703B63"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2022</w:t>
            </w:r>
          </w:p>
          <w:p w14:paraId="3B3D5CEC" w14:textId="39A32373"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3B6577D6"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Transfers in 2022/23</w:t>
            </w:r>
          </w:p>
          <w:p w14:paraId="3C229FFA" w14:textId="3EB33232"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4AC6F5EA"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Transfers out 2022/23</w:t>
            </w:r>
          </w:p>
          <w:p w14:paraId="17601649" w14:textId="4DD4F3F0"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5DBC9B71"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2023</w:t>
            </w:r>
          </w:p>
          <w:p w14:paraId="5C43A78A" w14:textId="27A434D0"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5A0245FB" w14:textId="079E5374" w:rsidR="0010066C" w:rsidRPr="00D948C1" w:rsidRDefault="0010066C" w:rsidP="006C0086">
            <w:pPr>
              <w:spacing w:line="276" w:lineRule="auto"/>
              <w:jc w:val="right"/>
              <w:rPr>
                <w:color w:val="FFFFFF" w:themeColor="background1"/>
                <w:szCs w:val="24"/>
              </w:rPr>
            </w:pPr>
            <w:r w:rsidRPr="00D948C1">
              <w:rPr>
                <w:color w:val="FFFFFF" w:themeColor="background1"/>
                <w:szCs w:val="24"/>
              </w:rPr>
              <w:t>Transfers in 2023/24</w:t>
            </w:r>
          </w:p>
          <w:p w14:paraId="2A7F3BBD" w14:textId="24439B22"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1CE441B5" w14:textId="43F86123" w:rsidR="0010066C" w:rsidRPr="00D948C1" w:rsidRDefault="0010066C" w:rsidP="006C0086">
            <w:pPr>
              <w:spacing w:line="276" w:lineRule="auto"/>
              <w:jc w:val="right"/>
              <w:rPr>
                <w:color w:val="FFFFFF" w:themeColor="background1"/>
                <w:szCs w:val="24"/>
              </w:rPr>
            </w:pPr>
            <w:r w:rsidRPr="00D948C1">
              <w:rPr>
                <w:color w:val="FFFFFF" w:themeColor="background1"/>
                <w:szCs w:val="24"/>
              </w:rPr>
              <w:t>Transfers out 2023/24</w:t>
            </w:r>
          </w:p>
          <w:p w14:paraId="6E239CFF" w14:textId="7BB9776B"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701" w:type="dxa"/>
            <w:shd w:val="clear" w:color="auto" w:fill="BD2716"/>
            <w:vAlign w:val="center"/>
          </w:tcPr>
          <w:p w14:paraId="54B63E7E" w14:textId="3E0B2D11" w:rsidR="0010066C" w:rsidRPr="00D948C1" w:rsidRDefault="0010066C" w:rsidP="006C0086">
            <w:pPr>
              <w:spacing w:line="276" w:lineRule="auto"/>
              <w:jc w:val="right"/>
              <w:rPr>
                <w:color w:val="FFFFFF" w:themeColor="background1"/>
                <w:szCs w:val="24"/>
              </w:rPr>
            </w:pPr>
            <w:r w:rsidRPr="00D948C1">
              <w:rPr>
                <w:color w:val="FFFFFF" w:themeColor="background1"/>
                <w:szCs w:val="24"/>
              </w:rPr>
              <w:t xml:space="preserve">Balance </w:t>
            </w:r>
            <w:proofErr w:type="gramStart"/>
            <w:r w:rsidRPr="00D948C1">
              <w:rPr>
                <w:color w:val="FFFFFF" w:themeColor="background1"/>
                <w:szCs w:val="24"/>
              </w:rPr>
              <w:t>at</w:t>
            </w:r>
            <w:proofErr w:type="gramEnd"/>
            <w:r w:rsidRPr="00D948C1">
              <w:rPr>
                <w:color w:val="FFFFFF" w:themeColor="background1"/>
                <w:szCs w:val="24"/>
              </w:rPr>
              <w:t xml:space="preserve"> 31 March 2024</w:t>
            </w:r>
          </w:p>
          <w:p w14:paraId="674ACC95" w14:textId="30B3E72C"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6DECA476" w14:textId="77777777" w:rsidTr="00611673">
        <w:tc>
          <w:tcPr>
            <w:tcW w:w="3294" w:type="dxa"/>
            <w:shd w:val="clear" w:color="auto" w:fill="auto"/>
          </w:tcPr>
          <w:p w14:paraId="60CD808B" w14:textId="77777777" w:rsidR="0010066C" w:rsidRPr="00D948C1" w:rsidRDefault="0010066C" w:rsidP="006C0086">
            <w:pPr>
              <w:spacing w:line="276" w:lineRule="auto"/>
              <w:rPr>
                <w:szCs w:val="24"/>
              </w:rPr>
            </w:pPr>
            <w:r w:rsidRPr="00D948C1">
              <w:rPr>
                <w:szCs w:val="24"/>
              </w:rPr>
              <w:t>General fund</w:t>
            </w:r>
          </w:p>
        </w:tc>
        <w:tc>
          <w:tcPr>
            <w:tcW w:w="1701" w:type="dxa"/>
            <w:shd w:val="clear" w:color="auto" w:fill="auto"/>
            <w:vAlign w:val="center"/>
          </w:tcPr>
          <w:p w14:paraId="46C9323B" w14:textId="28964CB0" w:rsidR="0010066C" w:rsidRPr="00D948C1" w:rsidRDefault="0010066C" w:rsidP="006C0086">
            <w:pPr>
              <w:tabs>
                <w:tab w:val="decimal" w:pos="884"/>
              </w:tabs>
              <w:spacing w:line="276" w:lineRule="auto"/>
              <w:jc w:val="right"/>
              <w:rPr>
                <w:szCs w:val="24"/>
              </w:rPr>
            </w:pPr>
            <w:r w:rsidRPr="00D948C1">
              <w:rPr>
                <w:szCs w:val="24"/>
              </w:rPr>
              <w:t>(6,536)</w:t>
            </w:r>
          </w:p>
        </w:tc>
        <w:tc>
          <w:tcPr>
            <w:tcW w:w="1701" w:type="dxa"/>
            <w:shd w:val="clear" w:color="auto" w:fill="auto"/>
            <w:vAlign w:val="center"/>
          </w:tcPr>
          <w:p w14:paraId="2F98E431" w14:textId="4FED4845" w:rsidR="0010066C" w:rsidRPr="00D948C1" w:rsidRDefault="0010066C" w:rsidP="006C0086">
            <w:pPr>
              <w:tabs>
                <w:tab w:val="decimal" w:pos="884"/>
              </w:tabs>
              <w:spacing w:line="276" w:lineRule="auto"/>
              <w:jc w:val="right"/>
              <w:rPr>
                <w:szCs w:val="24"/>
              </w:rPr>
            </w:pPr>
            <w:r w:rsidRPr="00D948C1">
              <w:rPr>
                <w:szCs w:val="24"/>
              </w:rPr>
              <w:t>(24)</w:t>
            </w:r>
          </w:p>
        </w:tc>
        <w:tc>
          <w:tcPr>
            <w:tcW w:w="1701" w:type="dxa"/>
            <w:shd w:val="clear" w:color="auto" w:fill="auto"/>
            <w:vAlign w:val="center"/>
          </w:tcPr>
          <w:p w14:paraId="1776EEB7" w14:textId="0D005923" w:rsidR="0010066C" w:rsidRPr="00D948C1" w:rsidRDefault="0010066C" w:rsidP="006C0086">
            <w:pPr>
              <w:tabs>
                <w:tab w:val="decimal" w:pos="884"/>
              </w:tabs>
              <w:spacing w:line="276" w:lineRule="auto"/>
              <w:jc w:val="right"/>
              <w:rPr>
                <w:szCs w:val="24"/>
              </w:rPr>
            </w:pPr>
            <w:r w:rsidRPr="00D948C1">
              <w:rPr>
                <w:szCs w:val="24"/>
              </w:rPr>
              <w:t>1673</w:t>
            </w:r>
          </w:p>
        </w:tc>
        <w:tc>
          <w:tcPr>
            <w:tcW w:w="1701" w:type="dxa"/>
            <w:shd w:val="clear" w:color="auto" w:fill="auto"/>
            <w:vAlign w:val="center"/>
          </w:tcPr>
          <w:p w14:paraId="48B09DD3" w14:textId="76BCA8C6" w:rsidR="0010066C" w:rsidRPr="00D948C1" w:rsidRDefault="0010066C" w:rsidP="006C0086">
            <w:pPr>
              <w:tabs>
                <w:tab w:val="decimal" w:pos="884"/>
              </w:tabs>
              <w:spacing w:line="276" w:lineRule="auto"/>
              <w:jc w:val="right"/>
              <w:rPr>
                <w:szCs w:val="24"/>
              </w:rPr>
            </w:pPr>
            <w:r w:rsidRPr="00D948C1">
              <w:rPr>
                <w:szCs w:val="24"/>
              </w:rPr>
              <w:t>(4,887)</w:t>
            </w:r>
          </w:p>
        </w:tc>
        <w:tc>
          <w:tcPr>
            <w:tcW w:w="1701" w:type="dxa"/>
            <w:shd w:val="clear" w:color="auto" w:fill="auto"/>
            <w:vAlign w:val="center"/>
          </w:tcPr>
          <w:p w14:paraId="3AA37C19" w14:textId="49C01F4B" w:rsidR="0010066C" w:rsidRPr="00D948C1" w:rsidRDefault="0010066C" w:rsidP="006C0086">
            <w:pPr>
              <w:tabs>
                <w:tab w:val="decimal" w:pos="884"/>
              </w:tabs>
              <w:spacing w:line="276" w:lineRule="auto"/>
              <w:jc w:val="right"/>
              <w:rPr>
                <w:szCs w:val="24"/>
              </w:rPr>
            </w:pPr>
            <w:r w:rsidRPr="00D948C1">
              <w:rPr>
                <w:szCs w:val="24"/>
              </w:rPr>
              <w:t>(</w:t>
            </w:r>
            <w:r w:rsidR="00C6392D" w:rsidRPr="00D948C1">
              <w:rPr>
                <w:szCs w:val="24"/>
              </w:rPr>
              <w:t>995</w:t>
            </w:r>
            <w:r w:rsidRPr="00D948C1">
              <w:rPr>
                <w:szCs w:val="24"/>
              </w:rPr>
              <w:t>)</w:t>
            </w:r>
          </w:p>
        </w:tc>
        <w:tc>
          <w:tcPr>
            <w:tcW w:w="1701" w:type="dxa"/>
            <w:shd w:val="clear" w:color="auto" w:fill="auto"/>
            <w:vAlign w:val="center"/>
          </w:tcPr>
          <w:p w14:paraId="2CDC99C2" w14:textId="6D9E9A99" w:rsidR="0010066C" w:rsidRPr="00D948C1" w:rsidRDefault="00C6392D" w:rsidP="006C0086">
            <w:pPr>
              <w:tabs>
                <w:tab w:val="decimal" w:pos="884"/>
              </w:tabs>
              <w:spacing w:line="276" w:lineRule="auto"/>
              <w:jc w:val="right"/>
              <w:rPr>
                <w:szCs w:val="24"/>
              </w:rPr>
            </w:pPr>
            <w:r w:rsidRPr="00D948C1">
              <w:rPr>
                <w:szCs w:val="24"/>
              </w:rPr>
              <w:t>220</w:t>
            </w:r>
          </w:p>
        </w:tc>
        <w:tc>
          <w:tcPr>
            <w:tcW w:w="1701" w:type="dxa"/>
            <w:shd w:val="clear" w:color="auto" w:fill="auto"/>
            <w:vAlign w:val="center"/>
          </w:tcPr>
          <w:p w14:paraId="260376AD" w14:textId="72609905" w:rsidR="0010066C" w:rsidRPr="00D948C1" w:rsidRDefault="00C6392D" w:rsidP="006C0086">
            <w:pPr>
              <w:tabs>
                <w:tab w:val="decimal" w:pos="884"/>
              </w:tabs>
              <w:spacing w:line="276" w:lineRule="auto"/>
              <w:jc w:val="right"/>
              <w:rPr>
                <w:szCs w:val="24"/>
              </w:rPr>
            </w:pPr>
            <w:r w:rsidRPr="00D948C1">
              <w:rPr>
                <w:szCs w:val="24"/>
              </w:rPr>
              <w:t>(5,662)</w:t>
            </w:r>
          </w:p>
        </w:tc>
      </w:tr>
      <w:tr w:rsidR="0010066C" w:rsidRPr="00D948C1" w14:paraId="7761974B" w14:textId="77777777" w:rsidTr="00611673">
        <w:tc>
          <w:tcPr>
            <w:tcW w:w="3294" w:type="dxa"/>
            <w:shd w:val="clear" w:color="auto" w:fill="auto"/>
          </w:tcPr>
          <w:p w14:paraId="4E48C1CE" w14:textId="77777777" w:rsidR="0010066C" w:rsidRPr="00D948C1" w:rsidRDefault="0010066C" w:rsidP="006C0086">
            <w:pPr>
              <w:spacing w:line="276" w:lineRule="auto"/>
              <w:rPr>
                <w:szCs w:val="24"/>
              </w:rPr>
            </w:pPr>
            <w:r w:rsidRPr="00D948C1">
              <w:rPr>
                <w:szCs w:val="24"/>
              </w:rPr>
              <w:t>Earmarked Reserves</w:t>
            </w:r>
          </w:p>
        </w:tc>
        <w:tc>
          <w:tcPr>
            <w:tcW w:w="1701" w:type="dxa"/>
            <w:shd w:val="clear" w:color="auto" w:fill="auto"/>
            <w:vAlign w:val="center"/>
          </w:tcPr>
          <w:p w14:paraId="221AD4DC" w14:textId="286AB7B9" w:rsidR="0010066C" w:rsidRPr="00D948C1" w:rsidRDefault="0010066C" w:rsidP="006C0086">
            <w:pPr>
              <w:tabs>
                <w:tab w:val="decimal" w:pos="884"/>
              </w:tabs>
              <w:spacing w:line="276" w:lineRule="auto"/>
              <w:jc w:val="right"/>
              <w:rPr>
                <w:szCs w:val="24"/>
              </w:rPr>
            </w:pPr>
            <w:r w:rsidRPr="00D948C1">
              <w:rPr>
                <w:szCs w:val="24"/>
              </w:rPr>
              <w:t>(4,675)</w:t>
            </w:r>
          </w:p>
        </w:tc>
        <w:tc>
          <w:tcPr>
            <w:tcW w:w="1701" w:type="dxa"/>
            <w:shd w:val="clear" w:color="auto" w:fill="auto"/>
            <w:vAlign w:val="center"/>
          </w:tcPr>
          <w:p w14:paraId="07C2DE87" w14:textId="0CC4D10F" w:rsidR="0010066C" w:rsidRPr="00D948C1" w:rsidRDefault="0010066C" w:rsidP="006C0086">
            <w:pPr>
              <w:tabs>
                <w:tab w:val="decimal" w:pos="884"/>
              </w:tabs>
              <w:spacing w:line="276" w:lineRule="auto"/>
              <w:jc w:val="right"/>
              <w:rPr>
                <w:szCs w:val="24"/>
              </w:rPr>
            </w:pPr>
            <w:r w:rsidRPr="00D948C1">
              <w:rPr>
                <w:szCs w:val="24"/>
              </w:rPr>
              <w:t>(1,207)</w:t>
            </w:r>
          </w:p>
        </w:tc>
        <w:tc>
          <w:tcPr>
            <w:tcW w:w="1701" w:type="dxa"/>
            <w:shd w:val="clear" w:color="auto" w:fill="auto"/>
            <w:vAlign w:val="center"/>
          </w:tcPr>
          <w:p w14:paraId="700F9278" w14:textId="6E59167F" w:rsidR="0010066C" w:rsidRPr="00D948C1" w:rsidRDefault="0010066C" w:rsidP="006C0086">
            <w:pPr>
              <w:tabs>
                <w:tab w:val="decimal" w:pos="884"/>
              </w:tabs>
              <w:spacing w:line="276" w:lineRule="auto"/>
              <w:jc w:val="right"/>
              <w:rPr>
                <w:szCs w:val="24"/>
              </w:rPr>
            </w:pPr>
            <w:r w:rsidRPr="00D948C1">
              <w:rPr>
                <w:szCs w:val="24"/>
              </w:rPr>
              <w:t>1,781</w:t>
            </w:r>
          </w:p>
        </w:tc>
        <w:tc>
          <w:tcPr>
            <w:tcW w:w="1701" w:type="dxa"/>
            <w:shd w:val="clear" w:color="auto" w:fill="auto"/>
            <w:vAlign w:val="center"/>
          </w:tcPr>
          <w:p w14:paraId="77CEF38F" w14:textId="075FA8E9" w:rsidR="0010066C" w:rsidRPr="00D948C1" w:rsidRDefault="0010066C" w:rsidP="006C0086">
            <w:pPr>
              <w:tabs>
                <w:tab w:val="decimal" w:pos="884"/>
              </w:tabs>
              <w:spacing w:line="276" w:lineRule="auto"/>
              <w:jc w:val="right"/>
              <w:rPr>
                <w:szCs w:val="24"/>
              </w:rPr>
            </w:pPr>
            <w:r w:rsidRPr="00D948C1">
              <w:rPr>
                <w:szCs w:val="24"/>
              </w:rPr>
              <w:t>(4,101)</w:t>
            </w:r>
          </w:p>
        </w:tc>
        <w:tc>
          <w:tcPr>
            <w:tcW w:w="1701" w:type="dxa"/>
            <w:shd w:val="clear" w:color="auto" w:fill="auto"/>
            <w:vAlign w:val="center"/>
          </w:tcPr>
          <w:p w14:paraId="5962B8D2" w14:textId="1EC9B2A4" w:rsidR="0010066C" w:rsidRPr="00D948C1" w:rsidRDefault="0010066C" w:rsidP="006C0086">
            <w:pPr>
              <w:tabs>
                <w:tab w:val="decimal" w:pos="884"/>
              </w:tabs>
              <w:spacing w:line="276" w:lineRule="auto"/>
              <w:jc w:val="right"/>
              <w:rPr>
                <w:szCs w:val="24"/>
              </w:rPr>
            </w:pPr>
            <w:r w:rsidRPr="00D948C1">
              <w:rPr>
                <w:szCs w:val="24"/>
              </w:rPr>
              <w:t>(1,</w:t>
            </w:r>
            <w:r w:rsidR="00C6392D" w:rsidRPr="00D948C1">
              <w:rPr>
                <w:szCs w:val="24"/>
              </w:rPr>
              <w:t>023</w:t>
            </w:r>
            <w:r w:rsidRPr="00D948C1">
              <w:rPr>
                <w:szCs w:val="24"/>
              </w:rPr>
              <w:t>)</w:t>
            </w:r>
          </w:p>
        </w:tc>
        <w:tc>
          <w:tcPr>
            <w:tcW w:w="1701" w:type="dxa"/>
            <w:shd w:val="clear" w:color="auto" w:fill="auto"/>
            <w:vAlign w:val="center"/>
          </w:tcPr>
          <w:p w14:paraId="3B594481" w14:textId="5F358F4E" w:rsidR="0010066C" w:rsidRPr="00D948C1" w:rsidRDefault="00C6392D" w:rsidP="006C0086">
            <w:pPr>
              <w:tabs>
                <w:tab w:val="decimal" w:pos="884"/>
              </w:tabs>
              <w:spacing w:line="276" w:lineRule="auto"/>
              <w:jc w:val="right"/>
              <w:rPr>
                <w:szCs w:val="24"/>
              </w:rPr>
            </w:pPr>
            <w:r w:rsidRPr="00D948C1">
              <w:rPr>
                <w:szCs w:val="24"/>
              </w:rPr>
              <w:t>1,839</w:t>
            </w:r>
          </w:p>
        </w:tc>
        <w:tc>
          <w:tcPr>
            <w:tcW w:w="1701" w:type="dxa"/>
            <w:shd w:val="clear" w:color="auto" w:fill="auto"/>
            <w:vAlign w:val="center"/>
          </w:tcPr>
          <w:p w14:paraId="6AA5D823" w14:textId="540FBBC2" w:rsidR="0010066C" w:rsidRPr="00D948C1" w:rsidRDefault="0010066C" w:rsidP="006C0086">
            <w:pPr>
              <w:tabs>
                <w:tab w:val="decimal" w:pos="884"/>
              </w:tabs>
              <w:spacing w:line="276" w:lineRule="auto"/>
              <w:jc w:val="right"/>
              <w:rPr>
                <w:szCs w:val="24"/>
              </w:rPr>
            </w:pPr>
            <w:r w:rsidRPr="00D948C1">
              <w:rPr>
                <w:szCs w:val="24"/>
              </w:rPr>
              <w:t>(</w:t>
            </w:r>
            <w:r w:rsidR="00C6392D" w:rsidRPr="00D948C1">
              <w:rPr>
                <w:szCs w:val="24"/>
              </w:rPr>
              <w:t>3,285</w:t>
            </w:r>
            <w:r w:rsidRPr="00D948C1">
              <w:rPr>
                <w:szCs w:val="24"/>
              </w:rPr>
              <w:t>)</w:t>
            </w:r>
          </w:p>
        </w:tc>
      </w:tr>
      <w:tr w:rsidR="0010066C" w:rsidRPr="00D948C1" w14:paraId="22BF20AF" w14:textId="77777777" w:rsidTr="00611673">
        <w:tc>
          <w:tcPr>
            <w:tcW w:w="3294" w:type="dxa"/>
            <w:shd w:val="clear" w:color="auto" w:fill="auto"/>
          </w:tcPr>
          <w:p w14:paraId="75F61D9E" w14:textId="6F8A0E18" w:rsidR="0010066C" w:rsidRPr="00D948C1" w:rsidRDefault="0076078A" w:rsidP="006C0086">
            <w:pPr>
              <w:spacing w:line="276" w:lineRule="auto"/>
              <w:rPr>
                <w:szCs w:val="24"/>
              </w:rPr>
            </w:pPr>
            <w:r>
              <w:rPr>
                <w:szCs w:val="24"/>
              </w:rPr>
              <w:t>Private Finance Initiative</w:t>
            </w:r>
            <w:r w:rsidR="0010066C" w:rsidRPr="00D948C1">
              <w:rPr>
                <w:szCs w:val="24"/>
              </w:rPr>
              <w:t xml:space="preserve"> Equalisation Reserves</w:t>
            </w:r>
          </w:p>
        </w:tc>
        <w:tc>
          <w:tcPr>
            <w:tcW w:w="1701" w:type="dxa"/>
            <w:shd w:val="clear" w:color="auto" w:fill="auto"/>
            <w:vAlign w:val="center"/>
          </w:tcPr>
          <w:p w14:paraId="59E230B2" w14:textId="50254BB7" w:rsidR="0010066C" w:rsidRPr="00D948C1" w:rsidRDefault="0010066C" w:rsidP="006C0086">
            <w:pPr>
              <w:tabs>
                <w:tab w:val="decimal" w:pos="884"/>
              </w:tabs>
              <w:spacing w:line="276" w:lineRule="auto"/>
              <w:jc w:val="right"/>
              <w:rPr>
                <w:szCs w:val="24"/>
              </w:rPr>
            </w:pPr>
            <w:r w:rsidRPr="00D948C1">
              <w:rPr>
                <w:szCs w:val="24"/>
              </w:rPr>
              <w:t>(5,067)</w:t>
            </w:r>
          </w:p>
        </w:tc>
        <w:tc>
          <w:tcPr>
            <w:tcW w:w="1701" w:type="dxa"/>
            <w:shd w:val="clear" w:color="auto" w:fill="auto"/>
            <w:vAlign w:val="center"/>
          </w:tcPr>
          <w:p w14:paraId="3997DFCF" w14:textId="5E04A99D" w:rsidR="0010066C" w:rsidRPr="00D948C1" w:rsidRDefault="0010066C" w:rsidP="006C0086">
            <w:pPr>
              <w:tabs>
                <w:tab w:val="decimal" w:pos="884"/>
              </w:tabs>
              <w:spacing w:line="276" w:lineRule="auto"/>
              <w:jc w:val="right"/>
              <w:rPr>
                <w:szCs w:val="24"/>
              </w:rPr>
            </w:pPr>
            <w:r w:rsidRPr="00D948C1">
              <w:rPr>
                <w:szCs w:val="24"/>
              </w:rPr>
              <w:t>(90)</w:t>
            </w:r>
          </w:p>
        </w:tc>
        <w:tc>
          <w:tcPr>
            <w:tcW w:w="1701" w:type="dxa"/>
            <w:shd w:val="clear" w:color="auto" w:fill="auto"/>
            <w:vAlign w:val="center"/>
          </w:tcPr>
          <w:p w14:paraId="32FCCDB5" w14:textId="3AAACAAA" w:rsidR="0010066C" w:rsidRPr="00D948C1" w:rsidRDefault="0010066C"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03F11FDD" w14:textId="0369199B" w:rsidR="0010066C" w:rsidRPr="00D948C1" w:rsidRDefault="0010066C" w:rsidP="006C0086">
            <w:pPr>
              <w:tabs>
                <w:tab w:val="decimal" w:pos="884"/>
              </w:tabs>
              <w:spacing w:line="276" w:lineRule="auto"/>
              <w:jc w:val="right"/>
              <w:rPr>
                <w:szCs w:val="24"/>
              </w:rPr>
            </w:pPr>
            <w:r w:rsidRPr="00D948C1">
              <w:rPr>
                <w:szCs w:val="24"/>
              </w:rPr>
              <w:t>(5,157)</w:t>
            </w:r>
          </w:p>
        </w:tc>
        <w:tc>
          <w:tcPr>
            <w:tcW w:w="1701" w:type="dxa"/>
            <w:shd w:val="clear" w:color="auto" w:fill="auto"/>
            <w:vAlign w:val="center"/>
          </w:tcPr>
          <w:p w14:paraId="546016B5" w14:textId="15E5E455" w:rsidR="0010066C" w:rsidRPr="00D948C1" w:rsidRDefault="00C6392D"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05540B27" w14:textId="38A34339" w:rsidR="0010066C" w:rsidRPr="00D948C1" w:rsidRDefault="0010066C"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043C9224" w14:textId="2AEDAAA9" w:rsidR="0010066C" w:rsidRPr="00D948C1" w:rsidRDefault="0010066C" w:rsidP="006C0086">
            <w:pPr>
              <w:tabs>
                <w:tab w:val="decimal" w:pos="884"/>
              </w:tabs>
              <w:spacing w:line="276" w:lineRule="auto"/>
              <w:jc w:val="right"/>
              <w:rPr>
                <w:szCs w:val="24"/>
              </w:rPr>
            </w:pPr>
            <w:r w:rsidRPr="00D948C1">
              <w:rPr>
                <w:szCs w:val="24"/>
              </w:rPr>
              <w:t>(5,157)</w:t>
            </w:r>
          </w:p>
        </w:tc>
      </w:tr>
      <w:tr w:rsidR="0010066C" w:rsidRPr="00D948C1" w14:paraId="42FD74F7" w14:textId="77777777" w:rsidTr="00611673">
        <w:tc>
          <w:tcPr>
            <w:tcW w:w="3294" w:type="dxa"/>
            <w:shd w:val="clear" w:color="auto" w:fill="auto"/>
          </w:tcPr>
          <w:p w14:paraId="1955967E" w14:textId="77777777" w:rsidR="0010066C" w:rsidRPr="00D948C1" w:rsidRDefault="0010066C" w:rsidP="006C0086">
            <w:pPr>
              <w:spacing w:line="276" w:lineRule="auto"/>
              <w:rPr>
                <w:szCs w:val="24"/>
              </w:rPr>
            </w:pPr>
            <w:r w:rsidRPr="00D948C1">
              <w:rPr>
                <w:szCs w:val="24"/>
              </w:rPr>
              <w:t>Total Earmarked Reserves</w:t>
            </w:r>
          </w:p>
        </w:tc>
        <w:tc>
          <w:tcPr>
            <w:tcW w:w="1701" w:type="dxa"/>
            <w:shd w:val="clear" w:color="auto" w:fill="auto"/>
            <w:vAlign w:val="center"/>
          </w:tcPr>
          <w:p w14:paraId="277E034E" w14:textId="389EE7D9" w:rsidR="0010066C" w:rsidRPr="00D948C1" w:rsidRDefault="0010066C" w:rsidP="006C0086">
            <w:pPr>
              <w:tabs>
                <w:tab w:val="decimal" w:pos="884"/>
              </w:tabs>
              <w:spacing w:line="276" w:lineRule="auto"/>
              <w:jc w:val="right"/>
              <w:rPr>
                <w:szCs w:val="24"/>
              </w:rPr>
            </w:pPr>
            <w:r w:rsidRPr="00D948C1">
              <w:rPr>
                <w:szCs w:val="24"/>
              </w:rPr>
              <w:t>(9,742)</w:t>
            </w:r>
          </w:p>
        </w:tc>
        <w:tc>
          <w:tcPr>
            <w:tcW w:w="1701" w:type="dxa"/>
            <w:shd w:val="clear" w:color="auto" w:fill="auto"/>
            <w:vAlign w:val="center"/>
          </w:tcPr>
          <w:p w14:paraId="5E36B1CE" w14:textId="52BC35FC" w:rsidR="0010066C" w:rsidRPr="00D948C1" w:rsidRDefault="0010066C" w:rsidP="006C0086">
            <w:pPr>
              <w:tabs>
                <w:tab w:val="decimal" w:pos="884"/>
              </w:tabs>
              <w:spacing w:line="276" w:lineRule="auto"/>
              <w:jc w:val="right"/>
              <w:rPr>
                <w:szCs w:val="24"/>
              </w:rPr>
            </w:pPr>
            <w:r w:rsidRPr="00D948C1">
              <w:rPr>
                <w:szCs w:val="24"/>
              </w:rPr>
              <w:t>(1,297)</w:t>
            </w:r>
          </w:p>
        </w:tc>
        <w:tc>
          <w:tcPr>
            <w:tcW w:w="1701" w:type="dxa"/>
            <w:shd w:val="clear" w:color="auto" w:fill="auto"/>
            <w:vAlign w:val="center"/>
          </w:tcPr>
          <w:p w14:paraId="5FBFF1FA" w14:textId="7739E506" w:rsidR="0010066C" w:rsidRPr="00D948C1" w:rsidRDefault="0010066C" w:rsidP="006C0086">
            <w:pPr>
              <w:tabs>
                <w:tab w:val="decimal" w:pos="884"/>
              </w:tabs>
              <w:spacing w:line="276" w:lineRule="auto"/>
              <w:jc w:val="right"/>
              <w:rPr>
                <w:szCs w:val="24"/>
              </w:rPr>
            </w:pPr>
            <w:r w:rsidRPr="00D948C1">
              <w:rPr>
                <w:szCs w:val="24"/>
              </w:rPr>
              <w:t>1,781</w:t>
            </w:r>
          </w:p>
        </w:tc>
        <w:tc>
          <w:tcPr>
            <w:tcW w:w="1701" w:type="dxa"/>
            <w:shd w:val="clear" w:color="auto" w:fill="auto"/>
            <w:vAlign w:val="center"/>
          </w:tcPr>
          <w:p w14:paraId="261C6C00" w14:textId="364D4B47" w:rsidR="0010066C" w:rsidRPr="00D948C1" w:rsidRDefault="0010066C" w:rsidP="006C0086">
            <w:pPr>
              <w:tabs>
                <w:tab w:val="decimal" w:pos="884"/>
              </w:tabs>
              <w:spacing w:line="276" w:lineRule="auto"/>
              <w:jc w:val="right"/>
              <w:rPr>
                <w:szCs w:val="24"/>
              </w:rPr>
            </w:pPr>
            <w:r w:rsidRPr="00D948C1">
              <w:rPr>
                <w:szCs w:val="24"/>
              </w:rPr>
              <w:t>(9,258)</w:t>
            </w:r>
          </w:p>
        </w:tc>
        <w:tc>
          <w:tcPr>
            <w:tcW w:w="1701" w:type="dxa"/>
            <w:shd w:val="clear" w:color="auto" w:fill="auto"/>
            <w:vAlign w:val="center"/>
          </w:tcPr>
          <w:p w14:paraId="2B67F9D1" w14:textId="1B6E8AE7" w:rsidR="0010066C" w:rsidRPr="00D948C1" w:rsidRDefault="0010066C" w:rsidP="006C0086">
            <w:pPr>
              <w:tabs>
                <w:tab w:val="decimal" w:pos="884"/>
              </w:tabs>
              <w:spacing w:line="276" w:lineRule="auto"/>
              <w:jc w:val="right"/>
              <w:rPr>
                <w:szCs w:val="24"/>
              </w:rPr>
            </w:pPr>
            <w:r w:rsidRPr="00D948C1">
              <w:rPr>
                <w:szCs w:val="24"/>
              </w:rPr>
              <w:t>(1,</w:t>
            </w:r>
            <w:r w:rsidR="00C6392D" w:rsidRPr="00D948C1">
              <w:rPr>
                <w:szCs w:val="24"/>
              </w:rPr>
              <w:t>023</w:t>
            </w:r>
            <w:r w:rsidRPr="00D948C1">
              <w:rPr>
                <w:szCs w:val="24"/>
              </w:rPr>
              <w:t>)</w:t>
            </w:r>
          </w:p>
        </w:tc>
        <w:tc>
          <w:tcPr>
            <w:tcW w:w="1701" w:type="dxa"/>
            <w:shd w:val="clear" w:color="auto" w:fill="auto"/>
            <w:vAlign w:val="center"/>
          </w:tcPr>
          <w:p w14:paraId="4EE79B25" w14:textId="725A2572" w:rsidR="0010066C" w:rsidRPr="00D948C1" w:rsidRDefault="00C6392D" w:rsidP="006C0086">
            <w:pPr>
              <w:tabs>
                <w:tab w:val="decimal" w:pos="884"/>
              </w:tabs>
              <w:spacing w:line="276" w:lineRule="auto"/>
              <w:jc w:val="right"/>
              <w:rPr>
                <w:szCs w:val="24"/>
              </w:rPr>
            </w:pPr>
            <w:r w:rsidRPr="00D948C1">
              <w:rPr>
                <w:szCs w:val="24"/>
              </w:rPr>
              <w:t>1,839</w:t>
            </w:r>
          </w:p>
        </w:tc>
        <w:tc>
          <w:tcPr>
            <w:tcW w:w="1701" w:type="dxa"/>
            <w:shd w:val="clear" w:color="auto" w:fill="auto"/>
            <w:vAlign w:val="center"/>
          </w:tcPr>
          <w:p w14:paraId="2637BA94" w14:textId="4869EB06" w:rsidR="0010066C" w:rsidRPr="00D948C1" w:rsidRDefault="0010066C" w:rsidP="006C0086">
            <w:pPr>
              <w:tabs>
                <w:tab w:val="decimal" w:pos="884"/>
              </w:tabs>
              <w:spacing w:line="276" w:lineRule="auto"/>
              <w:jc w:val="right"/>
              <w:rPr>
                <w:szCs w:val="24"/>
              </w:rPr>
            </w:pPr>
            <w:r w:rsidRPr="00D948C1">
              <w:rPr>
                <w:szCs w:val="24"/>
              </w:rPr>
              <w:t>(</w:t>
            </w:r>
            <w:r w:rsidR="00C6392D" w:rsidRPr="00D948C1">
              <w:rPr>
                <w:szCs w:val="24"/>
              </w:rPr>
              <w:t>8,442</w:t>
            </w:r>
            <w:r w:rsidRPr="00D948C1">
              <w:rPr>
                <w:szCs w:val="24"/>
              </w:rPr>
              <w:t>)</w:t>
            </w:r>
          </w:p>
        </w:tc>
      </w:tr>
      <w:tr w:rsidR="0010066C" w:rsidRPr="00D948C1" w14:paraId="0A37ED9E" w14:textId="77777777" w:rsidTr="00611673">
        <w:tc>
          <w:tcPr>
            <w:tcW w:w="3294" w:type="dxa"/>
            <w:shd w:val="clear" w:color="auto" w:fill="auto"/>
          </w:tcPr>
          <w:p w14:paraId="1DAED24D" w14:textId="77777777" w:rsidR="0010066C" w:rsidRPr="00D948C1" w:rsidRDefault="0010066C" w:rsidP="006C0086">
            <w:pPr>
              <w:spacing w:line="276" w:lineRule="auto"/>
              <w:rPr>
                <w:szCs w:val="24"/>
              </w:rPr>
            </w:pPr>
            <w:r w:rsidRPr="00D948C1">
              <w:rPr>
                <w:szCs w:val="24"/>
              </w:rPr>
              <w:t>Capital funding reserve</w:t>
            </w:r>
          </w:p>
        </w:tc>
        <w:tc>
          <w:tcPr>
            <w:tcW w:w="1701" w:type="dxa"/>
            <w:shd w:val="clear" w:color="auto" w:fill="auto"/>
            <w:vAlign w:val="center"/>
          </w:tcPr>
          <w:p w14:paraId="1B21631D" w14:textId="173C1C2D" w:rsidR="0010066C" w:rsidRPr="00D948C1" w:rsidRDefault="0010066C" w:rsidP="006C0086">
            <w:pPr>
              <w:tabs>
                <w:tab w:val="decimal" w:pos="884"/>
              </w:tabs>
              <w:spacing w:line="276" w:lineRule="auto"/>
              <w:jc w:val="right"/>
              <w:rPr>
                <w:szCs w:val="24"/>
              </w:rPr>
            </w:pPr>
            <w:r w:rsidRPr="00D948C1">
              <w:rPr>
                <w:szCs w:val="24"/>
              </w:rPr>
              <w:t>(17,672)</w:t>
            </w:r>
          </w:p>
        </w:tc>
        <w:tc>
          <w:tcPr>
            <w:tcW w:w="1701" w:type="dxa"/>
            <w:shd w:val="clear" w:color="auto" w:fill="auto"/>
            <w:vAlign w:val="center"/>
          </w:tcPr>
          <w:p w14:paraId="49D86A4D" w14:textId="5889E62F" w:rsidR="0010066C" w:rsidRPr="00D948C1" w:rsidRDefault="0010066C" w:rsidP="006C0086">
            <w:pPr>
              <w:tabs>
                <w:tab w:val="decimal" w:pos="884"/>
              </w:tabs>
              <w:spacing w:line="276" w:lineRule="auto"/>
              <w:jc w:val="right"/>
              <w:rPr>
                <w:szCs w:val="24"/>
              </w:rPr>
            </w:pPr>
            <w:r w:rsidRPr="00D948C1">
              <w:rPr>
                <w:szCs w:val="24"/>
              </w:rPr>
              <w:t>(4,300)</w:t>
            </w:r>
          </w:p>
        </w:tc>
        <w:tc>
          <w:tcPr>
            <w:tcW w:w="1701" w:type="dxa"/>
            <w:shd w:val="clear" w:color="auto" w:fill="auto"/>
            <w:vAlign w:val="center"/>
          </w:tcPr>
          <w:p w14:paraId="6BB5CDE7" w14:textId="52DF4679" w:rsidR="0010066C" w:rsidRPr="00D948C1" w:rsidRDefault="0010066C" w:rsidP="006C0086">
            <w:pPr>
              <w:tabs>
                <w:tab w:val="decimal" w:pos="884"/>
              </w:tabs>
              <w:spacing w:line="276" w:lineRule="auto"/>
              <w:jc w:val="right"/>
              <w:rPr>
                <w:szCs w:val="24"/>
              </w:rPr>
            </w:pPr>
            <w:r w:rsidRPr="00D948C1">
              <w:rPr>
                <w:szCs w:val="24"/>
              </w:rPr>
              <w:t>1,628</w:t>
            </w:r>
          </w:p>
        </w:tc>
        <w:tc>
          <w:tcPr>
            <w:tcW w:w="1701" w:type="dxa"/>
            <w:shd w:val="clear" w:color="auto" w:fill="auto"/>
            <w:vAlign w:val="center"/>
          </w:tcPr>
          <w:p w14:paraId="44EC8B6E" w14:textId="2FB353E8" w:rsidR="0010066C" w:rsidRPr="00D948C1" w:rsidRDefault="0010066C" w:rsidP="006C0086">
            <w:pPr>
              <w:tabs>
                <w:tab w:val="decimal" w:pos="884"/>
              </w:tabs>
              <w:spacing w:line="276" w:lineRule="auto"/>
              <w:jc w:val="right"/>
              <w:rPr>
                <w:szCs w:val="24"/>
              </w:rPr>
            </w:pPr>
            <w:r w:rsidRPr="00D948C1">
              <w:rPr>
                <w:szCs w:val="24"/>
              </w:rPr>
              <w:t>(20,344)</w:t>
            </w:r>
          </w:p>
        </w:tc>
        <w:tc>
          <w:tcPr>
            <w:tcW w:w="1701" w:type="dxa"/>
            <w:shd w:val="clear" w:color="auto" w:fill="auto"/>
            <w:vAlign w:val="center"/>
          </w:tcPr>
          <w:p w14:paraId="41ADCFA1" w14:textId="3B4A5641" w:rsidR="0010066C" w:rsidRPr="00D948C1" w:rsidRDefault="0010066C" w:rsidP="006C0086">
            <w:pPr>
              <w:tabs>
                <w:tab w:val="decimal" w:pos="884"/>
              </w:tabs>
              <w:spacing w:line="276" w:lineRule="auto"/>
              <w:jc w:val="right"/>
              <w:rPr>
                <w:szCs w:val="24"/>
              </w:rPr>
            </w:pPr>
            <w:r w:rsidRPr="00D948C1">
              <w:rPr>
                <w:szCs w:val="24"/>
              </w:rPr>
              <w:t>(4,</w:t>
            </w:r>
            <w:r w:rsidR="00C6392D" w:rsidRPr="00D948C1">
              <w:rPr>
                <w:szCs w:val="24"/>
              </w:rPr>
              <w:t>171</w:t>
            </w:r>
            <w:r w:rsidRPr="00D948C1">
              <w:rPr>
                <w:szCs w:val="24"/>
              </w:rPr>
              <w:t>)</w:t>
            </w:r>
          </w:p>
        </w:tc>
        <w:tc>
          <w:tcPr>
            <w:tcW w:w="1701" w:type="dxa"/>
            <w:shd w:val="clear" w:color="auto" w:fill="auto"/>
            <w:vAlign w:val="center"/>
          </w:tcPr>
          <w:p w14:paraId="44033711" w14:textId="65901022" w:rsidR="0010066C" w:rsidRPr="00D948C1" w:rsidRDefault="00C6392D" w:rsidP="006C0086">
            <w:pPr>
              <w:tabs>
                <w:tab w:val="decimal" w:pos="884"/>
              </w:tabs>
              <w:spacing w:line="276" w:lineRule="auto"/>
              <w:jc w:val="right"/>
              <w:rPr>
                <w:szCs w:val="24"/>
              </w:rPr>
            </w:pPr>
            <w:r w:rsidRPr="00D948C1">
              <w:rPr>
                <w:szCs w:val="24"/>
              </w:rPr>
              <w:t>4,</w:t>
            </w:r>
            <w:r w:rsidR="00BD4838">
              <w:rPr>
                <w:szCs w:val="24"/>
              </w:rPr>
              <w:t>922</w:t>
            </w:r>
          </w:p>
        </w:tc>
        <w:tc>
          <w:tcPr>
            <w:tcW w:w="1701" w:type="dxa"/>
            <w:shd w:val="clear" w:color="auto" w:fill="auto"/>
            <w:vAlign w:val="center"/>
          </w:tcPr>
          <w:p w14:paraId="4A647060" w14:textId="24A3C235" w:rsidR="0010066C" w:rsidRPr="00D948C1" w:rsidRDefault="0010066C" w:rsidP="006C0086">
            <w:pPr>
              <w:tabs>
                <w:tab w:val="decimal" w:pos="884"/>
              </w:tabs>
              <w:spacing w:line="276" w:lineRule="auto"/>
              <w:jc w:val="right"/>
              <w:rPr>
                <w:szCs w:val="24"/>
              </w:rPr>
            </w:pPr>
            <w:r w:rsidRPr="00D948C1">
              <w:rPr>
                <w:szCs w:val="24"/>
              </w:rPr>
              <w:t>(</w:t>
            </w:r>
            <w:r w:rsidR="00BD4838">
              <w:rPr>
                <w:szCs w:val="24"/>
              </w:rPr>
              <w:t>19</w:t>
            </w:r>
            <w:r w:rsidRPr="00D948C1">
              <w:rPr>
                <w:szCs w:val="24"/>
              </w:rPr>
              <w:t>,</w:t>
            </w:r>
            <w:r w:rsidR="00BD4838">
              <w:rPr>
                <w:szCs w:val="24"/>
              </w:rPr>
              <w:t>593</w:t>
            </w:r>
            <w:r w:rsidRPr="00D948C1">
              <w:rPr>
                <w:szCs w:val="24"/>
              </w:rPr>
              <w:t>)</w:t>
            </w:r>
          </w:p>
        </w:tc>
      </w:tr>
      <w:tr w:rsidR="0010066C" w:rsidRPr="00D948C1" w14:paraId="405F2482" w14:textId="77777777" w:rsidTr="00611673">
        <w:tc>
          <w:tcPr>
            <w:tcW w:w="3294" w:type="dxa"/>
            <w:shd w:val="clear" w:color="auto" w:fill="auto"/>
          </w:tcPr>
          <w:p w14:paraId="1EA3789A" w14:textId="77777777" w:rsidR="0010066C" w:rsidRPr="00D948C1" w:rsidRDefault="0010066C" w:rsidP="006C0086">
            <w:pPr>
              <w:spacing w:line="276" w:lineRule="auto"/>
              <w:rPr>
                <w:szCs w:val="24"/>
              </w:rPr>
            </w:pPr>
            <w:r w:rsidRPr="00D948C1">
              <w:rPr>
                <w:szCs w:val="24"/>
              </w:rPr>
              <w:t>Capital grants unapplied</w:t>
            </w:r>
          </w:p>
        </w:tc>
        <w:tc>
          <w:tcPr>
            <w:tcW w:w="1701" w:type="dxa"/>
            <w:shd w:val="clear" w:color="auto" w:fill="auto"/>
            <w:vAlign w:val="center"/>
          </w:tcPr>
          <w:p w14:paraId="109C959C" w14:textId="4D72BB25" w:rsidR="0010066C" w:rsidRPr="00D948C1" w:rsidRDefault="0010066C" w:rsidP="006C0086">
            <w:pPr>
              <w:tabs>
                <w:tab w:val="decimal" w:pos="884"/>
              </w:tabs>
              <w:spacing w:line="276" w:lineRule="auto"/>
              <w:jc w:val="right"/>
              <w:rPr>
                <w:szCs w:val="24"/>
              </w:rPr>
            </w:pPr>
            <w:r w:rsidRPr="00D948C1">
              <w:rPr>
                <w:szCs w:val="24"/>
              </w:rPr>
              <w:t>(40)</w:t>
            </w:r>
          </w:p>
        </w:tc>
        <w:tc>
          <w:tcPr>
            <w:tcW w:w="1701" w:type="dxa"/>
            <w:shd w:val="clear" w:color="auto" w:fill="auto"/>
            <w:vAlign w:val="center"/>
          </w:tcPr>
          <w:p w14:paraId="2525AFAB" w14:textId="36F03CE9" w:rsidR="0010066C" w:rsidRPr="00D948C1" w:rsidRDefault="0010066C"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3B0DB4FF" w14:textId="5565B7C1" w:rsidR="0010066C" w:rsidRPr="00D948C1" w:rsidRDefault="0010066C" w:rsidP="006C0086">
            <w:pPr>
              <w:tabs>
                <w:tab w:val="decimal" w:pos="884"/>
              </w:tabs>
              <w:spacing w:line="276" w:lineRule="auto"/>
              <w:jc w:val="right"/>
              <w:rPr>
                <w:szCs w:val="24"/>
              </w:rPr>
            </w:pPr>
            <w:r w:rsidRPr="00D948C1">
              <w:rPr>
                <w:szCs w:val="24"/>
              </w:rPr>
              <w:t>13</w:t>
            </w:r>
          </w:p>
        </w:tc>
        <w:tc>
          <w:tcPr>
            <w:tcW w:w="1701" w:type="dxa"/>
            <w:shd w:val="clear" w:color="auto" w:fill="auto"/>
            <w:vAlign w:val="center"/>
          </w:tcPr>
          <w:p w14:paraId="5A308CCA" w14:textId="59B36C66" w:rsidR="0010066C" w:rsidRPr="00D948C1" w:rsidRDefault="0010066C" w:rsidP="006C0086">
            <w:pPr>
              <w:tabs>
                <w:tab w:val="decimal" w:pos="884"/>
              </w:tabs>
              <w:spacing w:line="276" w:lineRule="auto"/>
              <w:jc w:val="right"/>
              <w:rPr>
                <w:szCs w:val="24"/>
              </w:rPr>
            </w:pPr>
            <w:r w:rsidRPr="00D948C1">
              <w:rPr>
                <w:szCs w:val="24"/>
              </w:rPr>
              <w:t>(27)</w:t>
            </w:r>
          </w:p>
        </w:tc>
        <w:tc>
          <w:tcPr>
            <w:tcW w:w="1701" w:type="dxa"/>
            <w:shd w:val="clear" w:color="auto" w:fill="auto"/>
            <w:vAlign w:val="center"/>
          </w:tcPr>
          <w:p w14:paraId="13961620" w14:textId="4ECD265C" w:rsidR="0010066C" w:rsidRPr="00D948C1" w:rsidRDefault="0010066C"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7FDB7CF3" w14:textId="07A8D393" w:rsidR="0010066C" w:rsidRPr="00D948C1" w:rsidRDefault="00C6392D" w:rsidP="006C0086">
            <w:pPr>
              <w:tabs>
                <w:tab w:val="decimal" w:pos="884"/>
              </w:tabs>
              <w:spacing w:line="276" w:lineRule="auto"/>
              <w:jc w:val="right"/>
              <w:rPr>
                <w:szCs w:val="24"/>
              </w:rPr>
            </w:pPr>
            <w:r w:rsidRPr="00D948C1">
              <w:rPr>
                <w:szCs w:val="24"/>
              </w:rPr>
              <w:t>27</w:t>
            </w:r>
          </w:p>
        </w:tc>
        <w:tc>
          <w:tcPr>
            <w:tcW w:w="1701" w:type="dxa"/>
            <w:shd w:val="clear" w:color="auto" w:fill="auto"/>
            <w:vAlign w:val="center"/>
          </w:tcPr>
          <w:p w14:paraId="22556061" w14:textId="328908BD" w:rsidR="0010066C" w:rsidRPr="00D948C1" w:rsidRDefault="00C6392D" w:rsidP="006C0086">
            <w:pPr>
              <w:tabs>
                <w:tab w:val="decimal" w:pos="884"/>
              </w:tabs>
              <w:spacing w:line="276" w:lineRule="auto"/>
              <w:jc w:val="right"/>
              <w:rPr>
                <w:szCs w:val="24"/>
              </w:rPr>
            </w:pPr>
            <w:r w:rsidRPr="00D948C1">
              <w:rPr>
                <w:szCs w:val="24"/>
              </w:rPr>
              <w:t>-</w:t>
            </w:r>
          </w:p>
        </w:tc>
      </w:tr>
      <w:tr w:rsidR="0010066C" w:rsidRPr="00D948C1" w14:paraId="5F0C74C2" w14:textId="77777777" w:rsidTr="00611673">
        <w:tc>
          <w:tcPr>
            <w:tcW w:w="3294" w:type="dxa"/>
            <w:shd w:val="clear" w:color="auto" w:fill="auto"/>
          </w:tcPr>
          <w:p w14:paraId="1D085CB4" w14:textId="77777777" w:rsidR="0010066C" w:rsidRPr="00D948C1" w:rsidRDefault="0010066C" w:rsidP="006C0086">
            <w:pPr>
              <w:spacing w:line="276" w:lineRule="auto"/>
              <w:rPr>
                <w:szCs w:val="24"/>
              </w:rPr>
            </w:pPr>
            <w:r w:rsidRPr="00D948C1">
              <w:rPr>
                <w:szCs w:val="24"/>
              </w:rPr>
              <w:t>Usable capital receipts</w:t>
            </w:r>
          </w:p>
        </w:tc>
        <w:tc>
          <w:tcPr>
            <w:tcW w:w="1701" w:type="dxa"/>
            <w:shd w:val="clear" w:color="auto" w:fill="auto"/>
            <w:vAlign w:val="center"/>
          </w:tcPr>
          <w:p w14:paraId="7C4D5842" w14:textId="1C2BB08D" w:rsidR="0010066C" w:rsidRPr="00D948C1" w:rsidRDefault="0010066C" w:rsidP="006C0086">
            <w:pPr>
              <w:tabs>
                <w:tab w:val="decimal" w:pos="884"/>
              </w:tabs>
              <w:spacing w:line="276" w:lineRule="auto"/>
              <w:jc w:val="right"/>
              <w:rPr>
                <w:szCs w:val="24"/>
              </w:rPr>
            </w:pPr>
            <w:r w:rsidRPr="00D948C1">
              <w:rPr>
                <w:szCs w:val="24"/>
              </w:rPr>
              <w:t>(1,683)</w:t>
            </w:r>
          </w:p>
        </w:tc>
        <w:tc>
          <w:tcPr>
            <w:tcW w:w="1701" w:type="dxa"/>
            <w:shd w:val="clear" w:color="auto" w:fill="auto"/>
            <w:vAlign w:val="center"/>
          </w:tcPr>
          <w:p w14:paraId="336D1CC5" w14:textId="2FB5E432" w:rsidR="0010066C" w:rsidRPr="00D948C1" w:rsidRDefault="0010066C" w:rsidP="006C0086">
            <w:pPr>
              <w:tabs>
                <w:tab w:val="decimal" w:pos="884"/>
              </w:tabs>
              <w:spacing w:line="276" w:lineRule="auto"/>
              <w:jc w:val="right"/>
              <w:rPr>
                <w:szCs w:val="24"/>
              </w:rPr>
            </w:pPr>
            <w:r w:rsidRPr="00D948C1">
              <w:rPr>
                <w:szCs w:val="24"/>
              </w:rPr>
              <w:t>(9)</w:t>
            </w:r>
          </w:p>
        </w:tc>
        <w:tc>
          <w:tcPr>
            <w:tcW w:w="1701" w:type="dxa"/>
            <w:shd w:val="clear" w:color="auto" w:fill="auto"/>
            <w:vAlign w:val="center"/>
          </w:tcPr>
          <w:p w14:paraId="12BEAB50" w14:textId="4E0D1D6B" w:rsidR="0010066C" w:rsidRPr="00D948C1" w:rsidRDefault="0010066C" w:rsidP="006C0086">
            <w:pPr>
              <w:tabs>
                <w:tab w:val="decimal" w:pos="884"/>
              </w:tabs>
              <w:spacing w:line="276" w:lineRule="auto"/>
              <w:jc w:val="right"/>
              <w:rPr>
                <w:szCs w:val="24"/>
              </w:rPr>
            </w:pPr>
            <w:r w:rsidRPr="00D948C1">
              <w:rPr>
                <w:szCs w:val="24"/>
              </w:rPr>
              <w:t>-</w:t>
            </w:r>
          </w:p>
        </w:tc>
        <w:tc>
          <w:tcPr>
            <w:tcW w:w="1701" w:type="dxa"/>
            <w:shd w:val="clear" w:color="auto" w:fill="auto"/>
            <w:vAlign w:val="center"/>
          </w:tcPr>
          <w:p w14:paraId="31A7CAB7" w14:textId="5A035E79" w:rsidR="0010066C" w:rsidRPr="00D948C1" w:rsidRDefault="0010066C" w:rsidP="006C0086">
            <w:pPr>
              <w:tabs>
                <w:tab w:val="decimal" w:pos="884"/>
              </w:tabs>
              <w:spacing w:line="276" w:lineRule="auto"/>
              <w:jc w:val="right"/>
              <w:rPr>
                <w:szCs w:val="24"/>
              </w:rPr>
            </w:pPr>
            <w:r w:rsidRPr="00D948C1">
              <w:rPr>
                <w:szCs w:val="24"/>
              </w:rPr>
              <w:t>(1,692)</w:t>
            </w:r>
          </w:p>
        </w:tc>
        <w:tc>
          <w:tcPr>
            <w:tcW w:w="1701" w:type="dxa"/>
            <w:shd w:val="clear" w:color="auto" w:fill="auto"/>
            <w:vAlign w:val="center"/>
          </w:tcPr>
          <w:p w14:paraId="0D189C56" w14:textId="7F73E46F" w:rsidR="0010066C" w:rsidRPr="00D948C1" w:rsidRDefault="0010066C" w:rsidP="006C0086">
            <w:pPr>
              <w:tabs>
                <w:tab w:val="decimal" w:pos="884"/>
              </w:tabs>
              <w:spacing w:line="276" w:lineRule="auto"/>
              <w:jc w:val="right"/>
              <w:rPr>
                <w:szCs w:val="24"/>
              </w:rPr>
            </w:pPr>
            <w:r w:rsidRPr="00D948C1">
              <w:rPr>
                <w:szCs w:val="24"/>
              </w:rPr>
              <w:t>(</w:t>
            </w:r>
            <w:r w:rsidR="00C6392D" w:rsidRPr="00D948C1">
              <w:rPr>
                <w:szCs w:val="24"/>
              </w:rPr>
              <w:t>16</w:t>
            </w:r>
            <w:r w:rsidRPr="00D948C1">
              <w:rPr>
                <w:szCs w:val="24"/>
              </w:rPr>
              <w:t>)</w:t>
            </w:r>
          </w:p>
        </w:tc>
        <w:tc>
          <w:tcPr>
            <w:tcW w:w="1701" w:type="dxa"/>
            <w:shd w:val="clear" w:color="auto" w:fill="auto"/>
            <w:vAlign w:val="center"/>
          </w:tcPr>
          <w:p w14:paraId="04323828" w14:textId="5A6419CE" w:rsidR="0010066C" w:rsidRPr="00D948C1" w:rsidRDefault="00C6392D" w:rsidP="006C0086">
            <w:pPr>
              <w:tabs>
                <w:tab w:val="decimal" w:pos="884"/>
              </w:tabs>
              <w:spacing w:line="276" w:lineRule="auto"/>
              <w:jc w:val="right"/>
              <w:rPr>
                <w:szCs w:val="24"/>
              </w:rPr>
            </w:pPr>
            <w:r w:rsidRPr="00D948C1">
              <w:rPr>
                <w:szCs w:val="24"/>
              </w:rPr>
              <w:t>1,</w:t>
            </w:r>
            <w:r w:rsidR="00253B30" w:rsidRPr="00D948C1">
              <w:rPr>
                <w:szCs w:val="24"/>
              </w:rPr>
              <w:t>63</w:t>
            </w:r>
            <w:r w:rsidRPr="00D948C1">
              <w:rPr>
                <w:szCs w:val="24"/>
              </w:rPr>
              <w:t>7</w:t>
            </w:r>
          </w:p>
        </w:tc>
        <w:tc>
          <w:tcPr>
            <w:tcW w:w="1701" w:type="dxa"/>
            <w:shd w:val="clear" w:color="auto" w:fill="auto"/>
            <w:vAlign w:val="center"/>
          </w:tcPr>
          <w:p w14:paraId="15A110C1" w14:textId="43A82153" w:rsidR="0010066C" w:rsidRPr="00D948C1" w:rsidRDefault="00C6392D" w:rsidP="006C0086">
            <w:pPr>
              <w:tabs>
                <w:tab w:val="decimal" w:pos="884"/>
              </w:tabs>
              <w:spacing w:line="276" w:lineRule="auto"/>
              <w:jc w:val="right"/>
              <w:rPr>
                <w:szCs w:val="24"/>
              </w:rPr>
            </w:pPr>
            <w:r w:rsidRPr="00D948C1">
              <w:rPr>
                <w:szCs w:val="24"/>
              </w:rPr>
              <w:t>(</w:t>
            </w:r>
            <w:r w:rsidR="00253B30" w:rsidRPr="00D948C1">
              <w:rPr>
                <w:szCs w:val="24"/>
              </w:rPr>
              <w:t>7</w:t>
            </w:r>
            <w:r w:rsidR="008F6F5D" w:rsidRPr="00D948C1">
              <w:rPr>
                <w:szCs w:val="24"/>
              </w:rPr>
              <w:t>1</w:t>
            </w:r>
            <w:r w:rsidRPr="00D948C1">
              <w:rPr>
                <w:szCs w:val="24"/>
              </w:rPr>
              <w:t>)</w:t>
            </w:r>
          </w:p>
        </w:tc>
      </w:tr>
      <w:tr w:rsidR="0010066C" w:rsidRPr="00D948C1" w14:paraId="36ECB758" w14:textId="77777777" w:rsidTr="00611673">
        <w:tc>
          <w:tcPr>
            <w:tcW w:w="3294" w:type="dxa"/>
            <w:shd w:val="clear" w:color="auto" w:fill="auto"/>
          </w:tcPr>
          <w:p w14:paraId="0047BC0B" w14:textId="77777777" w:rsidR="0010066C" w:rsidRPr="00D948C1" w:rsidRDefault="0010066C" w:rsidP="006C0086">
            <w:pPr>
              <w:spacing w:line="276" w:lineRule="auto"/>
              <w:rPr>
                <w:szCs w:val="24"/>
              </w:rPr>
            </w:pPr>
            <w:r w:rsidRPr="00D948C1">
              <w:rPr>
                <w:szCs w:val="24"/>
              </w:rPr>
              <w:t>Total Usable Reserves</w:t>
            </w:r>
          </w:p>
        </w:tc>
        <w:tc>
          <w:tcPr>
            <w:tcW w:w="1701" w:type="dxa"/>
            <w:shd w:val="clear" w:color="auto" w:fill="auto"/>
            <w:vAlign w:val="center"/>
          </w:tcPr>
          <w:p w14:paraId="0430D30C" w14:textId="5E486C46" w:rsidR="0010066C" w:rsidRPr="00D948C1" w:rsidRDefault="0010066C" w:rsidP="006C0086">
            <w:pPr>
              <w:tabs>
                <w:tab w:val="decimal" w:pos="884"/>
              </w:tabs>
              <w:spacing w:line="276" w:lineRule="auto"/>
              <w:jc w:val="right"/>
              <w:rPr>
                <w:szCs w:val="24"/>
              </w:rPr>
            </w:pPr>
            <w:r w:rsidRPr="00D948C1">
              <w:rPr>
                <w:szCs w:val="24"/>
              </w:rPr>
              <w:t>(35,673)</w:t>
            </w:r>
          </w:p>
        </w:tc>
        <w:tc>
          <w:tcPr>
            <w:tcW w:w="1701" w:type="dxa"/>
            <w:shd w:val="clear" w:color="auto" w:fill="auto"/>
            <w:vAlign w:val="center"/>
          </w:tcPr>
          <w:p w14:paraId="57FD81B5" w14:textId="7E3C76E7" w:rsidR="0010066C" w:rsidRPr="00D948C1" w:rsidRDefault="0010066C" w:rsidP="006C0086">
            <w:pPr>
              <w:tabs>
                <w:tab w:val="decimal" w:pos="884"/>
              </w:tabs>
              <w:spacing w:line="276" w:lineRule="auto"/>
              <w:jc w:val="right"/>
              <w:rPr>
                <w:szCs w:val="24"/>
              </w:rPr>
            </w:pPr>
            <w:r w:rsidRPr="00D948C1">
              <w:rPr>
                <w:szCs w:val="24"/>
              </w:rPr>
              <w:t>(5,630)</w:t>
            </w:r>
          </w:p>
        </w:tc>
        <w:tc>
          <w:tcPr>
            <w:tcW w:w="1701" w:type="dxa"/>
            <w:shd w:val="clear" w:color="auto" w:fill="auto"/>
            <w:vAlign w:val="center"/>
          </w:tcPr>
          <w:p w14:paraId="67E8B43B" w14:textId="597F2AF4" w:rsidR="0010066C" w:rsidRPr="00D948C1" w:rsidRDefault="0010066C" w:rsidP="006C0086">
            <w:pPr>
              <w:tabs>
                <w:tab w:val="decimal" w:pos="884"/>
              </w:tabs>
              <w:spacing w:line="276" w:lineRule="auto"/>
              <w:jc w:val="right"/>
              <w:rPr>
                <w:szCs w:val="24"/>
              </w:rPr>
            </w:pPr>
            <w:r w:rsidRPr="00D948C1">
              <w:rPr>
                <w:szCs w:val="24"/>
              </w:rPr>
              <w:t>5,095</w:t>
            </w:r>
          </w:p>
        </w:tc>
        <w:tc>
          <w:tcPr>
            <w:tcW w:w="1701" w:type="dxa"/>
            <w:shd w:val="clear" w:color="auto" w:fill="auto"/>
            <w:vAlign w:val="center"/>
          </w:tcPr>
          <w:p w14:paraId="59FD22E9" w14:textId="4FC26FAE" w:rsidR="0010066C" w:rsidRPr="00D948C1" w:rsidRDefault="0010066C" w:rsidP="006C0086">
            <w:pPr>
              <w:tabs>
                <w:tab w:val="decimal" w:pos="884"/>
              </w:tabs>
              <w:spacing w:line="276" w:lineRule="auto"/>
              <w:jc w:val="right"/>
              <w:rPr>
                <w:szCs w:val="24"/>
              </w:rPr>
            </w:pPr>
            <w:r w:rsidRPr="00D948C1">
              <w:rPr>
                <w:szCs w:val="24"/>
              </w:rPr>
              <w:t>(36,208)</w:t>
            </w:r>
          </w:p>
        </w:tc>
        <w:tc>
          <w:tcPr>
            <w:tcW w:w="1701" w:type="dxa"/>
            <w:shd w:val="clear" w:color="auto" w:fill="auto"/>
            <w:vAlign w:val="center"/>
          </w:tcPr>
          <w:p w14:paraId="5F311FAE" w14:textId="65854C43" w:rsidR="0010066C" w:rsidRPr="00D948C1" w:rsidRDefault="0010066C" w:rsidP="006C0086">
            <w:pPr>
              <w:tabs>
                <w:tab w:val="decimal" w:pos="884"/>
              </w:tabs>
              <w:spacing w:line="276" w:lineRule="auto"/>
              <w:jc w:val="right"/>
              <w:rPr>
                <w:szCs w:val="24"/>
              </w:rPr>
            </w:pPr>
            <w:r w:rsidRPr="00D948C1">
              <w:rPr>
                <w:szCs w:val="24"/>
              </w:rPr>
              <w:t>(</w:t>
            </w:r>
            <w:r w:rsidR="00C6392D" w:rsidRPr="00D948C1">
              <w:rPr>
                <w:szCs w:val="24"/>
              </w:rPr>
              <w:t>6,205</w:t>
            </w:r>
            <w:r w:rsidRPr="00D948C1">
              <w:rPr>
                <w:szCs w:val="24"/>
              </w:rPr>
              <w:t>)</w:t>
            </w:r>
          </w:p>
        </w:tc>
        <w:tc>
          <w:tcPr>
            <w:tcW w:w="1701" w:type="dxa"/>
            <w:shd w:val="clear" w:color="auto" w:fill="auto"/>
            <w:vAlign w:val="center"/>
          </w:tcPr>
          <w:p w14:paraId="7A994AA5" w14:textId="2D1D3AB4" w:rsidR="0010066C" w:rsidRPr="00D948C1" w:rsidRDefault="00C6392D" w:rsidP="006C0086">
            <w:pPr>
              <w:tabs>
                <w:tab w:val="decimal" w:pos="884"/>
              </w:tabs>
              <w:spacing w:line="276" w:lineRule="auto"/>
              <w:jc w:val="right"/>
              <w:rPr>
                <w:szCs w:val="24"/>
              </w:rPr>
            </w:pPr>
            <w:r w:rsidRPr="00D948C1">
              <w:rPr>
                <w:szCs w:val="24"/>
              </w:rPr>
              <w:t>7,8</w:t>
            </w:r>
            <w:r w:rsidR="00253B30" w:rsidRPr="00D948C1">
              <w:rPr>
                <w:szCs w:val="24"/>
              </w:rPr>
              <w:t>9</w:t>
            </w:r>
            <w:r w:rsidRPr="00D948C1">
              <w:rPr>
                <w:szCs w:val="24"/>
              </w:rPr>
              <w:t>4</w:t>
            </w:r>
          </w:p>
        </w:tc>
        <w:tc>
          <w:tcPr>
            <w:tcW w:w="1701" w:type="dxa"/>
            <w:shd w:val="clear" w:color="auto" w:fill="auto"/>
            <w:vAlign w:val="center"/>
          </w:tcPr>
          <w:p w14:paraId="65D1A67B" w14:textId="6448A454" w:rsidR="0010066C" w:rsidRPr="00D948C1" w:rsidRDefault="0010066C" w:rsidP="006C0086">
            <w:pPr>
              <w:tabs>
                <w:tab w:val="decimal" w:pos="884"/>
              </w:tabs>
              <w:spacing w:line="276" w:lineRule="auto"/>
              <w:jc w:val="right"/>
              <w:rPr>
                <w:szCs w:val="24"/>
              </w:rPr>
            </w:pPr>
            <w:r w:rsidRPr="00D948C1">
              <w:rPr>
                <w:szCs w:val="24"/>
              </w:rPr>
              <w:t>(3</w:t>
            </w:r>
            <w:r w:rsidR="008D2B83">
              <w:rPr>
                <w:szCs w:val="24"/>
              </w:rPr>
              <w:t>3</w:t>
            </w:r>
            <w:r w:rsidR="00C6392D" w:rsidRPr="00D948C1">
              <w:rPr>
                <w:szCs w:val="24"/>
              </w:rPr>
              <w:t>,</w:t>
            </w:r>
            <w:r w:rsidR="008D2B83">
              <w:rPr>
                <w:szCs w:val="24"/>
              </w:rPr>
              <w:t>768</w:t>
            </w:r>
            <w:r w:rsidRPr="00D948C1">
              <w:rPr>
                <w:szCs w:val="24"/>
              </w:rPr>
              <w:t>)</w:t>
            </w:r>
          </w:p>
        </w:tc>
      </w:tr>
    </w:tbl>
    <w:p w14:paraId="49E6BC6D" w14:textId="77777777" w:rsidR="000C442C" w:rsidRPr="00D948C1" w:rsidRDefault="000C442C" w:rsidP="006C0086">
      <w:pPr>
        <w:spacing w:line="276" w:lineRule="auto"/>
        <w:ind w:left="709" w:hanging="709"/>
        <w:rPr>
          <w:b/>
          <w:szCs w:val="24"/>
        </w:rPr>
        <w:sectPr w:rsidR="000C442C" w:rsidRPr="00D948C1" w:rsidSect="000C442C">
          <w:pgSz w:w="16840" w:h="11907" w:orient="landscape" w:code="9"/>
          <w:pgMar w:top="567" w:right="454" w:bottom="567" w:left="397" w:header="720" w:footer="720" w:gutter="0"/>
          <w:cols w:space="720"/>
          <w:docGrid w:linePitch="326"/>
        </w:sectPr>
      </w:pPr>
    </w:p>
    <w:p w14:paraId="392AD632" w14:textId="0F7656A5" w:rsidR="00D90216" w:rsidRPr="00D948C1" w:rsidRDefault="001C592E" w:rsidP="006C0086">
      <w:pPr>
        <w:pStyle w:val="Heading2"/>
        <w:spacing w:line="276" w:lineRule="auto"/>
        <w:jc w:val="left"/>
        <w:rPr>
          <w:sz w:val="24"/>
          <w:szCs w:val="24"/>
        </w:rPr>
      </w:pPr>
      <w:bookmarkStart w:id="56" w:name="_Toc171068802"/>
      <w:r w:rsidRPr="00D948C1">
        <w:rPr>
          <w:sz w:val="24"/>
          <w:szCs w:val="24"/>
        </w:rPr>
        <w:lastRenderedPageBreak/>
        <w:t>1</w:t>
      </w:r>
      <w:r w:rsidR="008F213A" w:rsidRPr="00D948C1">
        <w:rPr>
          <w:sz w:val="24"/>
          <w:szCs w:val="24"/>
        </w:rPr>
        <w:t>8</w:t>
      </w:r>
      <w:r w:rsidR="00D90216" w:rsidRPr="00D948C1">
        <w:rPr>
          <w:sz w:val="24"/>
          <w:szCs w:val="24"/>
        </w:rPr>
        <w:tab/>
      </w:r>
      <w:bookmarkStart w:id="57" w:name="N18"/>
      <w:bookmarkEnd w:id="57"/>
      <w:r w:rsidR="00D90216" w:rsidRPr="00D948C1">
        <w:rPr>
          <w:sz w:val="24"/>
          <w:szCs w:val="24"/>
        </w:rPr>
        <w:t>Unusable Reserves</w:t>
      </w:r>
      <w:bookmarkEnd w:id="56"/>
    </w:p>
    <w:p w14:paraId="3B681508" w14:textId="77777777" w:rsidR="00D90216" w:rsidRPr="00D948C1" w:rsidRDefault="00D90216" w:rsidP="006C0086">
      <w:pPr>
        <w:spacing w:line="276" w:lineRule="auto"/>
        <w:ind w:left="360"/>
        <w:rPr>
          <w:szCs w:val="24"/>
        </w:rPr>
      </w:pPr>
    </w:p>
    <w:p w14:paraId="22FB97B8" w14:textId="2473A193" w:rsidR="00D90216" w:rsidRPr="00D948C1" w:rsidRDefault="00D90216" w:rsidP="006C0086">
      <w:pPr>
        <w:spacing w:line="276" w:lineRule="auto"/>
        <w:ind w:left="709"/>
        <w:rPr>
          <w:szCs w:val="24"/>
        </w:rPr>
      </w:pPr>
      <w:r w:rsidRPr="00D948C1">
        <w:rPr>
          <w:szCs w:val="24"/>
        </w:rPr>
        <w:t>The total Unusable Reserves are shown in the Movement in Reserves Statement, and details of each reserve and the movements are shown in the following tables:</w:t>
      </w:r>
    </w:p>
    <w:p w14:paraId="28F83015" w14:textId="77777777" w:rsidR="00D90216" w:rsidRPr="00D948C1" w:rsidRDefault="00D90216" w:rsidP="006C0086">
      <w:pPr>
        <w:spacing w:line="276" w:lineRule="auto"/>
        <w:ind w:left="360"/>
        <w:rPr>
          <w:szCs w:val="24"/>
        </w:rPr>
      </w:pPr>
    </w:p>
    <w:tbl>
      <w:tblPr>
        <w:tblW w:w="83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559"/>
        <w:gridCol w:w="1536"/>
      </w:tblGrid>
      <w:tr w:rsidR="0010066C" w:rsidRPr="00D948C1" w14:paraId="05553C57" w14:textId="77777777" w:rsidTr="0010066C">
        <w:trPr>
          <w:tblHeader/>
        </w:trPr>
        <w:tc>
          <w:tcPr>
            <w:tcW w:w="5245" w:type="dxa"/>
            <w:shd w:val="clear" w:color="auto" w:fill="BD2716"/>
          </w:tcPr>
          <w:p w14:paraId="54595EFC" w14:textId="77777777" w:rsidR="0010066C" w:rsidRPr="00D948C1" w:rsidRDefault="0010066C" w:rsidP="006C0086">
            <w:pPr>
              <w:spacing w:line="276" w:lineRule="auto"/>
              <w:rPr>
                <w:color w:val="FFFFFF" w:themeColor="background1"/>
                <w:szCs w:val="24"/>
              </w:rPr>
            </w:pPr>
          </w:p>
        </w:tc>
        <w:tc>
          <w:tcPr>
            <w:tcW w:w="1559" w:type="dxa"/>
            <w:shd w:val="clear" w:color="auto" w:fill="BD2716"/>
            <w:vAlign w:val="center"/>
          </w:tcPr>
          <w:p w14:paraId="396997DF" w14:textId="014B3D32"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039DBCB9" w14:textId="419E768B"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536" w:type="dxa"/>
            <w:shd w:val="clear" w:color="auto" w:fill="BD2716"/>
            <w:vAlign w:val="center"/>
          </w:tcPr>
          <w:p w14:paraId="762D60ED"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0F822697" w14:textId="45EC57B6"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6471EE77" w14:textId="77777777" w:rsidTr="0010066C">
        <w:tc>
          <w:tcPr>
            <w:tcW w:w="5245" w:type="dxa"/>
            <w:shd w:val="clear" w:color="auto" w:fill="auto"/>
          </w:tcPr>
          <w:p w14:paraId="6260B46C"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Revaluation Reserve</w:t>
            </w:r>
          </w:p>
        </w:tc>
        <w:tc>
          <w:tcPr>
            <w:tcW w:w="1559" w:type="dxa"/>
            <w:shd w:val="clear" w:color="auto" w:fill="auto"/>
            <w:vAlign w:val="center"/>
          </w:tcPr>
          <w:p w14:paraId="32F67218" w14:textId="72C99DC5" w:rsidR="0010066C" w:rsidRPr="00D948C1" w:rsidRDefault="0010066C" w:rsidP="006C0086">
            <w:pPr>
              <w:tabs>
                <w:tab w:val="decimal" w:pos="1220"/>
              </w:tabs>
              <w:spacing w:line="276" w:lineRule="auto"/>
              <w:jc w:val="right"/>
              <w:rPr>
                <w:szCs w:val="24"/>
              </w:rPr>
            </w:pPr>
            <w:r w:rsidRPr="00D948C1">
              <w:rPr>
                <w:szCs w:val="24"/>
              </w:rPr>
              <w:t>(7</w:t>
            </w:r>
            <w:r w:rsidR="00C6392D" w:rsidRPr="00D948C1">
              <w:rPr>
                <w:szCs w:val="24"/>
              </w:rPr>
              <w:t>3</w:t>
            </w:r>
            <w:r w:rsidRPr="00D948C1">
              <w:rPr>
                <w:szCs w:val="24"/>
              </w:rPr>
              <w:t>,</w:t>
            </w:r>
            <w:r w:rsidR="00C6392D" w:rsidRPr="00D948C1">
              <w:rPr>
                <w:szCs w:val="24"/>
              </w:rPr>
              <w:t>418</w:t>
            </w:r>
            <w:r w:rsidRPr="00D948C1">
              <w:rPr>
                <w:szCs w:val="24"/>
              </w:rPr>
              <w:t>)</w:t>
            </w:r>
          </w:p>
        </w:tc>
        <w:tc>
          <w:tcPr>
            <w:tcW w:w="1536" w:type="dxa"/>
            <w:vAlign w:val="center"/>
          </w:tcPr>
          <w:p w14:paraId="533D41B2" w14:textId="16EDC573" w:rsidR="0010066C" w:rsidRPr="00D948C1" w:rsidRDefault="0010066C" w:rsidP="006C0086">
            <w:pPr>
              <w:tabs>
                <w:tab w:val="decimal" w:pos="1220"/>
              </w:tabs>
              <w:spacing w:line="276" w:lineRule="auto"/>
              <w:jc w:val="right"/>
              <w:rPr>
                <w:szCs w:val="24"/>
              </w:rPr>
            </w:pPr>
            <w:r w:rsidRPr="00D948C1">
              <w:rPr>
                <w:szCs w:val="24"/>
              </w:rPr>
              <w:t>(75,306)</w:t>
            </w:r>
          </w:p>
        </w:tc>
      </w:tr>
      <w:tr w:rsidR="0010066C" w:rsidRPr="00D948C1" w14:paraId="63D08073" w14:textId="77777777" w:rsidTr="0010066C">
        <w:tc>
          <w:tcPr>
            <w:tcW w:w="5245" w:type="dxa"/>
            <w:shd w:val="clear" w:color="auto" w:fill="auto"/>
          </w:tcPr>
          <w:p w14:paraId="01D63290"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Capital Adjustment Account</w:t>
            </w:r>
          </w:p>
        </w:tc>
        <w:tc>
          <w:tcPr>
            <w:tcW w:w="1559" w:type="dxa"/>
            <w:shd w:val="clear" w:color="auto" w:fill="auto"/>
            <w:vAlign w:val="center"/>
          </w:tcPr>
          <w:p w14:paraId="115E5DEF" w14:textId="708263B1" w:rsidR="0010066C" w:rsidRPr="00D948C1" w:rsidRDefault="0010066C" w:rsidP="006C0086">
            <w:pPr>
              <w:tabs>
                <w:tab w:val="decimal" w:pos="1220"/>
              </w:tabs>
              <w:spacing w:line="276" w:lineRule="auto"/>
              <w:jc w:val="right"/>
              <w:rPr>
                <w:szCs w:val="24"/>
              </w:rPr>
            </w:pPr>
            <w:r w:rsidRPr="00D948C1">
              <w:rPr>
                <w:szCs w:val="24"/>
              </w:rPr>
              <w:t>(</w:t>
            </w:r>
            <w:r w:rsidR="00C6392D" w:rsidRPr="00D948C1">
              <w:rPr>
                <w:szCs w:val="24"/>
              </w:rPr>
              <w:t>4</w:t>
            </w:r>
            <w:r w:rsidR="008D2B83">
              <w:rPr>
                <w:szCs w:val="24"/>
              </w:rPr>
              <w:t>2,616</w:t>
            </w:r>
            <w:r w:rsidRPr="00D948C1">
              <w:rPr>
                <w:szCs w:val="24"/>
              </w:rPr>
              <w:t>)</w:t>
            </w:r>
          </w:p>
        </w:tc>
        <w:tc>
          <w:tcPr>
            <w:tcW w:w="1536" w:type="dxa"/>
            <w:vAlign w:val="center"/>
          </w:tcPr>
          <w:p w14:paraId="6B26EA01" w14:textId="3ABC8892" w:rsidR="0010066C" w:rsidRPr="00D948C1" w:rsidRDefault="0010066C" w:rsidP="006C0086">
            <w:pPr>
              <w:tabs>
                <w:tab w:val="decimal" w:pos="1220"/>
              </w:tabs>
              <w:spacing w:line="276" w:lineRule="auto"/>
              <w:jc w:val="right"/>
              <w:rPr>
                <w:szCs w:val="24"/>
              </w:rPr>
            </w:pPr>
            <w:r w:rsidRPr="00D948C1">
              <w:rPr>
                <w:szCs w:val="24"/>
              </w:rPr>
              <w:t>(38,281)</w:t>
            </w:r>
          </w:p>
        </w:tc>
      </w:tr>
      <w:tr w:rsidR="0010066C" w:rsidRPr="00D948C1" w14:paraId="3E25F287" w14:textId="77777777" w:rsidTr="0010066C">
        <w:tc>
          <w:tcPr>
            <w:tcW w:w="5245" w:type="dxa"/>
            <w:shd w:val="clear" w:color="auto" w:fill="auto"/>
          </w:tcPr>
          <w:p w14:paraId="50DCB72F"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Pensions Reserve</w:t>
            </w:r>
          </w:p>
        </w:tc>
        <w:tc>
          <w:tcPr>
            <w:tcW w:w="1559" w:type="dxa"/>
            <w:shd w:val="clear" w:color="auto" w:fill="auto"/>
            <w:vAlign w:val="center"/>
          </w:tcPr>
          <w:p w14:paraId="3E6C6622" w14:textId="1CC07592" w:rsidR="0010066C" w:rsidRPr="00D948C1" w:rsidRDefault="0010066C" w:rsidP="006C0086">
            <w:pPr>
              <w:tabs>
                <w:tab w:val="decimal" w:pos="1220"/>
              </w:tabs>
              <w:spacing w:line="276" w:lineRule="auto"/>
              <w:jc w:val="right"/>
              <w:rPr>
                <w:szCs w:val="24"/>
              </w:rPr>
            </w:pPr>
            <w:r w:rsidRPr="00D948C1">
              <w:rPr>
                <w:szCs w:val="24"/>
              </w:rPr>
              <w:t>651,</w:t>
            </w:r>
            <w:r w:rsidR="004137B7" w:rsidRPr="00D948C1">
              <w:rPr>
                <w:szCs w:val="24"/>
              </w:rPr>
              <w:t>920</w:t>
            </w:r>
          </w:p>
        </w:tc>
        <w:tc>
          <w:tcPr>
            <w:tcW w:w="1536" w:type="dxa"/>
            <w:vAlign w:val="center"/>
          </w:tcPr>
          <w:p w14:paraId="5389E3AF" w14:textId="6DD020ED" w:rsidR="0010066C" w:rsidRPr="00D948C1" w:rsidRDefault="0010066C" w:rsidP="006C0086">
            <w:pPr>
              <w:tabs>
                <w:tab w:val="decimal" w:pos="1220"/>
              </w:tabs>
              <w:spacing w:line="276" w:lineRule="auto"/>
              <w:jc w:val="right"/>
              <w:rPr>
                <w:szCs w:val="24"/>
              </w:rPr>
            </w:pPr>
            <w:r w:rsidRPr="00D948C1">
              <w:rPr>
                <w:szCs w:val="24"/>
              </w:rPr>
              <w:t>651,536</w:t>
            </w:r>
          </w:p>
        </w:tc>
      </w:tr>
      <w:tr w:rsidR="0010066C" w:rsidRPr="00D948C1" w14:paraId="06A2D2EC" w14:textId="77777777" w:rsidTr="0010066C">
        <w:tc>
          <w:tcPr>
            <w:tcW w:w="5245" w:type="dxa"/>
            <w:shd w:val="clear" w:color="auto" w:fill="auto"/>
          </w:tcPr>
          <w:p w14:paraId="50D5EC00"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Collection Fund Adjustment Account</w:t>
            </w:r>
          </w:p>
        </w:tc>
        <w:tc>
          <w:tcPr>
            <w:tcW w:w="1559" w:type="dxa"/>
            <w:shd w:val="clear" w:color="auto" w:fill="auto"/>
            <w:vAlign w:val="center"/>
          </w:tcPr>
          <w:p w14:paraId="39CB965D" w14:textId="7767A481" w:rsidR="0010066C" w:rsidRPr="00D948C1" w:rsidRDefault="0010066C" w:rsidP="006C0086">
            <w:pPr>
              <w:tabs>
                <w:tab w:val="decimal" w:pos="1220"/>
              </w:tabs>
              <w:spacing w:line="276" w:lineRule="auto"/>
              <w:jc w:val="right"/>
              <w:rPr>
                <w:szCs w:val="24"/>
              </w:rPr>
            </w:pPr>
            <w:r w:rsidRPr="00D948C1">
              <w:rPr>
                <w:szCs w:val="24"/>
              </w:rPr>
              <w:t>(</w:t>
            </w:r>
            <w:r w:rsidR="00C6392D" w:rsidRPr="00D948C1">
              <w:rPr>
                <w:szCs w:val="24"/>
              </w:rPr>
              <w:t>120</w:t>
            </w:r>
            <w:r w:rsidRPr="00D948C1">
              <w:rPr>
                <w:szCs w:val="24"/>
              </w:rPr>
              <w:t>)</w:t>
            </w:r>
          </w:p>
        </w:tc>
        <w:tc>
          <w:tcPr>
            <w:tcW w:w="1536" w:type="dxa"/>
            <w:vAlign w:val="center"/>
          </w:tcPr>
          <w:p w14:paraId="0517C066" w14:textId="648C26C5" w:rsidR="0010066C" w:rsidRPr="00D948C1" w:rsidRDefault="0010066C" w:rsidP="006C0086">
            <w:pPr>
              <w:tabs>
                <w:tab w:val="decimal" w:pos="1220"/>
              </w:tabs>
              <w:spacing w:line="276" w:lineRule="auto"/>
              <w:jc w:val="right"/>
              <w:rPr>
                <w:szCs w:val="24"/>
              </w:rPr>
            </w:pPr>
            <w:r w:rsidRPr="00D948C1">
              <w:rPr>
                <w:szCs w:val="24"/>
              </w:rPr>
              <w:t>(207)</w:t>
            </w:r>
          </w:p>
        </w:tc>
      </w:tr>
      <w:tr w:rsidR="0010066C" w:rsidRPr="00D948C1" w14:paraId="44B79B53" w14:textId="77777777" w:rsidTr="0010066C">
        <w:tc>
          <w:tcPr>
            <w:tcW w:w="5245" w:type="dxa"/>
            <w:shd w:val="clear" w:color="auto" w:fill="auto"/>
          </w:tcPr>
          <w:p w14:paraId="2F825238"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Accumulated Absences Adjustment Account</w:t>
            </w:r>
          </w:p>
        </w:tc>
        <w:tc>
          <w:tcPr>
            <w:tcW w:w="1559" w:type="dxa"/>
            <w:shd w:val="clear" w:color="auto" w:fill="auto"/>
            <w:vAlign w:val="center"/>
          </w:tcPr>
          <w:p w14:paraId="359907CF" w14:textId="346D09C5" w:rsidR="0010066C" w:rsidRPr="00D948C1" w:rsidRDefault="0010066C" w:rsidP="006C0086">
            <w:pPr>
              <w:tabs>
                <w:tab w:val="decimal" w:pos="1220"/>
              </w:tabs>
              <w:spacing w:line="276" w:lineRule="auto"/>
              <w:jc w:val="right"/>
              <w:rPr>
                <w:szCs w:val="24"/>
              </w:rPr>
            </w:pPr>
            <w:r w:rsidRPr="00D948C1">
              <w:rPr>
                <w:szCs w:val="24"/>
              </w:rPr>
              <w:t>95</w:t>
            </w:r>
            <w:r w:rsidR="00BF5DF9" w:rsidRPr="00D948C1">
              <w:rPr>
                <w:szCs w:val="24"/>
              </w:rPr>
              <w:t>4</w:t>
            </w:r>
          </w:p>
        </w:tc>
        <w:tc>
          <w:tcPr>
            <w:tcW w:w="1536" w:type="dxa"/>
            <w:vAlign w:val="center"/>
          </w:tcPr>
          <w:p w14:paraId="66D6DF85" w14:textId="6FB84B60" w:rsidR="0010066C" w:rsidRPr="00D948C1" w:rsidRDefault="0010066C" w:rsidP="006C0086">
            <w:pPr>
              <w:tabs>
                <w:tab w:val="decimal" w:pos="1220"/>
              </w:tabs>
              <w:spacing w:line="276" w:lineRule="auto"/>
              <w:jc w:val="right"/>
              <w:rPr>
                <w:szCs w:val="24"/>
              </w:rPr>
            </w:pPr>
            <w:r w:rsidRPr="00D948C1">
              <w:rPr>
                <w:szCs w:val="24"/>
              </w:rPr>
              <w:t>957</w:t>
            </w:r>
          </w:p>
        </w:tc>
      </w:tr>
      <w:tr w:rsidR="0010066C" w:rsidRPr="00D948C1" w14:paraId="4C138615" w14:textId="77777777" w:rsidTr="0010066C">
        <w:tc>
          <w:tcPr>
            <w:tcW w:w="5245" w:type="dxa"/>
            <w:shd w:val="clear" w:color="auto" w:fill="auto"/>
          </w:tcPr>
          <w:p w14:paraId="2035F9A6" w14:textId="77777777" w:rsidR="0010066C" w:rsidRPr="00D948C1" w:rsidRDefault="0010066C" w:rsidP="006C0086">
            <w:pPr>
              <w:pStyle w:val="Footer"/>
              <w:tabs>
                <w:tab w:val="clear" w:pos="4153"/>
                <w:tab w:val="clear" w:pos="8306"/>
                <w:tab w:val="left" w:pos="720"/>
                <w:tab w:val="center" w:pos="6930"/>
              </w:tabs>
              <w:spacing w:line="276" w:lineRule="auto"/>
              <w:ind w:left="-108"/>
              <w:rPr>
                <w:szCs w:val="24"/>
              </w:rPr>
            </w:pPr>
            <w:r w:rsidRPr="00D948C1">
              <w:rPr>
                <w:szCs w:val="24"/>
              </w:rPr>
              <w:t>Total Unusable Reserves</w:t>
            </w:r>
          </w:p>
        </w:tc>
        <w:tc>
          <w:tcPr>
            <w:tcW w:w="1559" w:type="dxa"/>
            <w:shd w:val="clear" w:color="auto" w:fill="auto"/>
            <w:vAlign w:val="center"/>
          </w:tcPr>
          <w:p w14:paraId="51B714FE" w14:textId="7C9B73D0" w:rsidR="0010066C" w:rsidRPr="00D948C1" w:rsidRDefault="0010066C" w:rsidP="006C0086">
            <w:pPr>
              <w:tabs>
                <w:tab w:val="decimal" w:pos="1220"/>
              </w:tabs>
              <w:spacing w:line="276" w:lineRule="auto"/>
              <w:jc w:val="right"/>
              <w:rPr>
                <w:szCs w:val="24"/>
              </w:rPr>
            </w:pPr>
            <w:r w:rsidRPr="00D948C1">
              <w:rPr>
                <w:szCs w:val="24"/>
              </w:rPr>
              <w:t>5</w:t>
            </w:r>
            <w:r w:rsidR="008D2B83">
              <w:rPr>
                <w:szCs w:val="24"/>
              </w:rPr>
              <w:t>36</w:t>
            </w:r>
            <w:r w:rsidRPr="00D948C1">
              <w:rPr>
                <w:szCs w:val="24"/>
              </w:rPr>
              <w:t>,</w:t>
            </w:r>
            <w:r w:rsidR="008D2B83">
              <w:rPr>
                <w:szCs w:val="24"/>
              </w:rPr>
              <w:t>720</w:t>
            </w:r>
          </w:p>
        </w:tc>
        <w:tc>
          <w:tcPr>
            <w:tcW w:w="1536" w:type="dxa"/>
            <w:vAlign w:val="center"/>
          </w:tcPr>
          <w:p w14:paraId="1A815B7A" w14:textId="0C308CBA" w:rsidR="0010066C" w:rsidRPr="00D948C1" w:rsidRDefault="0010066C" w:rsidP="006C0086">
            <w:pPr>
              <w:tabs>
                <w:tab w:val="decimal" w:pos="1220"/>
              </w:tabs>
              <w:spacing w:line="276" w:lineRule="auto"/>
              <w:jc w:val="right"/>
              <w:rPr>
                <w:szCs w:val="24"/>
              </w:rPr>
            </w:pPr>
            <w:r w:rsidRPr="00D948C1">
              <w:rPr>
                <w:szCs w:val="24"/>
              </w:rPr>
              <w:t>538,699</w:t>
            </w:r>
          </w:p>
        </w:tc>
      </w:tr>
    </w:tbl>
    <w:p w14:paraId="240BB88F" w14:textId="77777777" w:rsidR="00D90216" w:rsidRPr="00D948C1" w:rsidRDefault="00D90216" w:rsidP="006C0086">
      <w:pPr>
        <w:spacing w:line="276" w:lineRule="auto"/>
        <w:rPr>
          <w:szCs w:val="24"/>
        </w:rPr>
      </w:pPr>
    </w:p>
    <w:p w14:paraId="70B4131F" w14:textId="77777777" w:rsidR="00D90216" w:rsidRPr="00D948C1" w:rsidRDefault="00D90216" w:rsidP="006C0086">
      <w:pPr>
        <w:spacing w:line="276" w:lineRule="auto"/>
        <w:ind w:left="709"/>
        <w:rPr>
          <w:b/>
          <w:szCs w:val="24"/>
        </w:rPr>
      </w:pPr>
      <w:r w:rsidRPr="00D948C1">
        <w:rPr>
          <w:b/>
          <w:szCs w:val="24"/>
        </w:rPr>
        <w:t>Revaluation Reserve</w:t>
      </w:r>
    </w:p>
    <w:p w14:paraId="474E8FE9" w14:textId="77777777" w:rsidR="00D90216" w:rsidRPr="00D948C1" w:rsidRDefault="00D90216" w:rsidP="006C0086">
      <w:pPr>
        <w:pStyle w:val="Footer"/>
        <w:tabs>
          <w:tab w:val="clear" w:pos="4153"/>
          <w:tab w:val="clear" w:pos="8306"/>
        </w:tabs>
        <w:spacing w:line="276" w:lineRule="auto"/>
        <w:ind w:left="720"/>
        <w:rPr>
          <w:szCs w:val="24"/>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59"/>
        <w:gridCol w:w="1559"/>
      </w:tblGrid>
      <w:tr w:rsidR="007407CC" w:rsidRPr="00D948C1" w14:paraId="188BE008" w14:textId="77777777" w:rsidTr="00611673">
        <w:trPr>
          <w:trHeight w:hRule="exact" w:val="610"/>
        </w:trPr>
        <w:tc>
          <w:tcPr>
            <w:tcW w:w="5342" w:type="dxa"/>
            <w:shd w:val="clear" w:color="auto" w:fill="BD2716"/>
          </w:tcPr>
          <w:p w14:paraId="2BF3BD08" w14:textId="77777777" w:rsidR="007407CC" w:rsidRPr="00D948C1" w:rsidRDefault="007407CC" w:rsidP="006C0086">
            <w:pPr>
              <w:tabs>
                <w:tab w:val="left" w:pos="720"/>
                <w:tab w:val="center" w:pos="6930"/>
              </w:tabs>
              <w:spacing w:line="276" w:lineRule="auto"/>
              <w:rPr>
                <w:color w:val="FFFFFF" w:themeColor="background1"/>
                <w:szCs w:val="24"/>
              </w:rPr>
            </w:pPr>
          </w:p>
        </w:tc>
        <w:tc>
          <w:tcPr>
            <w:tcW w:w="1559" w:type="dxa"/>
            <w:shd w:val="clear" w:color="auto" w:fill="BD2716"/>
            <w:vAlign w:val="center"/>
          </w:tcPr>
          <w:p w14:paraId="7D2B25FC" w14:textId="77777777" w:rsidR="007407CC" w:rsidRPr="00D948C1" w:rsidRDefault="007407CC" w:rsidP="006C0086">
            <w:pPr>
              <w:spacing w:line="276" w:lineRule="auto"/>
              <w:jc w:val="right"/>
              <w:rPr>
                <w:color w:val="FFFFFF" w:themeColor="background1"/>
                <w:szCs w:val="24"/>
              </w:rPr>
            </w:pPr>
            <w:r w:rsidRPr="00D948C1">
              <w:rPr>
                <w:color w:val="FFFFFF" w:themeColor="background1"/>
                <w:szCs w:val="24"/>
              </w:rPr>
              <w:t>2023/24</w:t>
            </w:r>
          </w:p>
          <w:p w14:paraId="40A79826" w14:textId="7B5D40BC" w:rsidR="007407CC" w:rsidRPr="00D948C1" w:rsidRDefault="007407CC" w:rsidP="006C0086">
            <w:pPr>
              <w:spacing w:line="276" w:lineRule="auto"/>
              <w:jc w:val="right"/>
              <w:rPr>
                <w:color w:val="FFFFFF" w:themeColor="background1"/>
                <w:szCs w:val="24"/>
              </w:rPr>
            </w:pPr>
            <w:r w:rsidRPr="00D948C1">
              <w:rPr>
                <w:color w:val="FFFFFF" w:themeColor="background1"/>
                <w:szCs w:val="24"/>
              </w:rPr>
              <w:t>£000</w:t>
            </w:r>
          </w:p>
        </w:tc>
        <w:tc>
          <w:tcPr>
            <w:tcW w:w="1559" w:type="dxa"/>
            <w:shd w:val="clear" w:color="auto" w:fill="BD2716"/>
            <w:vAlign w:val="center"/>
          </w:tcPr>
          <w:p w14:paraId="0939C614" w14:textId="77777777" w:rsidR="007407CC" w:rsidRPr="00D948C1" w:rsidRDefault="007407CC" w:rsidP="006C0086">
            <w:pPr>
              <w:spacing w:line="276" w:lineRule="auto"/>
              <w:jc w:val="right"/>
              <w:rPr>
                <w:color w:val="FFFFFF" w:themeColor="background1"/>
                <w:szCs w:val="24"/>
              </w:rPr>
            </w:pPr>
            <w:r w:rsidRPr="00D948C1">
              <w:rPr>
                <w:color w:val="FFFFFF" w:themeColor="background1"/>
                <w:szCs w:val="24"/>
              </w:rPr>
              <w:t>2022/23</w:t>
            </w:r>
          </w:p>
          <w:p w14:paraId="1537AE7F" w14:textId="0870AD8F" w:rsidR="007407CC" w:rsidRPr="00D948C1" w:rsidRDefault="007407C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0D84917E" w14:textId="77777777" w:rsidTr="00DD63D7">
        <w:trPr>
          <w:trHeight w:hRule="exact" w:val="300"/>
        </w:trPr>
        <w:tc>
          <w:tcPr>
            <w:tcW w:w="5342" w:type="dxa"/>
          </w:tcPr>
          <w:p w14:paraId="1B59E530"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559" w:type="dxa"/>
            <w:vAlign w:val="center"/>
          </w:tcPr>
          <w:p w14:paraId="62BA2D4A" w14:textId="44100E5F" w:rsidR="0010066C" w:rsidRPr="00D948C1" w:rsidRDefault="0010066C" w:rsidP="006C0086">
            <w:pPr>
              <w:tabs>
                <w:tab w:val="decimal" w:pos="1026"/>
              </w:tabs>
              <w:spacing w:line="276" w:lineRule="auto"/>
              <w:jc w:val="right"/>
              <w:rPr>
                <w:szCs w:val="24"/>
              </w:rPr>
            </w:pPr>
            <w:r w:rsidRPr="00D948C1">
              <w:rPr>
                <w:szCs w:val="24"/>
              </w:rPr>
              <w:t>(75,306)</w:t>
            </w:r>
          </w:p>
        </w:tc>
        <w:tc>
          <w:tcPr>
            <w:tcW w:w="1559" w:type="dxa"/>
            <w:vAlign w:val="center"/>
          </w:tcPr>
          <w:p w14:paraId="0302C917" w14:textId="25F415A1" w:rsidR="0010066C" w:rsidRPr="00D948C1" w:rsidRDefault="0010066C" w:rsidP="006C0086">
            <w:pPr>
              <w:tabs>
                <w:tab w:val="decimal" w:pos="1026"/>
              </w:tabs>
              <w:spacing w:line="276" w:lineRule="auto"/>
              <w:jc w:val="right"/>
              <w:rPr>
                <w:szCs w:val="24"/>
              </w:rPr>
            </w:pPr>
            <w:r w:rsidRPr="00D948C1">
              <w:rPr>
                <w:szCs w:val="24"/>
              </w:rPr>
              <w:t>(56,221)</w:t>
            </w:r>
          </w:p>
        </w:tc>
      </w:tr>
      <w:tr w:rsidR="0010066C" w:rsidRPr="00D948C1" w14:paraId="5DA97C49" w14:textId="77777777" w:rsidTr="00DD63D7">
        <w:trPr>
          <w:trHeight w:hRule="exact" w:val="300"/>
        </w:trPr>
        <w:tc>
          <w:tcPr>
            <w:tcW w:w="5342" w:type="dxa"/>
          </w:tcPr>
          <w:p w14:paraId="31CE386F"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Upward revaluation of assets</w:t>
            </w:r>
          </w:p>
        </w:tc>
        <w:tc>
          <w:tcPr>
            <w:tcW w:w="1559" w:type="dxa"/>
            <w:vAlign w:val="center"/>
          </w:tcPr>
          <w:p w14:paraId="4F57D3DD" w14:textId="0A181B77" w:rsidR="0010066C" w:rsidRPr="00D948C1" w:rsidRDefault="0010066C" w:rsidP="006C0086">
            <w:pPr>
              <w:tabs>
                <w:tab w:val="decimal" w:pos="1026"/>
              </w:tabs>
              <w:spacing w:line="276" w:lineRule="auto"/>
              <w:jc w:val="right"/>
              <w:rPr>
                <w:szCs w:val="24"/>
              </w:rPr>
            </w:pPr>
            <w:r w:rsidRPr="00D948C1">
              <w:rPr>
                <w:szCs w:val="24"/>
              </w:rPr>
              <w:t>(</w:t>
            </w:r>
            <w:r w:rsidR="0059772F" w:rsidRPr="00D948C1">
              <w:rPr>
                <w:szCs w:val="24"/>
              </w:rPr>
              <w:t>5,441</w:t>
            </w:r>
            <w:r w:rsidRPr="00D948C1">
              <w:rPr>
                <w:szCs w:val="24"/>
              </w:rPr>
              <w:t>)</w:t>
            </w:r>
          </w:p>
        </w:tc>
        <w:tc>
          <w:tcPr>
            <w:tcW w:w="1559" w:type="dxa"/>
            <w:vAlign w:val="center"/>
          </w:tcPr>
          <w:p w14:paraId="38847A66" w14:textId="1D2075D7" w:rsidR="0010066C" w:rsidRPr="00D948C1" w:rsidRDefault="0010066C" w:rsidP="006C0086">
            <w:pPr>
              <w:tabs>
                <w:tab w:val="decimal" w:pos="1026"/>
              </w:tabs>
              <w:spacing w:line="276" w:lineRule="auto"/>
              <w:jc w:val="right"/>
              <w:rPr>
                <w:szCs w:val="24"/>
              </w:rPr>
            </w:pPr>
            <w:r w:rsidRPr="00D948C1">
              <w:rPr>
                <w:szCs w:val="24"/>
              </w:rPr>
              <w:t>(22,283)</w:t>
            </w:r>
          </w:p>
        </w:tc>
      </w:tr>
      <w:tr w:rsidR="0010066C" w:rsidRPr="00D948C1" w14:paraId="1FFFAEAE" w14:textId="77777777" w:rsidTr="00DD63D7">
        <w:trPr>
          <w:trHeight w:hRule="exact" w:val="635"/>
        </w:trPr>
        <w:tc>
          <w:tcPr>
            <w:tcW w:w="5342" w:type="dxa"/>
          </w:tcPr>
          <w:p w14:paraId="4A11EFAF"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Downward revaluation of assets and impairment losses not charged to Net cost of Services</w:t>
            </w:r>
          </w:p>
        </w:tc>
        <w:tc>
          <w:tcPr>
            <w:tcW w:w="1559" w:type="dxa"/>
            <w:vAlign w:val="center"/>
          </w:tcPr>
          <w:p w14:paraId="2D24ED62" w14:textId="17F2ADF2" w:rsidR="0010066C" w:rsidRPr="00D948C1" w:rsidRDefault="0059772F" w:rsidP="006C0086">
            <w:pPr>
              <w:tabs>
                <w:tab w:val="decimal" w:pos="1026"/>
              </w:tabs>
              <w:spacing w:line="276" w:lineRule="auto"/>
              <w:jc w:val="right"/>
              <w:rPr>
                <w:szCs w:val="24"/>
              </w:rPr>
            </w:pPr>
            <w:r w:rsidRPr="00D948C1">
              <w:rPr>
                <w:szCs w:val="24"/>
              </w:rPr>
              <w:t>4,235</w:t>
            </w:r>
          </w:p>
        </w:tc>
        <w:tc>
          <w:tcPr>
            <w:tcW w:w="1559" w:type="dxa"/>
            <w:vAlign w:val="center"/>
          </w:tcPr>
          <w:p w14:paraId="53EE395B" w14:textId="47C5A42F" w:rsidR="0010066C" w:rsidRPr="00D948C1" w:rsidRDefault="0010066C" w:rsidP="006C0086">
            <w:pPr>
              <w:tabs>
                <w:tab w:val="decimal" w:pos="1026"/>
              </w:tabs>
              <w:spacing w:line="276" w:lineRule="auto"/>
              <w:jc w:val="right"/>
              <w:rPr>
                <w:szCs w:val="24"/>
              </w:rPr>
            </w:pPr>
            <w:r w:rsidRPr="00D948C1">
              <w:rPr>
                <w:szCs w:val="24"/>
              </w:rPr>
              <w:t>548</w:t>
            </w:r>
          </w:p>
        </w:tc>
      </w:tr>
      <w:tr w:rsidR="0010066C" w:rsidRPr="00D948C1" w14:paraId="500F1E2C" w14:textId="77777777" w:rsidTr="00DD63D7">
        <w:trPr>
          <w:trHeight w:hRule="exact" w:val="561"/>
        </w:trPr>
        <w:tc>
          <w:tcPr>
            <w:tcW w:w="5342" w:type="dxa"/>
          </w:tcPr>
          <w:p w14:paraId="2EDD0E4C"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Difference between fair value depreciation and historical cost depreciation</w:t>
            </w:r>
          </w:p>
        </w:tc>
        <w:tc>
          <w:tcPr>
            <w:tcW w:w="1559" w:type="dxa"/>
            <w:vAlign w:val="center"/>
          </w:tcPr>
          <w:p w14:paraId="717A3F37" w14:textId="53596944" w:rsidR="0010066C" w:rsidRPr="00D948C1" w:rsidRDefault="0059772F" w:rsidP="006C0086">
            <w:pPr>
              <w:tabs>
                <w:tab w:val="decimal" w:pos="1026"/>
              </w:tabs>
              <w:spacing w:line="276" w:lineRule="auto"/>
              <w:jc w:val="right"/>
              <w:rPr>
                <w:szCs w:val="24"/>
              </w:rPr>
            </w:pPr>
            <w:r w:rsidRPr="00D948C1">
              <w:rPr>
                <w:szCs w:val="24"/>
              </w:rPr>
              <w:t>3,095</w:t>
            </w:r>
          </w:p>
        </w:tc>
        <w:tc>
          <w:tcPr>
            <w:tcW w:w="1559" w:type="dxa"/>
            <w:vAlign w:val="center"/>
          </w:tcPr>
          <w:p w14:paraId="31589F14" w14:textId="07BF8C69" w:rsidR="0010066C" w:rsidRPr="00D948C1" w:rsidRDefault="0010066C" w:rsidP="006C0086">
            <w:pPr>
              <w:tabs>
                <w:tab w:val="decimal" w:pos="1026"/>
              </w:tabs>
              <w:spacing w:line="276" w:lineRule="auto"/>
              <w:jc w:val="right"/>
              <w:rPr>
                <w:szCs w:val="24"/>
              </w:rPr>
            </w:pPr>
            <w:r w:rsidRPr="00D948C1">
              <w:rPr>
                <w:szCs w:val="24"/>
              </w:rPr>
              <w:t>2,649</w:t>
            </w:r>
          </w:p>
        </w:tc>
      </w:tr>
      <w:tr w:rsidR="0010066C" w:rsidRPr="00D948C1" w14:paraId="6BF6D864" w14:textId="77777777" w:rsidTr="0059772F">
        <w:trPr>
          <w:trHeight w:hRule="exact" w:val="635"/>
        </w:trPr>
        <w:tc>
          <w:tcPr>
            <w:tcW w:w="5342" w:type="dxa"/>
          </w:tcPr>
          <w:p w14:paraId="6F056EE6"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Amount written off to the Capital Adjustment Account</w:t>
            </w:r>
          </w:p>
        </w:tc>
        <w:tc>
          <w:tcPr>
            <w:tcW w:w="1559" w:type="dxa"/>
            <w:vAlign w:val="center"/>
          </w:tcPr>
          <w:p w14:paraId="3E7C637E" w14:textId="17488CEF" w:rsidR="0010066C" w:rsidRPr="00D948C1" w:rsidRDefault="0010066C" w:rsidP="006C0086">
            <w:pPr>
              <w:tabs>
                <w:tab w:val="decimal" w:pos="1026"/>
              </w:tabs>
              <w:spacing w:line="276" w:lineRule="auto"/>
              <w:jc w:val="right"/>
              <w:rPr>
                <w:szCs w:val="24"/>
              </w:rPr>
            </w:pPr>
            <w:r w:rsidRPr="00D948C1">
              <w:rPr>
                <w:szCs w:val="24"/>
              </w:rPr>
              <w:t>-</w:t>
            </w:r>
          </w:p>
        </w:tc>
        <w:tc>
          <w:tcPr>
            <w:tcW w:w="1559" w:type="dxa"/>
            <w:vAlign w:val="center"/>
          </w:tcPr>
          <w:p w14:paraId="15A1D943" w14:textId="230409CB" w:rsidR="0010066C" w:rsidRPr="00D948C1" w:rsidRDefault="0010066C" w:rsidP="006C0086">
            <w:pPr>
              <w:tabs>
                <w:tab w:val="decimal" w:pos="1026"/>
              </w:tabs>
              <w:spacing w:line="276" w:lineRule="auto"/>
              <w:jc w:val="right"/>
              <w:rPr>
                <w:szCs w:val="24"/>
              </w:rPr>
            </w:pPr>
            <w:r w:rsidRPr="00D948C1">
              <w:rPr>
                <w:szCs w:val="24"/>
              </w:rPr>
              <w:t>-</w:t>
            </w:r>
          </w:p>
        </w:tc>
      </w:tr>
      <w:tr w:rsidR="0010066C" w:rsidRPr="00D948C1" w14:paraId="440293EC" w14:textId="77777777" w:rsidTr="00DD63D7">
        <w:trPr>
          <w:trHeight w:hRule="exact" w:val="300"/>
        </w:trPr>
        <w:tc>
          <w:tcPr>
            <w:tcW w:w="5342" w:type="dxa"/>
          </w:tcPr>
          <w:p w14:paraId="61F56C70" w14:textId="4E068018"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Total Revaluation Reserve</w:t>
            </w:r>
          </w:p>
        </w:tc>
        <w:tc>
          <w:tcPr>
            <w:tcW w:w="1559" w:type="dxa"/>
            <w:vAlign w:val="center"/>
          </w:tcPr>
          <w:p w14:paraId="1F4DE559" w14:textId="750EB916" w:rsidR="0010066C" w:rsidRPr="00D948C1" w:rsidRDefault="0010066C" w:rsidP="006C0086">
            <w:pPr>
              <w:tabs>
                <w:tab w:val="decimal" w:pos="1026"/>
              </w:tabs>
              <w:spacing w:line="276" w:lineRule="auto"/>
              <w:jc w:val="right"/>
              <w:rPr>
                <w:szCs w:val="24"/>
              </w:rPr>
            </w:pPr>
            <w:r w:rsidRPr="00D948C1">
              <w:rPr>
                <w:szCs w:val="24"/>
              </w:rPr>
              <w:t>(7</w:t>
            </w:r>
            <w:r w:rsidR="0059772F" w:rsidRPr="00D948C1">
              <w:rPr>
                <w:szCs w:val="24"/>
              </w:rPr>
              <w:t>3,418</w:t>
            </w:r>
            <w:r w:rsidRPr="00D948C1">
              <w:rPr>
                <w:szCs w:val="24"/>
              </w:rPr>
              <w:t>)</w:t>
            </w:r>
          </w:p>
        </w:tc>
        <w:tc>
          <w:tcPr>
            <w:tcW w:w="1559" w:type="dxa"/>
            <w:vAlign w:val="center"/>
          </w:tcPr>
          <w:p w14:paraId="66F32B27" w14:textId="151A777A" w:rsidR="0010066C" w:rsidRPr="00D948C1" w:rsidRDefault="0010066C" w:rsidP="006C0086">
            <w:pPr>
              <w:tabs>
                <w:tab w:val="decimal" w:pos="1026"/>
              </w:tabs>
              <w:spacing w:line="276" w:lineRule="auto"/>
              <w:jc w:val="right"/>
              <w:rPr>
                <w:szCs w:val="24"/>
              </w:rPr>
            </w:pPr>
            <w:r w:rsidRPr="00D948C1">
              <w:rPr>
                <w:szCs w:val="24"/>
              </w:rPr>
              <w:t>(75,306)</w:t>
            </w:r>
          </w:p>
        </w:tc>
      </w:tr>
    </w:tbl>
    <w:p w14:paraId="31F18EB1" w14:textId="77777777" w:rsidR="00D90216" w:rsidRPr="00D948C1" w:rsidRDefault="00D90216" w:rsidP="006C0086">
      <w:pPr>
        <w:spacing w:line="276" w:lineRule="auto"/>
        <w:ind w:left="720"/>
        <w:jc w:val="both"/>
        <w:rPr>
          <w:sz w:val="22"/>
        </w:rPr>
      </w:pPr>
    </w:p>
    <w:p w14:paraId="1AFBDA7E" w14:textId="030A4A2A" w:rsidR="00D90216" w:rsidRPr="00D948C1" w:rsidRDefault="00D90216" w:rsidP="006C0086">
      <w:pPr>
        <w:spacing w:line="276" w:lineRule="auto"/>
        <w:ind w:left="720"/>
        <w:rPr>
          <w:rFonts w:cs="Arial"/>
          <w:szCs w:val="24"/>
        </w:rPr>
      </w:pPr>
      <w:r w:rsidRPr="00D948C1">
        <w:rPr>
          <w:rFonts w:cs="Arial"/>
          <w:szCs w:val="24"/>
        </w:rPr>
        <w:t xml:space="preserve">The Revaluation Reserve </w:t>
      </w:r>
      <w:r w:rsidRPr="00D948C1">
        <w:rPr>
          <w:szCs w:val="24"/>
        </w:rPr>
        <w:t>contains</w:t>
      </w:r>
      <w:r w:rsidRPr="00D948C1">
        <w:rPr>
          <w:rFonts w:cs="Arial"/>
          <w:szCs w:val="24"/>
        </w:rPr>
        <w:t xml:space="preserve"> the gains made by the Authority arising from increases in the value of its Property, Plant and Equipment. The balance is reduced when assets with accumulated gains are:</w:t>
      </w:r>
    </w:p>
    <w:p w14:paraId="4AF9E479" w14:textId="1E40E434" w:rsidR="00D90216" w:rsidRPr="00D948C1" w:rsidRDefault="00D90216" w:rsidP="006C0086">
      <w:pPr>
        <w:numPr>
          <w:ilvl w:val="0"/>
          <w:numId w:val="13"/>
        </w:numPr>
        <w:spacing w:line="276" w:lineRule="auto"/>
        <w:rPr>
          <w:rFonts w:cs="Arial"/>
          <w:szCs w:val="24"/>
        </w:rPr>
      </w:pPr>
      <w:r w:rsidRPr="00D948C1">
        <w:rPr>
          <w:rFonts w:cs="Arial"/>
          <w:szCs w:val="24"/>
        </w:rPr>
        <w:t>Revalued downwards or impaired and the gains are lost</w:t>
      </w:r>
      <w:r w:rsidR="00375D1C" w:rsidRPr="00D948C1">
        <w:rPr>
          <w:rFonts w:cs="Arial"/>
          <w:szCs w:val="24"/>
        </w:rPr>
        <w:t>.</w:t>
      </w:r>
    </w:p>
    <w:p w14:paraId="6FBEC17B" w14:textId="77777777" w:rsidR="00D90216" w:rsidRPr="00D948C1" w:rsidRDefault="00D90216" w:rsidP="006C0086">
      <w:pPr>
        <w:numPr>
          <w:ilvl w:val="0"/>
          <w:numId w:val="13"/>
        </w:numPr>
        <w:spacing w:line="276" w:lineRule="auto"/>
        <w:rPr>
          <w:rFonts w:cs="Arial"/>
          <w:szCs w:val="24"/>
        </w:rPr>
      </w:pPr>
      <w:r w:rsidRPr="00D948C1">
        <w:rPr>
          <w:rFonts w:cs="Arial"/>
          <w:szCs w:val="24"/>
        </w:rPr>
        <w:t>Used in the provision of services and the gains are consumed through depreciation, or</w:t>
      </w:r>
    </w:p>
    <w:p w14:paraId="04118F7D" w14:textId="77777777" w:rsidR="00D90216" w:rsidRPr="00D948C1" w:rsidRDefault="00D90216" w:rsidP="006C0086">
      <w:pPr>
        <w:numPr>
          <w:ilvl w:val="0"/>
          <w:numId w:val="13"/>
        </w:numPr>
        <w:spacing w:line="276" w:lineRule="auto"/>
        <w:rPr>
          <w:rFonts w:cs="Arial"/>
          <w:szCs w:val="24"/>
        </w:rPr>
      </w:pPr>
      <w:r w:rsidRPr="00D948C1">
        <w:rPr>
          <w:rFonts w:cs="Arial"/>
          <w:szCs w:val="24"/>
        </w:rPr>
        <w:t>Disposed of and the gains are realised.</w:t>
      </w:r>
    </w:p>
    <w:p w14:paraId="30BA4F01" w14:textId="77777777" w:rsidR="00D90216" w:rsidRPr="00D948C1" w:rsidRDefault="00D90216" w:rsidP="006C0086">
      <w:pPr>
        <w:spacing w:line="276" w:lineRule="auto"/>
        <w:ind w:left="770"/>
        <w:rPr>
          <w:rFonts w:cs="Arial"/>
          <w:szCs w:val="24"/>
        </w:rPr>
      </w:pPr>
    </w:p>
    <w:p w14:paraId="7675B3B9" w14:textId="118732CD" w:rsidR="00D90216" w:rsidRPr="00D948C1" w:rsidRDefault="00D90216" w:rsidP="006C0086">
      <w:pPr>
        <w:spacing w:line="276" w:lineRule="auto"/>
        <w:ind w:left="720"/>
        <w:rPr>
          <w:b/>
          <w:szCs w:val="24"/>
        </w:rPr>
      </w:pPr>
      <w:r w:rsidRPr="00D948C1">
        <w:rPr>
          <w:rFonts w:cs="Arial"/>
          <w:szCs w:val="24"/>
        </w:rPr>
        <w:t xml:space="preserve">The Reserve contains only revaluation gains accumulated since 1 April 2007, the date that the Reserve was created. </w:t>
      </w:r>
      <w:r w:rsidRPr="00D948C1">
        <w:rPr>
          <w:szCs w:val="24"/>
        </w:rPr>
        <w:t>Accumulated</w:t>
      </w:r>
      <w:r w:rsidRPr="00D948C1">
        <w:rPr>
          <w:rFonts w:cs="Arial"/>
          <w:szCs w:val="24"/>
        </w:rPr>
        <w:t xml:space="preserve"> gains arising before that date are consolidated into the balance on the Capital Adjustment Account.</w:t>
      </w:r>
    </w:p>
    <w:p w14:paraId="1C7CC2A9" w14:textId="77777777" w:rsidR="00D90216" w:rsidRPr="00D948C1" w:rsidRDefault="00D90216" w:rsidP="006C0086">
      <w:pPr>
        <w:spacing w:line="276" w:lineRule="auto"/>
        <w:ind w:left="709" w:hanging="709"/>
        <w:rPr>
          <w:b/>
          <w:szCs w:val="24"/>
        </w:rPr>
      </w:pPr>
    </w:p>
    <w:p w14:paraId="79448A02" w14:textId="77777777" w:rsidR="00D90216" w:rsidRPr="00D948C1" w:rsidRDefault="00D90216" w:rsidP="006C0086">
      <w:pPr>
        <w:pStyle w:val="BodyTextIndent"/>
        <w:spacing w:line="276" w:lineRule="auto"/>
        <w:ind w:left="709"/>
        <w:rPr>
          <w:b/>
          <w:szCs w:val="24"/>
          <w:lang w:val="en-GB"/>
        </w:rPr>
      </w:pPr>
      <w:r w:rsidRPr="00D948C1">
        <w:rPr>
          <w:b/>
          <w:szCs w:val="24"/>
          <w:lang w:val="en-GB"/>
        </w:rPr>
        <w:t>Capital Adjustment Account</w:t>
      </w:r>
    </w:p>
    <w:p w14:paraId="556F6CE8" w14:textId="77777777" w:rsidR="00D90216" w:rsidRPr="00D948C1" w:rsidRDefault="00D90216" w:rsidP="006C0086">
      <w:pPr>
        <w:pStyle w:val="BodyTextIndent"/>
        <w:spacing w:line="276" w:lineRule="auto"/>
        <w:ind w:left="709"/>
        <w:rPr>
          <w:szCs w:val="24"/>
          <w:lang w:val="en-GB"/>
        </w:rPr>
      </w:pPr>
    </w:p>
    <w:p w14:paraId="2EB1D5A0" w14:textId="751776DB" w:rsidR="00D90216" w:rsidRPr="00D948C1" w:rsidRDefault="00D90216" w:rsidP="006C0086">
      <w:pPr>
        <w:spacing w:line="276" w:lineRule="auto"/>
        <w:ind w:left="720"/>
        <w:rPr>
          <w:szCs w:val="24"/>
        </w:rPr>
      </w:pPr>
      <w:r w:rsidRPr="00D948C1">
        <w:rPr>
          <w:szCs w:val="24"/>
        </w:rPr>
        <w:t xml:space="preserve">The Capital Adjustment Account absorbs the timing differences arising from the different arrangements for accounting for the consumption of non-current assets and for financing the acquisition under statutory provisions. The account is debited with the cost of acquisition as depreciation, impairment losses and amortisations are charged to the Comprehensive Income </w:t>
      </w:r>
      <w:r w:rsidRPr="00D948C1">
        <w:rPr>
          <w:szCs w:val="24"/>
        </w:rPr>
        <w:lastRenderedPageBreak/>
        <w:t>and Expenditure Statement. The Account is credited with the amounts set aside by the Authority as finance for the costs of acquisition.</w:t>
      </w:r>
    </w:p>
    <w:p w14:paraId="775D30B1" w14:textId="77777777" w:rsidR="00D90216" w:rsidRPr="00D948C1" w:rsidRDefault="00D90216" w:rsidP="006C0086">
      <w:pPr>
        <w:spacing w:line="276" w:lineRule="auto"/>
        <w:ind w:left="709"/>
        <w:rPr>
          <w:sz w:val="22"/>
          <w:szCs w:val="22"/>
        </w:rPr>
      </w:pPr>
    </w:p>
    <w:p w14:paraId="27B8EA1E" w14:textId="39A9C660" w:rsidR="00D90216" w:rsidRPr="00D948C1" w:rsidRDefault="00BC6640" w:rsidP="006C0086">
      <w:pPr>
        <w:spacing w:line="276" w:lineRule="auto"/>
        <w:ind w:left="720"/>
        <w:rPr>
          <w:szCs w:val="24"/>
        </w:rPr>
      </w:pPr>
      <w:r w:rsidRPr="00D948C1">
        <w:rPr>
          <w:sz w:val="22"/>
          <w:szCs w:val="22"/>
        </w:rPr>
        <w:br w:type="page"/>
      </w:r>
      <w:r w:rsidR="0050693C" w:rsidRPr="00D948C1">
        <w:rPr>
          <w:szCs w:val="24"/>
        </w:rPr>
        <w:lastRenderedPageBreak/>
        <w:t>In addition, t</w:t>
      </w:r>
      <w:r w:rsidR="00D90216" w:rsidRPr="00D948C1">
        <w:rPr>
          <w:szCs w:val="24"/>
        </w:rPr>
        <w:t xml:space="preserve">he </w:t>
      </w:r>
      <w:r w:rsidR="0050693C" w:rsidRPr="00D948C1">
        <w:rPr>
          <w:szCs w:val="24"/>
        </w:rPr>
        <w:t>a</w:t>
      </w:r>
      <w:r w:rsidR="00D90216" w:rsidRPr="00D948C1">
        <w:rPr>
          <w:szCs w:val="24"/>
        </w:rPr>
        <w:t>ccount contains revaluation gains accumulated on Property, Plant and Equipment before 1 April 2007, the date the Revaluation Reserve was created to hold such gains.</w:t>
      </w:r>
    </w:p>
    <w:p w14:paraId="7BFA40BC" w14:textId="77777777" w:rsidR="00B753AF" w:rsidRPr="00D948C1" w:rsidRDefault="00B753AF" w:rsidP="006C0086">
      <w:pPr>
        <w:spacing w:line="276" w:lineRule="auto"/>
        <w:ind w:left="720"/>
        <w:jc w:val="both"/>
        <w:rPr>
          <w:sz w:val="22"/>
          <w:szCs w:val="22"/>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10066C" w:rsidRPr="00D948C1" w14:paraId="729CEAFF" w14:textId="77777777" w:rsidTr="00611673">
        <w:trPr>
          <w:trHeight w:hRule="exact" w:val="576"/>
        </w:trPr>
        <w:tc>
          <w:tcPr>
            <w:tcW w:w="4350" w:type="dxa"/>
            <w:shd w:val="clear" w:color="auto" w:fill="BD2716"/>
          </w:tcPr>
          <w:p w14:paraId="4A926335" w14:textId="77777777" w:rsidR="0010066C" w:rsidRPr="00D948C1" w:rsidRDefault="0010066C" w:rsidP="006C0086">
            <w:pPr>
              <w:tabs>
                <w:tab w:val="left" w:pos="720"/>
                <w:tab w:val="center" w:pos="6930"/>
              </w:tabs>
              <w:spacing w:line="276" w:lineRule="auto"/>
              <w:rPr>
                <w:color w:val="FFFFFF" w:themeColor="background1"/>
                <w:szCs w:val="24"/>
              </w:rPr>
            </w:pPr>
          </w:p>
        </w:tc>
        <w:tc>
          <w:tcPr>
            <w:tcW w:w="1134" w:type="dxa"/>
            <w:shd w:val="clear" w:color="auto" w:fill="BD2716"/>
            <w:vAlign w:val="center"/>
          </w:tcPr>
          <w:p w14:paraId="49AB6664" w14:textId="657F2649"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35100580" w14:textId="3AC50BB4"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81241B2"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6CF4CC48" w14:textId="2F6F186A"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4457E5B8"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7213143E" w14:textId="7B14ACBD"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748B260"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064DD2CE" w14:textId="1AEFE0A6"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04BCADAE" w14:textId="77777777" w:rsidTr="00DD63D7">
        <w:trPr>
          <w:trHeight w:hRule="exact" w:val="300"/>
        </w:trPr>
        <w:tc>
          <w:tcPr>
            <w:tcW w:w="4350" w:type="dxa"/>
          </w:tcPr>
          <w:p w14:paraId="1E79C4E1"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134" w:type="dxa"/>
            <w:vAlign w:val="center"/>
          </w:tcPr>
          <w:p w14:paraId="4082AC40"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7016FC26" w14:textId="64EC15B1" w:rsidR="0010066C" w:rsidRPr="00D948C1" w:rsidRDefault="0010066C" w:rsidP="006C0086">
            <w:pPr>
              <w:tabs>
                <w:tab w:val="decimal" w:pos="884"/>
              </w:tabs>
              <w:spacing w:line="276" w:lineRule="auto"/>
              <w:jc w:val="right"/>
              <w:rPr>
                <w:szCs w:val="24"/>
              </w:rPr>
            </w:pPr>
            <w:r w:rsidRPr="00D948C1">
              <w:rPr>
                <w:szCs w:val="24"/>
              </w:rPr>
              <w:t>(38,281)</w:t>
            </w:r>
          </w:p>
        </w:tc>
        <w:tc>
          <w:tcPr>
            <w:tcW w:w="1134" w:type="dxa"/>
            <w:vAlign w:val="center"/>
          </w:tcPr>
          <w:p w14:paraId="3CD42309"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3150D308" w14:textId="04FCAF68" w:rsidR="0010066C" w:rsidRPr="00D948C1" w:rsidRDefault="0010066C" w:rsidP="006C0086">
            <w:pPr>
              <w:tabs>
                <w:tab w:val="decimal" w:pos="884"/>
              </w:tabs>
              <w:spacing w:line="276" w:lineRule="auto"/>
              <w:jc w:val="right"/>
              <w:rPr>
                <w:szCs w:val="24"/>
              </w:rPr>
            </w:pPr>
            <w:r w:rsidRPr="00D948C1">
              <w:rPr>
                <w:szCs w:val="24"/>
              </w:rPr>
              <w:t>(39,469)</w:t>
            </w:r>
          </w:p>
        </w:tc>
      </w:tr>
    </w:tbl>
    <w:p w14:paraId="03B03271" w14:textId="77777777" w:rsidR="00EC3487" w:rsidRPr="00D948C1" w:rsidRDefault="00EC3487" w:rsidP="006C0086">
      <w:pPr>
        <w:spacing w:line="276" w:lineRule="auto"/>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EC3487" w:rsidRPr="00D948C1" w14:paraId="18F5F964" w14:textId="77777777" w:rsidTr="00C42769">
        <w:trPr>
          <w:trHeight w:hRule="exact" w:val="624"/>
        </w:trPr>
        <w:tc>
          <w:tcPr>
            <w:tcW w:w="8886" w:type="dxa"/>
            <w:gridSpan w:val="5"/>
            <w:shd w:val="clear" w:color="auto" w:fill="D9D9D9" w:themeFill="background1" w:themeFillShade="D9"/>
          </w:tcPr>
          <w:p w14:paraId="16857569" w14:textId="53203D8D" w:rsidR="00EC3487" w:rsidRPr="00D948C1" w:rsidRDefault="00EC3487" w:rsidP="006C0086">
            <w:pPr>
              <w:tabs>
                <w:tab w:val="decimal" w:pos="885"/>
              </w:tabs>
              <w:spacing w:line="276" w:lineRule="auto"/>
              <w:rPr>
                <w:b/>
                <w:bCs/>
                <w:szCs w:val="24"/>
              </w:rPr>
            </w:pPr>
            <w:r w:rsidRPr="00D948C1">
              <w:rPr>
                <w:b/>
                <w:bCs/>
                <w:szCs w:val="24"/>
              </w:rPr>
              <w:t>Reversal of items relating to capital expenditure debited or credited to the Comprehensive Income and Expenditure Statement:</w:t>
            </w:r>
          </w:p>
        </w:tc>
      </w:tr>
      <w:tr w:rsidR="0010066C" w:rsidRPr="00D948C1" w14:paraId="60080373" w14:textId="77777777" w:rsidTr="00C42769">
        <w:trPr>
          <w:trHeight w:hRule="exact" w:val="624"/>
        </w:trPr>
        <w:tc>
          <w:tcPr>
            <w:tcW w:w="4350" w:type="dxa"/>
          </w:tcPr>
          <w:p w14:paraId="2F6D264E" w14:textId="77777777" w:rsidR="0010066C" w:rsidRPr="00D948C1" w:rsidRDefault="0010066C" w:rsidP="006C0086">
            <w:pPr>
              <w:numPr>
                <w:ilvl w:val="0"/>
                <w:numId w:val="14"/>
              </w:numPr>
              <w:tabs>
                <w:tab w:val="center" w:pos="6930"/>
              </w:tabs>
              <w:spacing w:line="276" w:lineRule="auto"/>
              <w:rPr>
                <w:szCs w:val="24"/>
              </w:rPr>
            </w:pPr>
            <w:r w:rsidRPr="00D948C1">
              <w:rPr>
                <w:szCs w:val="24"/>
              </w:rPr>
              <w:t>Charges for depreciation and impairment of non-current assets</w:t>
            </w:r>
          </w:p>
        </w:tc>
        <w:tc>
          <w:tcPr>
            <w:tcW w:w="1134" w:type="dxa"/>
            <w:vAlign w:val="center"/>
          </w:tcPr>
          <w:p w14:paraId="096341ED" w14:textId="0481BFB1" w:rsidR="0010066C" w:rsidRPr="00D948C1" w:rsidRDefault="0010066C" w:rsidP="006C0086">
            <w:pPr>
              <w:tabs>
                <w:tab w:val="decimal" w:pos="884"/>
              </w:tabs>
              <w:spacing w:line="276" w:lineRule="auto"/>
              <w:jc w:val="right"/>
              <w:rPr>
                <w:szCs w:val="24"/>
              </w:rPr>
            </w:pPr>
            <w:r w:rsidRPr="00D948C1">
              <w:rPr>
                <w:szCs w:val="24"/>
              </w:rPr>
              <w:t>2,</w:t>
            </w:r>
            <w:r w:rsidR="00B61CAB">
              <w:rPr>
                <w:szCs w:val="24"/>
              </w:rPr>
              <w:t>637</w:t>
            </w:r>
          </w:p>
        </w:tc>
        <w:tc>
          <w:tcPr>
            <w:tcW w:w="1134" w:type="dxa"/>
            <w:vAlign w:val="center"/>
          </w:tcPr>
          <w:p w14:paraId="3FE4CE6E" w14:textId="77777777" w:rsidR="0010066C" w:rsidRPr="00D948C1" w:rsidRDefault="0010066C" w:rsidP="006C0086">
            <w:pPr>
              <w:tabs>
                <w:tab w:val="decimal" w:pos="885"/>
              </w:tabs>
              <w:spacing w:line="276" w:lineRule="auto"/>
              <w:jc w:val="right"/>
              <w:rPr>
                <w:szCs w:val="24"/>
              </w:rPr>
            </w:pPr>
          </w:p>
        </w:tc>
        <w:tc>
          <w:tcPr>
            <w:tcW w:w="1134" w:type="dxa"/>
            <w:vAlign w:val="center"/>
          </w:tcPr>
          <w:p w14:paraId="178F1043" w14:textId="6F13148A" w:rsidR="0010066C" w:rsidRPr="00D948C1" w:rsidRDefault="0010066C" w:rsidP="006C0086">
            <w:pPr>
              <w:tabs>
                <w:tab w:val="decimal" w:pos="884"/>
              </w:tabs>
              <w:spacing w:line="276" w:lineRule="auto"/>
              <w:jc w:val="right"/>
              <w:rPr>
                <w:szCs w:val="24"/>
              </w:rPr>
            </w:pPr>
            <w:r w:rsidRPr="00D948C1">
              <w:rPr>
                <w:szCs w:val="24"/>
              </w:rPr>
              <w:t>2,938</w:t>
            </w:r>
          </w:p>
        </w:tc>
        <w:tc>
          <w:tcPr>
            <w:tcW w:w="1134" w:type="dxa"/>
            <w:vAlign w:val="center"/>
          </w:tcPr>
          <w:p w14:paraId="666F89D8" w14:textId="77777777" w:rsidR="0010066C" w:rsidRPr="00D948C1" w:rsidRDefault="0010066C" w:rsidP="006C0086">
            <w:pPr>
              <w:tabs>
                <w:tab w:val="decimal" w:pos="885"/>
              </w:tabs>
              <w:spacing w:line="276" w:lineRule="auto"/>
              <w:jc w:val="right"/>
              <w:rPr>
                <w:szCs w:val="24"/>
              </w:rPr>
            </w:pPr>
          </w:p>
        </w:tc>
      </w:tr>
      <w:tr w:rsidR="0010066C" w:rsidRPr="00D948C1" w14:paraId="0027C3E2" w14:textId="77777777" w:rsidTr="00C42769">
        <w:trPr>
          <w:trHeight w:hRule="exact" w:val="624"/>
        </w:trPr>
        <w:tc>
          <w:tcPr>
            <w:tcW w:w="4350" w:type="dxa"/>
          </w:tcPr>
          <w:p w14:paraId="2E7946C5" w14:textId="77777777" w:rsidR="0010066C" w:rsidRPr="00D948C1" w:rsidRDefault="0010066C" w:rsidP="006C0086">
            <w:pPr>
              <w:numPr>
                <w:ilvl w:val="0"/>
                <w:numId w:val="14"/>
              </w:numPr>
              <w:tabs>
                <w:tab w:val="center" w:pos="6930"/>
              </w:tabs>
              <w:spacing w:line="276" w:lineRule="auto"/>
              <w:rPr>
                <w:szCs w:val="24"/>
              </w:rPr>
            </w:pPr>
            <w:r w:rsidRPr="00D948C1">
              <w:rPr>
                <w:szCs w:val="24"/>
              </w:rPr>
              <w:t>Revaluation losses on Property, Plant &amp; Equipment</w:t>
            </w:r>
          </w:p>
        </w:tc>
        <w:tc>
          <w:tcPr>
            <w:tcW w:w="1134" w:type="dxa"/>
            <w:vAlign w:val="center"/>
          </w:tcPr>
          <w:p w14:paraId="7D9CADEF" w14:textId="50813351" w:rsidR="0010066C" w:rsidRPr="00D948C1" w:rsidRDefault="0059772F" w:rsidP="006C0086">
            <w:pPr>
              <w:tabs>
                <w:tab w:val="decimal" w:pos="884"/>
              </w:tabs>
              <w:spacing w:line="276" w:lineRule="auto"/>
              <w:jc w:val="right"/>
              <w:rPr>
                <w:szCs w:val="24"/>
              </w:rPr>
            </w:pPr>
            <w:r w:rsidRPr="00D948C1">
              <w:rPr>
                <w:szCs w:val="24"/>
              </w:rPr>
              <w:t>133</w:t>
            </w:r>
          </w:p>
        </w:tc>
        <w:tc>
          <w:tcPr>
            <w:tcW w:w="1134" w:type="dxa"/>
            <w:vAlign w:val="center"/>
          </w:tcPr>
          <w:p w14:paraId="7EC996C4" w14:textId="77777777" w:rsidR="0010066C" w:rsidRPr="00D948C1" w:rsidRDefault="0010066C" w:rsidP="006C0086">
            <w:pPr>
              <w:tabs>
                <w:tab w:val="decimal" w:pos="885"/>
              </w:tabs>
              <w:spacing w:line="276" w:lineRule="auto"/>
              <w:jc w:val="right"/>
              <w:rPr>
                <w:szCs w:val="24"/>
              </w:rPr>
            </w:pPr>
          </w:p>
        </w:tc>
        <w:tc>
          <w:tcPr>
            <w:tcW w:w="1134" w:type="dxa"/>
            <w:vAlign w:val="center"/>
          </w:tcPr>
          <w:p w14:paraId="0E40A94A" w14:textId="2DF6FE45" w:rsidR="0010066C" w:rsidRPr="00D948C1" w:rsidRDefault="0010066C" w:rsidP="006C0086">
            <w:pPr>
              <w:tabs>
                <w:tab w:val="decimal" w:pos="884"/>
              </w:tabs>
              <w:spacing w:line="276" w:lineRule="auto"/>
              <w:jc w:val="right"/>
              <w:rPr>
                <w:szCs w:val="24"/>
              </w:rPr>
            </w:pPr>
            <w:r w:rsidRPr="00D948C1">
              <w:rPr>
                <w:szCs w:val="24"/>
              </w:rPr>
              <w:t>271</w:t>
            </w:r>
          </w:p>
        </w:tc>
        <w:tc>
          <w:tcPr>
            <w:tcW w:w="1134" w:type="dxa"/>
            <w:vAlign w:val="center"/>
          </w:tcPr>
          <w:p w14:paraId="61AB3547" w14:textId="77777777" w:rsidR="0010066C" w:rsidRPr="00D948C1" w:rsidRDefault="0010066C" w:rsidP="006C0086">
            <w:pPr>
              <w:tabs>
                <w:tab w:val="decimal" w:pos="885"/>
              </w:tabs>
              <w:spacing w:line="276" w:lineRule="auto"/>
              <w:jc w:val="right"/>
              <w:rPr>
                <w:szCs w:val="24"/>
              </w:rPr>
            </w:pPr>
          </w:p>
        </w:tc>
      </w:tr>
      <w:tr w:rsidR="0010066C" w:rsidRPr="00D948C1" w14:paraId="3869953C" w14:textId="77777777" w:rsidTr="00DD63D7">
        <w:trPr>
          <w:trHeight w:hRule="exact" w:val="300"/>
        </w:trPr>
        <w:tc>
          <w:tcPr>
            <w:tcW w:w="4350" w:type="dxa"/>
          </w:tcPr>
          <w:p w14:paraId="10925579" w14:textId="77777777" w:rsidR="0010066C" w:rsidRPr="00D948C1" w:rsidRDefault="0010066C" w:rsidP="006C0086">
            <w:pPr>
              <w:numPr>
                <w:ilvl w:val="0"/>
                <w:numId w:val="14"/>
              </w:numPr>
              <w:tabs>
                <w:tab w:val="center" w:pos="6930"/>
              </w:tabs>
              <w:spacing w:line="276" w:lineRule="auto"/>
              <w:rPr>
                <w:szCs w:val="24"/>
              </w:rPr>
            </w:pPr>
            <w:r w:rsidRPr="00D948C1">
              <w:rPr>
                <w:szCs w:val="24"/>
              </w:rPr>
              <w:t>Amortisation of intangible assets</w:t>
            </w:r>
          </w:p>
        </w:tc>
        <w:tc>
          <w:tcPr>
            <w:tcW w:w="1134" w:type="dxa"/>
            <w:vAlign w:val="center"/>
          </w:tcPr>
          <w:p w14:paraId="58E5C86A" w14:textId="18EEBDCD" w:rsidR="0010066C" w:rsidRPr="00D948C1" w:rsidRDefault="00B61CAB" w:rsidP="006C0086">
            <w:pPr>
              <w:tabs>
                <w:tab w:val="decimal" w:pos="884"/>
              </w:tabs>
              <w:spacing w:line="276" w:lineRule="auto"/>
              <w:jc w:val="right"/>
              <w:rPr>
                <w:szCs w:val="24"/>
              </w:rPr>
            </w:pPr>
            <w:r>
              <w:rPr>
                <w:szCs w:val="24"/>
              </w:rPr>
              <w:t>188</w:t>
            </w:r>
          </w:p>
        </w:tc>
        <w:tc>
          <w:tcPr>
            <w:tcW w:w="1134" w:type="dxa"/>
            <w:vAlign w:val="center"/>
          </w:tcPr>
          <w:p w14:paraId="02468154" w14:textId="77777777" w:rsidR="0010066C" w:rsidRPr="00D948C1" w:rsidRDefault="0010066C" w:rsidP="006C0086">
            <w:pPr>
              <w:tabs>
                <w:tab w:val="decimal" w:pos="885"/>
              </w:tabs>
              <w:spacing w:line="276" w:lineRule="auto"/>
              <w:jc w:val="right"/>
              <w:rPr>
                <w:szCs w:val="24"/>
              </w:rPr>
            </w:pPr>
          </w:p>
        </w:tc>
        <w:tc>
          <w:tcPr>
            <w:tcW w:w="1134" w:type="dxa"/>
            <w:vAlign w:val="center"/>
          </w:tcPr>
          <w:p w14:paraId="65DC3201" w14:textId="5307B84B" w:rsidR="0010066C" w:rsidRPr="00D948C1" w:rsidRDefault="0010066C" w:rsidP="006C0086">
            <w:pPr>
              <w:tabs>
                <w:tab w:val="decimal" w:pos="884"/>
              </w:tabs>
              <w:spacing w:line="276" w:lineRule="auto"/>
              <w:jc w:val="right"/>
              <w:rPr>
                <w:szCs w:val="24"/>
              </w:rPr>
            </w:pPr>
            <w:r w:rsidRPr="00D948C1">
              <w:rPr>
                <w:szCs w:val="24"/>
              </w:rPr>
              <w:t>94</w:t>
            </w:r>
          </w:p>
        </w:tc>
        <w:tc>
          <w:tcPr>
            <w:tcW w:w="1134" w:type="dxa"/>
            <w:vAlign w:val="center"/>
          </w:tcPr>
          <w:p w14:paraId="4B773CF0" w14:textId="77777777" w:rsidR="0010066C" w:rsidRPr="00D948C1" w:rsidRDefault="0010066C" w:rsidP="006C0086">
            <w:pPr>
              <w:tabs>
                <w:tab w:val="decimal" w:pos="885"/>
              </w:tabs>
              <w:spacing w:line="276" w:lineRule="auto"/>
              <w:jc w:val="right"/>
              <w:rPr>
                <w:szCs w:val="24"/>
              </w:rPr>
            </w:pPr>
          </w:p>
        </w:tc>
      </w:tr>
      <w:tr w:rsidR="0010066C" w:rsidRPr="00D948C1" w14:paraId="25EDFDDE" w14:textId="77777777" w:rsidTr="00DD63D7">
        <w:trPr>
          <w:trHeight w:hRule="exact" w:val="300"/>
        </w:trPr>
        <w:tc>
          <w:tcPr>
            <w:tcW w:w="4350" w:type="dxa"/>
          </w:tcPr>
          <w:p w14:paraId="458EF4AA" w14:textId="53006645" w:rsidR="0010066C" w:rsidRPr="00D948C1" w:rsidRDefault="0010066C" w:rsidP="006C0086">
            <w:pPr>
              <w:tabs>
                <w:tab w:val="left" w:pos="720"/>
                <w:tab w:val="center" w:pos="6930"/>
              </w:tabs>
              <w:spacing w:line="276" w:lineRule="auto"/>
              <w:rPr>
                <w:szCs w:val="24"/>
              </w:rPr>
            </w:pPr>
            <w:r w:rsidRPr="00D948C1">
              <w:rPr>
                <w:szCs w:val="24"/>
              </w:rPr>
              <w:t>Sub-total</w:t>
            </w:r>
          </w:p>
        </w:tc>
        <w:tc>
          <w:tcPr>
            <w:tcW w:w="1134" w:type="dxa"/>
            <w:vAlign w:val="center"/>
          </w:tcPr>
          <w:p w14:paraId="184CFDBE"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5CAF2FA6" w14:textId="6BF9D733" w:rsidR="0010066C" w:rsidRPr="00D948C1" w:rsidRDefault="0059772F" w:rsidP="006C0086">
            <w:pPr>
              <w:tabs>
                <w:tab w:val="decimal" w:pos="885"/>
              </w:tabs>
              <w:spacing w:line="276" w:lineRule="auto"/>
              <w:jc w:val="right"/>
              <w:rPr>
                <w:szCs w:val="24"/>
              </w:rPr>
            </w:pPr>
            <w:r w:rsidRPr="00D948C1">
              <w:rPr>
                <w:szCs w:val="24"/>
              </w:rPr>
              <w:t>2,958</w:t>
            </w:r>
          </w:p>
        </w:tc>
        <w:tc>
          <w:tcPr>
            <w:tcW w:w="1134" w:type="dxa"/>
            <w:vAlign w:val="center"/>
          </w:tcPr>
          <w:p w14:paraId="47C3D409"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3EAA4A37" w14:textId="3324A507" w:rsidR="0010066C" w:rsidRPr="00D948C1" w:rsidRDefault="0010066C" w:rsidP="006C0086">
            <w:pPr>
              <w:tabs>
                <w:tab w:val="decimal" w:pos="885"/>
              </w:tabs>
              <w:spacing w:line="276" w:lineRule="auto"/>
              <w:jc w:val="right"/>
              <w:rPr>
                <w:szCs w:val="24"/>
              </w:rPr>
            </w:pPr>
            <w:r w:rsidRPr="00D948C1">
              <w:rPr>
                <w:szCs w:val="24"/>
              </w:rPr>
              <w:t>3,303</w:t>
            </w:r>
          </w:p>
        </w:tc>
      </w:tr>
      <w:tr w:rsidR="0010066C" w:rsidRPr="00D948C1" w14:paraId="35225D5F" w14:textId="77777777" w:rsidTr="00C42769">
        <w:trPr>
          <w:trHeight w:hRule="exact" w:val="856"/>
        </w:trPr>
        <w:tc>
          <w:tcPr>
            <w:tcW w:w="4350" w:type="dxa"/>
          </w:tcPr>
          <w:p w14:paraId="3630F7FA" w14:textId="77777777" w:rsidR="0010066C" w:rsidRPr="00D948C1" w:rsidRDefault="0010066C" w:rsidP="006C0086">
            <w:pPr>
              <w:spacing w:line="276" w:lineRule="auto"/>
              <w:rPr>
                <w:rFonts w:cs="Arial"/>
                <w:szCs w:val="24"/>
              </w:rPr>
            </w:pPr>
            <w:r w:rsidRPr="00D948C1">
              <w:rPr>
                <w:rFonts w:cs="Arial"/>
                <w:szCs w:val="24"/>
              </w:rPr>
              <w:t>Disposal of assets via the Comprehensive Income &amp; Expenditure Statement</w:t>
            </w:r>
          </w:p>
        </w:tc>
        <w:tc>
          <w:tcPr>
            <w:tcW w:w="1134" w:type="dxa"/>
            <w:vAlign w:val="center"/>
          </w:tcPr>
          <w:p w14:paraId="0FA612DB"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712E17A6" w14:textId="3B5A8049" w:rsidR="0010066C" w:rsidRPr="00D948C1" w:rsidRDefault="0059772F" w:rsidP="006C0086">
            <w:pPr>
              <w:tabs>
                <w:tab w:val="decimal" w:pos="885"/>
              </w:tabs>
              <w:spacing w:line="276" w:lineRule="auto"/>
              <w:jc w:val="right"/>
              <w:rPr>
                <w:szCs w:val="24"/>
              </w:rPr>
            </w:pPr>
            <w:r w:rsidRPr="00D948C1">
              <w:rPr>
                <w:szCs w:val="24"/>
              </w:rPr>
              <w:t>48</w:t>
            </w:r>
          </w:p>
        </w:tc>
        <w:tc>
          <w:tcPr>
            <w:tcW w:w="1134" w:type="dxa"/>
            <w:vAlign w:val="center"/>
          </w:tcPr>
          <w:p w14:paraId="104E2F12"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538875F7" w14:textId="4BFA4947" w:rsidR="0010066C" w:rsidRPr="00D948C1" w:rsidRDefault="0010066C" w:rsidP="006C0086">
            <w:pPr>
              <w:tabs>
                <w:tab w:val="decimal" w:pos="885"/>
              </w:tabs>
              <w:spacing w:line="276" w:lineRule="auto"/>
              <w:jc w:val="right"/>
              <w:rPr>
                <w:szCs w:val="24"/>
              </w:rPr>
            </w:pPr>
            <w:r w:rsidRPr="00D948C1">
              <w:rPr>
                <w:szCs w:val="24"/>
              </w:rPr>
              <w:t>-</w:t>
            </w:r>
          </w:p>
        </w:tc>
      </w:tr>
      <w:tr w:rsidR="0010066C" w:rsidRPr="00D948C1" w14:paraId="5AEA2F21" w14:textId="77777777" w:rsidTr="00C42769">
        <w:trPr>
          <w:trHeight w:hRule="exact" w:val="624"/>
        </w:trPr>
        <w:tc>
          <w:tcPr>
            <w:tcW w:w="4350" w:type="dxa"/>
          </w:tcPr>
          <w:p w14:paraId="0264DAC9" w14:textId="77777777" w:rsidR="0010066C" w:rsidRPr="00D948C1" w:rsidRDefault="0010066C" w:rsidP="006C0086">
            <w:pPr>
              <w:spacing w:line="276" w:lineRule="auto"/>
              <w:rPr>
                <w:rFonts w:cs="Arial"/>
                <w:szCs w:val="24"/>
              </w:rPr>
            </w:pPr>
            <w:r w:rsidRPr="00D948C1">
              <w:rPr>
                <w:rFonts w:cs="Arial"/>
                <w:szCs w:val="24"/>
              </w:rPr>
              <w:t>Adjusting amounts written out of the Revaluation Reserve</w:t>
            </w:r>
          </w:p>
          <w:p w14:paraId="7229F941" w14:textId="77777777" w:rsidR="0010066C" w:rsidRPr="00D948C1" w:rsidRDefault="0010066C" w:rsidP="006C0086">
            <w:pPr>
              <w:tabs>
                <w:tab w:val="left" w:pos="720"/>
                <w:tab w:val="center" w:pos="6930"/>
              </w:tabs>
              <w:spacing w:line="276" w:lineRule="auto"/>
              <w:rPr>
                <w:szCs w:val="24"/>
              </w:rPr>
            </w:pPr>
          </w:p>
        </w:tc>
        <w:tc>
          <w:tcPr>
            <w:tcW w:w="1134" w:type="dxa"/>
            <w:vAlign w:val="center"/>
          </w:tcPr>
          <w:p w14:paraId="4F4C2136"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36A2E311" w14:textId="27E30B8C" w:rsidR="0010066C" w:rsidRPr="00D948C1" w:rsidRDefault="0010066C" w:rsidP="006C0086">
            <w:pPr>
              <w:tabs>
                <w:tab w:val="decimal" w:pos="885"/>
              </w:tabs>
              <w:spacing w:line="276" w:lineRule="auto"/>
              <w:jc w:val="right"/>
              <w:rPr>
                <w:szCs w:val="24"/>
              </w:rPr>
            </w:pPr>
            <w:r w:rsidRPr="00D948C1">
              <w:rPr>
                <w:szCs w:val="24"/>
              </w:rPr>
              <w:t>-</w:t>
            </w:r>
          </w:p>
        </w:tc>
        <w:tc>
          <w:tcPr>
            <w:tcW w:w="1134" w:type="dxa"/>
            <w:vAlign w:val="center"/>
          </w:tcPr>
          <w:p w14:paraId="21EDE3D6"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42C6AD11" w14:textId="57C5F9F3" w:rsidR="0010066C" w:rsidRPr="00D948C1" w:rsidRDefault="0010066C" w:rsidP="006C0086">
            <w:pPr>
              <w:tabs>
                <w:tab w:val="decimal" w:pos="885"/>
              </w:tabs>
              <w:spacing w:line="276" w:lineRule="auto"/>
              <w:jc w:val="right"/>
              <w:rPr>
                <w:szCs w:val="24"/>
              </w:rPr>
            </w:pPr>
            <w:r w:rsidRPr="00D948C1">
              <w:rPr>
                <w:szCs w:val="24"/>
              </w:rPr>
              <w:t>-</w:t>
            </w:r>
          </w:p>
        </w:tc>
      </w:tr>
      <w:tr w:rsidR="0010066C" w:rsidRPr="00D948C1" w14:paraId="1910D956" w14:textId="77777777" w:rsidTr="0059772F">
        <w:trPr>
          <w:trHeight w:hRule="exact" w:val="856"/>
        </w:trPr>
        <w:tc>
          <w:tcPr>
            <w:tcW w:w="4350" w:type="dxa"/>
          </w:tcPr>
          <w:p w14:paraId="651EE98A" w14:textId="77777777" w:rsidR="0010066C" w:rsidRPr="00D948C1" w:rsidRDefault="0010066C" w:rsidP="006C0086">
            <w:pPr>
              <w:tabs>
                <w:tab w:val="left" w:pos="720"/>
                <w:tab w:val="center" w:pos="6930"/>
              </w:tabs>
              <w:spacing w:line="276" w:lineRule="auto"/>
              <w:rPr>
                <w:szCs w:val="24"/>
              </w:rPr>
            </w:pPr>
            <w:r w:rsidRPr="00D948C1">
              <w:rPr>
                <w:szCs w:val="24"/>
              </w:rPr>
              <w:t>Net amount written out of the cost of non-current assets consumed in the year</w:t>
            </w:r>
          </w:p>
        </w:tc>
        <w:tc>
          <w:tcPr>
            <w:tcW w:w="1134" w:type="dxa"/>
            <w:vAlign w:val="center"/>
          </w:tcPr>
          <w:p w14:paraId="6DF24A31"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03152BB2" w14:textId="674C4648" w:rsidR="0010066C" w:rsidRPr="00D948C1" w:rsidRDefault="0010066C" w:rsidP="006C0086">
            <w:pPr>
              <w:tabs>
                <w:tab w:val="decimal" w:pos="885"/>
              </w:tabs>
              <w:spacing w:line="276" w:lineRule="auto"/>
              <w:jc w:val="right"/>
              <w:rPr>
                <w:szCs w:val="24"/>
              </w:rPr>
            </w:pPr>
            <w:r w:rsidRPr="00D948C1">
              <w:rPr>
                <w:szCs w:val="24"/>
              </w:rPr>
              <w:t>3,</w:t>
            </w:r>
            <w:r w:rsidR="0059772F" w:rsidRPr="00D948C1">
              <w:rPr>
                <w:szCs w:val="24"/>
              </w:rPr>
              <w:t>0</w:t>
            </w:r>
            <w:r w:rsidRPr="00D948C1">
              <w:rPr>
                <w:szCs w:val="24"/>
              </w:rPr>
              <w:t>0</w:t>
            </w:r>
            <w:r w:rsidR="0059772F" w:rsidRPr="00D948C1">
              <w:rPr>
                <w:szCs w:val="24"/>
              </w:rPr>
              <w:t>6</w:t>
            </w:r>
          </w:p>
        </w:tc>
        <w:tc>
          <w:tcPr>
            <w:tcW w:w="1134" w:type="dxa"/>
            <w:vAlign w:val="center"/>
          </w:tcPr>
          <w:p w14:paraId="5E3A02BC"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5FCB65E5" w14:textId="29A75F4B" w:rsidR="0010066C" w:rsidRPr="00D948C1" w:rsidRDefault="0010066C" w:rsidP="006C0086">
            <w:pPr>
              <w:tabs>
                <w:tab w:val="decimal" w:pos="885"/>
              </w:tabs>
              <w:spacing w:line="276" w:lineRule="auto"/>
              <w:jc w:val="right"/>
              <w:rPr>
                <w:szCs w:val="24"/>
              </w:rPr>
            </w:pPr>
            <w:r w:rsidRPr="00D948C1">
              <w:rPr>
                <w:szCs w:val="24"/>
              </w:rPr>
              <w:t>3,303</w:t>
            </w:r>
          </w:p>
        </w:tc>
      </w:tr>
    </w:tbl>
    <w:p w14:paraId="4A43E92F" w14:textId="77777777" w:rsidR="00EC3487" w:rsidRPr="00D948C1" w:rsidRDefault="00EC3487" w:rsidP="006C0086">
      <w:pPr>
        <w:spacing w:line="276" w:lineRule="auto"/>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982FEC" w:rsidRPr="00D948C1" w14:paraId="327BFF78" w14:textId="77777777" w:rsidTr="00982FEC">
        <w:trPr>
          <w:trHeight w:hRule="exact" w:val="300"/>
        </w:trPr>
        <w:tc>
          <w:tcPr>
            <w:tcW w:w="8886" w:type="dxa"/>
            <w:gridSpan w:val="5"/>
            <w:shd w:val="clear" w:color="auto" w:fill="D9D9D9" w:themeFill="background1" w:themeFillShade="D9"/>
          </w:tcPr>
          <w:p w14:paraId="5A9C1FC7" w14:textId="662BDBAE" w:rsidR="00982FEC" w:rsidRPr="00D948C1" w:rsidRDefault="00982FEC" w:rsidP="006C0086">
            <w:pPr>
              <w:tabs>
                <w:tab w:val="decimal" w:pos="885"/>
              </w:tabs>
              <w:spacing w:line="276" w:lineRule="auto"/>
              <w:rPr>
                <w:b/>
                <w:bCs/>
                <w:szCs w:val="24"/>
              </w:rPr>
            </w:pPr>
            <w:r w:rsidRPr="00D948C1">
              <w:rPr>
                <w:b/>
                <w:bCs/>
                <w:szCs w:val="24"/>
              </w:rPr>
              <w:t>Capital financing applied in the year:</w:t>
            </w:r>
          </w:p>
        </w:tc>
      </w:tr>
      <w:tr w:rsidR="0010066C" w:rsidRPr="00D948C1" w14:paraId="313618B4" w14:textId="77777777" w:rsidTr="00C42769">
        <w:trPr>
          <w:trHeight w:hRule="exact" w:val="624"/>
        </w:trPr>
        <w:tc>
          <w:tcPr>
            <w:tcW w:w="4350" w:type="dxa"/>
          </w:tcPr>
          <w:p w14:paraId="5A0460D4" w14:textId="5E467E9B" w:rsidR="0010066C" w:rsidRPr="00D948C1" w:rsidRDefault="00C42769" w:rsidP="006C0086">
            <w:pPr>
              <w:numPr>
                <w:ilvl w:val="0"/>
                <w:numId w:val="14"/>
              </w:numPr>
              <w:tabs>
                <w:tab w:val="center" w:pos="6930"/>
              </w:tabs>
              <w:spacing w:line="276" w:lineRule="auto"/>
              <w:rPr>
                <w:szCs w:val="24"/>
              </w:rPr>
            </w:pPr>
            <w:r>
              <w:rPr>
                <w:szCs w:val="24"/>
              </w:rPr>
              <w:t>Prior year financing of NWFC capital assets</w:t>
            </w:r>
          </w:p>
        </w:tc>
        <w:tc>
          <w:tcPr>
            <w:tcW w:w="1134" w:type="dxa"/>
            <w:vAlign w:val="center"/>
          </w:tcPr>
          <w:p w14:paraId="4D1B782B" w14:textId="78FAA6ED" w:rsidR="0010066C" w:rsidRPr="00D948C1" w:rsidRDefault="00C42769" w:rsidP="006C0086">
            <w:pPr>
              <w:tabs>
                <w:tab w:val="decimal" w:pos="885"/>
              </w:tabs>
              <w:spacing w:line="276" w:lineRule="auto"/>
              <w:jc w:val="right"/>
              <w:rPr>
                <w:szCs w:val="24"/>
              </w:rPr>
            </w:pPr>
            <w:r>
              <w:rPr>
                <w:szCs w:val="24"/>
              </w:rPr>
              <w:t>(751)</w:t>
            </w:r>
          </w:p>
        </w:tc>
        <w:tc>
          <w:tcPr>
            <w:tcW w:w="1134" w:type="dxa"/>
            <w:vAlign w:val="center"/>
          </w:tcPr>
          <w:p w14:paraId="31DDEAA8" w14:textId="77777777" w:rsidR="0010066C" w:rsidRPr="00D948C1" w:rsidRDefault="0010066C" w:rsidP="006C0086">
            <w:pPr>
              <w:tabs>
                <w:tab w:val="decimal" w:pos="885"/>
              </w:tabs>
              <w:spacing w:line="276" w:lineRule="auto"/>
              <w:jc w:val="right"/>
              <w:rPr>
                <w:szCs w:val="24"/>
              </w:rPr>
            </w:pPr>
          </w:p>
        </w:tc>
        <w:tc>
          <w:tcPr>
            <w:tcW w:w="1134" w:type="dxa"/>
            <w:vAlign w:val="center"/>
          </w:tcPr>
          <w:p w14:paraId="315F4844" w14:textId="5B75D5FA" w:rsidR="0010066C" w:rsidRPr="00D948C1" w:rsidRDefault="0010066C" w:rsidP="006C0086">
            <w:pPr>
              <w:tabs>
                <w:tab w:val="decimal" w:pos="885"/>
              </w:tabs>
              <w:spacing w:line="276" w:lineRule="auto"/>
              <w:jc w:val="right"/>
              <w:rPr>
                <w:szCs w:val="24"/>
              </w:rPr>
            </w:pPr>
            <w:r w:rsidRPr="00D948C1">
              <w:rPr>
                <w:szCs w:val="24"/>
              </w:rPr>
              <w:t>-</w:t>
            </w:r>
          </w:p>
        </w:tc>
        <w:tc>
          <w:tcPr>
            <w:tcW w:w="1134" w:type="dxa"/>
            <w:vAlign w:val="center"/>
          </w:tcPr>
          <w:p w14:paraId="2F642D99" w14:textId="77777777" w:rsidR="0010066C" w:rsidRPr="00D948C1" w:rsidRDefault="0010066C" w:rsidP="006C0086">
            <w:pPr>
              <w:tabs>
                <w:tab w:val="decimal" w:pos="885"/>
              </w:tabs>
              <w:spacing w:line="276" w:lineRule="auto"/>
              <w:jc w:val="right"/>
              <w:rPr>
                <w:szCs w:val="24"/>
              </w:rPr>
            </w:pPr>
          </w:p>
        </w:tc>
      </w:tr>
      <w:tr w:rsidR="0010066C" w:rsidRPr="00D948C1" w14:paraId="189BDEA3" w14:textId="77777777" w:rsidTr="00746F3D">
        <w:trPr>
          <w:trHeight w:hRule="exact" w:val="857"/>
        </w:trPr>
        <w:tc>
          <w:tcPr>
            <w:tcW w:w="4350" w:type="dxa"/>
          </w:tcPr>
          <w:p w14:paraId="035E8E3B" w14:textId="77777777" w:rsidR="0010066C" w:rsidRPr="00D948C1" w:rsidRDefault="0010066C" w:rsidP="006C0086">
            <w:pPr>
              <w:numPr>
                <w:ilvl w:val="0"/>
                <w:numId w:val="14"/>
              </w:numPr>
              <w:tabs>
                <w:tab w:val="center" w:pos="6930"/>
              </w:tabs>
              <w:spacing w:line="276" w:lineRule="auto"/>
              <w:rPr>
                <w:szCs w:val="24"/>
              </w:rPr>
            </w:pPr>
            <w:r w:rsidRPr="00D948C1">
              <w:rPr>
                <w:szCs w:val="24"/>
              </w:rPr>
              <w:t>Statutory provision for financing of capital investment charged against General Fund</w:t>
            </w:r>
          </w:p>
        </w:tc>
        <w:tc>
          <w:tcPr>
            <w:tcW w:w="1134" w:type="dxa"/>
            <w:vAlign w:val="center"/>
          </w:tcPr>
          <w:p w14:paraId="5D8322EE" w14:textId="3DC4C1DA" w:rsidR="0010066C" w:rsidRPr="00D948C1" w:rsidRDefault="0010066C" w:rsidP="006C0086">
            <w:pPr>
              <w:tabs>
                <w:tab w:val="decimal" w:pos="885"/>
              </w:tabs>
              <w:spacing w:line="276" w:lineRule="auto"/>
              <w:jc w:val="right"/>
              <w:rPr>
                <w:szCs w:val="24"/>
              </w:rPr>
            </w:pPr>
            <w:r w:rsidRPr="00D948C1">
              <w:rPr>
                <w:szCs w:val="24"/>
              </w:rPr>
              <w:t>(</w:t>
            </w:r>
            <w:r w:rsidR="00795FD2" w:rsidRPr="00D948C1">
              <w:rPr>
                <w:szCs w:val="24"/>
              </w:rPr>
              <w:t>51</w:t>
            </w:r>
            <w:r w:rsidRPr="00D948C1">
              <w:rPr>
                <w:szCs w:val="24"/>
              </w:rPr>
              <w:t>7)</w:t>
            </w:r>
          </w:p>
        </w:tc>
        <w:tc>
          <w:tcPr>
            <w:tcW w:w="1134" w:type="dxa"/>
            <w:vAlign w:val="center"/>
          </w:tcPr>
          <w:p w14:paraId="0ADFF8D4" w14:textId="77777777" w:rsidR="0010066C" w:rsidRPr="00D948C1" w:rsidRDefault="0010066C" w:rsidP="006C0086">
            <w:pPr>
              <w:tabs>
                <w:tab w:val="decimal" w:pos="885"/>
              </w:tabs>
              <w:spacing w:line="276" w:lineRule="auto"/>
              <w:jc w:val="right"/>
              <w:rPr>
                <w:szCs w:val="24"/>
              </w:rPr>
            </w:pPr>
          </w:p>
        </w:tc>
        <w:tc>
          <w:tcPr>
            <w:tcW w:w="1134" w:type="dxa"/>
            <w:vAlign w:val="center"/>
          </w:tcPr>
          <w:p w14:paraId="5736A2E2" w14:textId="2E7CAD3D" w:rsidR="0010066C" w:rsidRPr="00D948C1" w:rsidRDefault="0010066C" w:rsidP="006C0086">
            <w:pPr>
              <w:tabs>
                <w:tab w:val="decimal" w:pos="885"/>
              </w:tabs>
              <w:spacing w:line="276" w:lineRule="auto"/>
              <w:jc w:val="right"/>
              <w:rPr>
                <w:szCs w:val="24"/>
              </w:rPr>
            </w:pPr>
            <w:r w:rsidRPr="00D948C1">
              <w:rPr>
                <w:szCs w:val="24"/>
              </w:rPr>
              <w:t>(487)</w:t>
            </w:r>
          </w:p>
        </w:tc>
        <w:tc>
          <w:tcPr>
            <w:tcW w:w="1134" w:type="dxa"/>
            <w:vAlign w:val="center"/>
          </w:tcPr>
          <w:p w14:paraId="6613972F" w14:textId="77777777" w:rsidR="0010066C" w:rsidRPr="00D948C1" w:rsidRDefault="0010066C" w:rsidP="006C0086">
            <w:pPr>
              <w:tabs>
                <w:tab w:val="decimal" w:pos="885"/>
              </w:tabs>
              <w:spacing w:line="276" w:lineRule="auto"/>
              <w:jc w:val="right"/>
              <w:rPr>
                <w:szCs w:val="24"/>
              </w:rPr>
            </w:pPr>
          </w:p>
        </w:tc>
      </w:tr>
      <w:tr w:rsidR="0010066C" w:rsidRPr="00D948C1" w14:paraId="12070B1F" w14:textId="77777777" w:rsidTr="00746F3D">
        <w:trPr>
          <w:trHeight w:hRule="exact" w:val="624"/>
        </w:trPr>
        <w:tc>
          <w:tcPr>
            <w:tcW w:w="4350" w:type="dxa"/>
          </w:tcPr>
          <w:p w14:paraId="55969B01" w14:textId="77777777" w:rsidR="0010066C" w:rsidRPr="00D948C1" w:rsidRDefault="0010066C" w:rsidP="006C0086">
            <w:pPr>
              <w:numPr>
                <w:ilvl w:val="0"/>
                <w:numId w:val="14"/>
              </w:numPr>
              <w:tabs>
                <w:tab w:val="center" w:pos="6930"/>
              </w:tabs>
              <w:spacing w:line="276" w:lineRule="auto"/>
              <w:rPr>
                <w:szCs w:val="24"/>
              </w:rPr>
            </w:pPr>
            <w:r w:rsidRPr="00D948C1">
              <w:rPr>
                <w:szCs w:val="24"/>
              </w:rPr>
              <w:t>Use of capital reserves to fund expenditure</w:t>
            </w:r>
          </w:p>
          <w:p w14:paraId="0DC55281" w14:textId="77777777" w:rsidR="0010066C" w:rsidRPr="00D948C1" w:rsidRDefault="0010066C" w:rsidP="006C0086">
            <w:pPr>
              <w:tabs>
                <w:tab w:val="center" w:pos="6930"/>
              </w:tabs>
              <w:spacing w:line="276" w:lineRule="auto"/>
              <w:ind w:left="360"/>
              <w:rPr>
                <w:szCs w:val="24"/>
              </w:rPr>
            </w:pPr>
          </w:p>
        </w:tc>
        <w:tc>
          <w:tcPr>
            <w:tcW w:w="1134" w:type="dxa"/>
            <w:vAlign w:val="center"/>
          </w:tcPr>
          <w:p w14:paraId="65FAC9DF" w14:textId="115C1D33" w:rsidR="0010066C" w:rsidRPr="00D948C1" w:rsidRDefault="00795FD2" w:rsidP="006C0086">
            <w:pPr>
              <w:tabs>
                <w:tab w:val="decimal" w:pos="885"/>
              </w:tabs>
              <w:spacing w:line="276" w:lineRule="auto"/>
              <w:jc w:val="right"/>
              <w:rPr>
                <w:szCs w:val="24"/>
              </w:rPr>
            </w:pPr>
            <w:r w:rsidRPr="00D948C1">
              <w:rPr>
                <w:szCs w:val="24"/>
              </w:rPr>
              <w:t>(1,</w:t>
            </w:r>
            <w:r w:rsidR="00CE3603" w:rsidRPr="00D948C1">
              <w:rPr>
                <w:szCs w:val="24"/>
              </w:rPr>
              <w:t>63</w:t>
            </w:r>
            <w:r w:rsidRPr="00D948C1">
              <w:rPr>
                <w:szCs w:val="24"/>
              </w:rPr>
              <w:t>7)</w:t>
            </w:r>
          </w:p>
        </w:tc>
        <w:tc>
          <w:tcPr>
            <w:tcW w:w="1134" w:type="dxa"/>
            <w:vAlign w:val="center"/>
          </w:tcPr>
          <w:p w14:paraId="611F53E4" w14:textId="77777777" w:rsidR="0010066C" w:rsidRPr="00D948C1" w:rsidRDefault="0010066C" w:rsidP="006C0086">
            <w:pPr>
              <w:tabs>
                <w:tab w:val="decimal" w:pos="885"/>
              </w:tabs>
              <w:spacing w:line="276" w:lineRule="auto"/>
              <w:jc w:val="right"/>
              <w:rPr>
                <w:szCs w:val="24"/>
              </w:rPr>
            </w:pPr>
          </w:p>
        </w:tc>
        <w:tc>
          <w:tcPr>
            <w:tcW w:w="1134" w:type="dxa"/>
            <w:vAlign w:val="center"/>
          </w:tcPr>
          <w:p w14:paraId="456CE863" w14:textId="27123DC5" w:rsidR="0010066C" w:rsidRPr="00D948C1" w:rsidRDefault="0010066C" w:rsidP="006C0086">
            <w:pPr>
              <w:tabs>
                <w:tab w:val="decimal" w:pos="885"/>
              </w:tabs>
              <w:spacing w:line="276" w:lineRule="auto"/>
              <w:jc w:val="right"/>
              <w:rPr>
                <w:szCs w:val="24"/>
              </w:rPr>
            </w:pPr>
            <w:r w:rsidRPr="00D948C1">
              <w:rPr>
                <w:szCs w:val="24"/>
              </w:rPr>
              <w:t>-</w:t>
            </w:r>
          </w:p>
        </w:tc>
        <w:tc>
          <w:tcPr>
            <w:tcW w:w="1134" w:type="dxa"/>
            <w:vAlign w:val="center"/>
          </w:tcPr>
          <w:p w14:paraId="7E1BF806" w14:textId="77777777" w:rsidR="0010066C" w:rsidRPr="00D948C1" w:rsidRDefault="0010066C" w:rsidP="006C0086">
            <w:pPr>
              <w:tabs>
                <w:tab w:val="decimal" w:pos="885"/>
              </w:tabs>
              <w:spacing w:line="276" w:lineRule="auto"/>
              <w:jc w:val="right"/>
              <w:rPr>
                <w:szCs w:val="24"/>
              </w:rPr>
            </w:pPr>
          </w:p>
        </w:tc>
      </w:tr>
      <w:tr w:rsidR="0010066C" w:rsidRPr="00D948C1" w14:paraId="4188D6D4" w14:textId="77777777" w:rsidTr="00C42769">
        <w:trPr>
          <w:trHeight w:hRule="exact" w:val="624"/>
        </w:trPr>
        <w:tc>
          <w:tcPr>
            <w:tcW w:w="4350" w:type="dxa"/>
          </w:tcPr>
          <w:p w14:paraId="71E5B69C" w14:textId="77777777" w:rsidR="0010066C" w:rsidRPr="00D948C1" w:rsidRDefault="0010066C" w:rsidP="006C0086">
            <w:pPr>
              <w:numPr>
                <w:ilvl w:val="0"/>
                <w:numId w:val="14"/>
              </w:numPr>
              <w:tabs>
                <w:tab w:val="center" w:pos="6930"/>
              </w:tabs>
              <w:spacing w:line="276" w:lineRule="auto"/>
              <w:rPr>
                <w:szCs w:val="24"/>
              </w:rPr>
            </w:pPr>
            <w:r w:rsidRPr="00D948C1">
              <w:rPr>
                <w:szCs w:val="24"/>
              </w:rPr>
              <w:t>Capital expenditure charged to General Fund Balance</w:t>
            </w:r>
          </w:p>
        </w:tc>
        <w:tc>
          <w:tcPr>
            <w:tcW w:w="1134" w:type="dxa"/>
            <w:vAlign w:val="center"/>
          </w:tcPr>
          <w:p w14:paraId="149B6926" w14:textId="159A7E18" w:rsidR="0010066C" w:rsidRPr="00D948C1" w:rsidRDefault="0010066C" w:rsidP="006C0086">
            <w:pPr>
              <w:tabs>
                <w:tab w:val="decimal" w:pos="885"/>
              </w:tabs>
              <w:spacing w:line="276" w:lineRule="auto"/>
              <w:jc w:val="right"/>
              <w:rPr>
                <w:szCs w:val="24"/>
              </w:rPr>
            </w:pPr>
            <w:r w:rsidRPr="00D948C1">
              <w:rPr>
                <w:szCs w:val="24"/>
              </w:rPr>
              <w:t>(</w:t>
            </w:r>
            <w:r w:rsidR="00795FD2" w:rsidRPr="00D948C1">
              <w:rPr>
                <w:szCs w:val="24"/>
              </w:rPr>
              <w:t>4,437</w:t>
            </w:r>
            <w:r w:rsidRPr="00D948C1">
              <w:rPr>
                <w:szCs w:val="24"/>
              </w:rPr>
              <w:t>)</w:t>
            </w:r>
          </w:p>
        </w:tc>
        <w:tc>
          <w:tcPr>
            <w:tcW w:w="1134" w:type="dxa"/>
            <w:vAlign w:val="center"/>
          </w:tcPr>
          <w:p w14:paraId="291D8EA1" w14:textId="77777777" w:rsidR="0010066C" w:rsidRPr="00D948C1" w:rsidRDefault="0010066C" w:rsidP="006C0086">
            <w:pPr>
              <w:tabs>
                <w:tab w:val="decimal" w:pos="885"/>
              </w:tabs>
              <w:spacing w:line="276" w:lineRule="auto"/>
              <w:jc w:val="right"/>
              <w:rPr>
                <w:szCs w:val="24"/>
              </w:rPr>
            </w:pPr>
          </w:p>
        </w:tc>
        <w:tc>
          <w:tcPr>
            <w:tcW w:w="1134" w:type="dxa"/>
            <w:vAlign w:val="center"/>
          </w:tcPr>
          <w:p w14:paraId="7CC9450F" w14:textId="66752350" w:rsidR="0010066C" w:rsidRPr="00D948C1" w:rsidRDefault="0010066C" w:rsidP="006C0086">
            <w:pPr>
              <w:tabs>
                <w:tab w:val="decimal" w:pos="885"/>
              </w:tabs>
              <w:spacing w:line="276" w:lineRule="auto"/>
              <w:jc w:val="right"/>
              <w:rPr>
                <w:szCs w:val="24"/>
              </w:rPr>
            </w:pPr>
            <w:r w:rsidRPr="00D948C1">
              <w:rPr>
                <w:szCs w:val="24"/>
              </w:rPr>
              <w:t>(1,628)</w:t>
            </w:r>
          </w:p>
        </w:tc>
        <w:tc>
          <w:tcPr>
            <w:tcW w:w="1134" w:type="dxa"/>
            <w:vAlign w:val="center"/>
          </w:tcPr>
          <w:p w14:paraId="506B5AD7" w14:textId="77777777" w:rsidR="0010066C" w:rsidRPr="00D948C1" w:rsidRDefault="0010066C" w:rsidP="006C0086">
            <w:pPr>
              <w:tabs>
                <w:tab w:val="decimal" w:pos="885"/>
              </w:tabs>
              <w:spacing w:line="276" w:lineRule="auto"/>
              <w:jc w:val="right"/>
              <w:rPr>
                <w:szCs w:val="24"/>
              </w:rPr>
            </w:pPr>
          </w:p>
        </w:tc>
      </w:tr>
      <w:tr w:rsidR="0010066C" w:rsidRPr="00D948C1" w14:paraId="7E89F1CC" w14:textId="77777777" w:rsidTr="00C42769">
        <w:trPr>
          <w:trHeight w:hRule="exact" w:val="300"/>
        </w:trPr>
        <w:tc>
          <w:tcPr>
            <w:tcW w:w="4350" w:type="dxa"/>
          </w:tcPr>
          <w:p w14:paraId="39A64BFF" w14:textId="50286463" w:rsidR="0010066C" w:rsidRPr="00D948C1" w:rsidRDefault="0010066C" w:rsidP="006C0086">
            <w:pPr>
              <w:tabs>
                <w:tab w:val="left" w:pos="720"/>
                <w:tab w:val="center" w:pos="6930"/>
              </w:tabs>
              <w:spacing w:line="276" w:lineRule="auto"/>
              <w:rPr>
                <w:szCs w:val="24"/>
              </w:rPr>
            </w:pPr>
            <w:r w:rsidRPr="00D948C1">
              <w:rPr>
                <w:szCs w:val="24"/>
              </w:rPr>
              <w:t>Sub-total</w:t>
            </w:r>
          </w:p>
        </w:tc>
        <w:tc>
          <w:tcPr>
            <w:tcW w:w="1134" w:type="dxa"/>
            <w:vAlign w:val="center"/>
          </w:tcPr>
          <w:p w14:paraId="3BBE4C54"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0E83126D" w14:textId="0BF6AEF8" w:rsidR="0010066C" w:rsidRPr="00D948C1" w:rsidRDefault="0010066C" w:rsidP="006C0086">
            <w:pPr>
              <w:tabs>
                <w:tab w:val="decimal" w:pos="885"/>
              </w:tabs>
              <w:spacing w:line="276" w:lineRule="auto"/>
              <w:jc w:val="right"/>
              <w:rPr>
                <w:szCs w:val="24"/>
              </w:rPr>
            </w:pPr>
            <w:r w:rsidRPr="00D948C1">
              <w:rPr>
                <w:szCs w:val="24"/>
              </w:rPr>
              <w:t>(</w:t>
            </w:r>
            <w:r w:rsidR="00795FD2" w:rsidRPr="00D948C1">
              <w:rPr>
                <w:szCs w:val="24"/>
              </w:rPr>
              <w:t>6</w:t>
            </w:r>
            <w:r w:rsidRPr="00D948C1">
              <w:rPr>
                <w:szCs w:val="24"/>
              </w:rPr>
              <w:t>,</w:t>
            </w:r>
            <w:r w:rsidR="00795FD2" w:rsidRPr="00D948C1">
              <w:rPr>
                <w:szCs w:val="24"/>
              </w:rPr>
              <w:t>5</w:t>
            </w:r>
            <w:r w:rsidR="008F6F5D" w:rsidRPr="00D948C1">
              <w:rPr>
                <w:szCs w:val="24"/>
              </w:rPr>
              <w:t>9</w:t>
            </w:r>
            <w:r w:rsidR="00795FD2" w:rsidRPr="00D948C1">
              <w:rPr>
                <w:szCs w:val="24"/>
              </w:rPr>
              <w:t>1</w:t>
            </w:r>
            <w:r w:rsidRPr="00D948C1">
              <w:rPr>
                <w:szCs w:val="24"/>
              </w:rPr>
              <w:t>)</w:t>
            </w:r>
          </w:p>
        </w:tc>
        <w:tc>
          <w:tcPr>
            <w:tcW w:w="1134" w:type="dxa"/>
            <w:vAlign w:val="center"/>
          </w:tcPr>
          <w:p w14:paraId="5566A641"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5E04F077" w14:textId="2D279B54" w:rsidR="0010066C" w:rsidRPr="00D948C1" w:rsidRDefault="0010066C" w:rsidP="006C0086">
            <w:pPr>
              <w:tabs>
                <w:tab w:val="decimal" w:pos="885"/>
              </w:tabs>
              <w:spacing w:line="276" w:lineRule="auto"/>
              <w:jc w:val="right"/>
              <w:rPr>
                <w:szCs w:val="24"/>
              </w:rPr>
            </w:pPr>
            <w:r w:rsidRPr="00D948C1">
              <w:rPr>
                <w:szCs w:val="24"/>
              </w:rPr>
              <w:t>(2,115)</w:t>
            </w:r>
          </w:p>
        </w:tc>
      </w:tr>
      <w:tr w:rsidR="0010066C" w:rsidRPr="00D948C1" w14:paraId="57B5CB58" w14:textId="77777777" w:rsidTr="00746F3D">
        <w:trPr>
          <w:trHeight w:hRule="exact" w:val="300"/>
        </w:trPr>
        <w:tc>
          <w:tcPr>
            <w:tcW w:w="4350" w:type="dxa"/>
          </w:tcPr>
          <w:p w14:paraId="0D0E26E2"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as </w:t>
            </w:r>
            <w:proofErr w:type="gramStart"/>
            <w:r w:rsidRPr="00D948C1">
              <w:rPr>
                <w:szCs w:val="24"/>
              </w:rPr>
              <w:t>at</w:t>
            </w:r>
            <w:proofErr w:type="gramEnd"/>
            <w:r w:rsidRPr="00D948C1">
              <w:rPr>
                <w:szCs w:val="24"/>
              </w:rPr>
              <w:t xml:space="preserve"> 31 March</w:t>
            </w:r>
          </w:p>
        </w:tc>
        <w:tc>
          <w:tcPr>
            <w:tcW w:w="1134" w:type="dxa"/>
            <w:vAlign w:val="center"/>
          </w:tcPr>
          <w:p w14:paraId="72F664AB"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7180F9A4" w14:textId="7BB67745" w:rsidR="0010066C" w:rsidRPr="00D948C1" w:rsidRDefault="0010066C" w:rsidP="006C0086">
            <w:pPr>
              <w:tabs>
                <w:tab w:val="decimal" w:pos="885"/>
              </w:tabs>
              <w:spacing w:line="276" w:lineRule="auto"/>
              <w:jc w:val="right"/>
              <w:rPr>
                <w:szCs w:val="24"/>
              </w:rPr>
            </w:pPr>
            <w:r w:rsidRPr="00D948C1">
              <w:rPr>
                <w:szCs w:val="24"/>
              </w:rPr>
              <w:t>(</w:t>
            </w:r>
            <w:r w:rsidR="00795FD2" w:rsidRPr="00D948C1">
              <w:rPr>
                <w:szCs w:val="24"/>
              </w:rPr>
              <w:t>41</w:t>
            </w:r>
            <w:r w:rsidRPr="00D948C1">
              <w:rPr>
                <w:szCs w:val="24"/>
              </w:rPr>
              <w:t>,</w:t>
            </w:r>
            <w:r w:rsidR="00CF7C24" w:rsidRPr="00D948C1">
              <w:rPr>
                <w:szCs w:val="24"/>
              </w:rPr>
              <w:t>86</w:t>
            </w:r>
            <w:r w:rsidR="00795FD2" w:rsidRPr="00D948C1">
              <w:rPr>
                <w:szCs w:val="24"/>
              </w:rPr>
              <w:t>6</w:t>
            </w:r>
            <w:r w:rsidRPr="00D948C1">
              <w:rPr>
                <w:szCs w:val="24"/>
              </w:rPr>
              <w:t>)</w:t>
            </w:r>
          </w:p>
        </w:tc>
        <w:tc>
          <w:tcPr>
            <w:tcW w:w="1134" w:type="dxa"/>
            <w:vAlign w:val="center"/>
          </w:tcPr>
          <w:p w14:paraId="7BF5FCCA" w14:textId="77777777" w:rsidR="0010066C" w:rsidRPr="00D948C1" w:rsidRDefault="0010066C" w:rsidP="006C0086">
            <w:pPr>
              <w:tabs>
                <w:tab w:val="decimal" w:pos="1080"/>
              </w:tabs>
              <w:spacing w:line="276" w:lineRule="auto"/>
              <w:jc w:val="right"/>
              <w:rPr>
                <w:szCs w:val="24"/>
              </w:rPr>
            </w:pPr>
          </w:p>
        </w:tc>
        <w:tc>
          <w:tcPr>
            <w:tcW w:w="1134" w:type="dxa"/>
            <w:vAlign w:val="center"/>
          </w:tcPr>
          <w:p w14:paraId="26EFC719" w14:textId="0BF0CC3E" w:rsidR="0010066C" w:rsidRPr="00D948C1" w:rsidRDefault="0010066C" w:rsidP="006C0086">
            <w:pPr>
              <w:tabs>
                <w:tab w:val="decimal" w:pos="885"/>
              </w:tabs>
              <w:spacing w:line="276" w:lineRule="auto"/>
              <w:jc w:val="right"/>
              <w:rPr>
                <w:szCs w:val="24"/>
              </w:rPr>
            </w:pPr>
            <w:r w:rsidRPr="00D948C1">
              <w:rPr>
                <w:szCs w:val="24"/>
              </w:rPr>
              <w:t>(38,281)</w:t>
            </w:r>
          </w:p>
        </w:tc>
      </w:tr>
    </w:tbl>
    <w:p w14:paraId="7446D0D2" w14:textId="77777777" w:rsidR="004B46CF" w:rsidRPr="00D948C1" w:rsidRDefault="00D90216" w:rsidP="006C0086">
      <w:pPr>
        <w:spacing w:line="276" w:lineRule="auto"/>
        <w:rPr>
          <w:b/>
          <w:sz w:val="22"/>
        </w:rPr>
      </w:pPr>
      <w:r w:rsidRPr="00D948C1">
        <w:rPr>
          <w:b/>
          <w:sz w:val="22"/>
        </w:rPr>
        <w:tab/>
      </w:r>
    </w:p>
    <w:p w14:paraId="5BC61108" w14:textId="77777777" w:rsidR="00D90216" w:rsidRPr="00D948C1" w:rsidRDefault="006F0BBE" w:rsidP="006C0086">
      <w:pPr>
        <w:spacing w:line="276" w:lineRule="auto"/>
        <w:ind w:left="709"/>
        <w:rPr>
          <w:b/>
          <w:szCs w:val="24"/>
        </w:rPr>
      </w:pPr>
      <w:r w:rsidRPr="00D948C1">
        <w:rPr>
          <w:b/>
          <w:sz w:val="22"/>
        </w:rPr>
        <w:br w:type="page"/>
      </w:r>
      <w:r w:rsidR="00D90216" w:rsidRPr="00D948C1">
        <w:rPr>
          <w:b/>
          <w:szCs w:val="24"/>
        </w:rPr>
        <w:lastRenderedPageBreak/>
        <w:t>Pensions Reserve</w:t>
      </w:r>
    </w:p>
    <w:p w14:paraId="58884CC7" w14:textId="77777777" w:rsidR="00D90216" w:rsidRPr="00D948C1" w:rsidRDefault="00D90216" w:rsidP="006C0086">
      <w:pPr>
        <w:spacing w:line="276" w:lineRule="auto"/>
        <w:ind w:left="709"/>
        <w:rPr>
          <w:szCs w:val="24"/>
        </w:rPr>
      </w:pPr>
    </w:p>
    <w:p w14:paraId="7FF64535" w14:textId="4AE059EC" w:rsidR="00D90216" w:rsidRPr="00D948C1" w:rsidRDefault="00D90216" w:rsidP="006C0086">
      <w:pPr>
        <w:spacing w:line="276" w:lineRule="auto"/>
        <w:ind w:left="709"/>
        <w:rPr>
          <w:szCs w:val="24"/>
        </w:rPr>
      </w:pPr>
      <w:r w:rsidRPr="00D948C1">
        <w:rPr>
          <w:szCs w:val="24"/>
        </w:rPr>
        <w:t xml:space="preserve">The Pensions Reserve absorbs the timing differences arising from the different arrangements for accounting for </w:t>
      </w:r>
      <w:proofErr w:type="spellStart"/>
      <w:r w:rsidRPr="00D948C1">
        <w:rPr>
          <w:szCs w:val="24"/>
        </w:rPr>
        <w:t>post employment</w:t>
      </w:r>
      <w:proofErr w:type="spellEnd"/>
      <w:r w:rsidRPr="00D948C1">
        <w:rPr>
          <w:szCs w:val="24"/>
        </w:rPr>
        <w:t xml:space="preserve"> benefits and for funding benefits in accordance with statutory provisions.</w:t>
      </w:r>
      <w:r w:rsidR="009D6B29" w:rsidRPr="00D948C1">
        <w:rPr>
          <w:szCs w:val="24"/>
        </w:rPr>
        <w:t xml:space="preserve"> The reserve relates to both the </w:t>
      </w:r>
      <w:r w:rsidR="000C0FF2" w:rsidRPr="00D948C1">
        <w:rPr>
          <w:szCs w:val="24"/>
        </w:rPr>
        <w:t xml:space="preserve">Local Government Pension Scheme </w:t>
      </w:r>
      <w:r w:rsidR="009D6B29" w:rsidRPr="00D948C1">
        <w:rPr>
          <w:szCs w:val="24"/>
        </w:rPr>
        <w:t>and Firefighters pension schemes, and the large negative value of the reserve reflects the unfunded nature of the Firefighters pension scheme.</w:t>
      </w:r>
    </w:p>
    <w:p w14:paraId="25C9F712" w14:textId="77777777" w:rsidR="00D90216" w:rsidRPr="00D948C1" w:rsidRDefault="00D90216" w:rsidP="006C0086">
      <w:pPr>
        <w:spacing w:line="276" w:lineRule="auto"/>
        <w:ind w:left="709"/>
        <w:jc w:val="both"/>
        <w:rPr>
          <w:szCs w:val="24"/>
        </w:rPr>
      </w:pPr>
    </w:p>
    <w:tbl>
      <w:tblPr>
        <w:tblW w:w="87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57"/>
        <w:gridCol w:w="1533"/>
      </w:tblGrid>
      <w:tr w:rsidR="001931F4" w:rsidRPr="00D948C1" w14:paraId="5629D355" w14:textId="77777777" w:rsidTr="00611673">
        <w:trPr>
          <w:trHeight w:hRule="exact" w:val="592"/>
        </w:trPr>
        <w:tc>
          <w:tcPr>
            <w:tcW w:w="5670" w:type="dxa"/>
            <w:shd w:val="clear" w:color="auto" w:fill="BD2716"/>
          </w:tcPr>
          <w:p w14:paraId="501827E8" w14:textId="399F11EA" w:rsidR="001931F4" w:rsidRPr="00D948C1" w:rsidRDefault="001931F4" w:rsidP="006C0086">
            <w:pPr>
              <w:tabs>
                <w:tab w:val="left" w:pos="720"/>
                <w:tab w:val="center" w:pos="6930"/>
              </w:tabs>
              <w:spacing w:line="276" w:lineRule="auto"/>
              <w:rPr>
                <w:color w:val="FFFFFF" w:themeColor="background1"/>
                <w:szCs w:val="24"/>
              </w:rPr>
            </w:pPr>
          </w:p>
        </w:tc>
        <w:tc>
          <w:tcPr>
            <w:tcW w:w="1557" w:type="dxa"/>
            <w:shd w:val="clear" w:color="auto" w:fill="BD2716"/>
            <w:vAlign w:val="center"/>
          </w:tcPr>
          <w:p w14:paraId="4B88BABD" w14:textId="18F105DB" w:rsidR="001931F4" w:rsidRPr="00D948C1" w:rsidRDefault="001931F4" w:rsidP="006C0086">
            <w:pPr>
              <w:spacing w:line="276" w:lineRule="auto"/>
              <w:jc w:val="right"/>
              <w:rPr>
                <w:color w:val="FFFFFF" w:themeColor="background1"/>
                <w:szCs w:val="24"/>
              </w:rPr>
            </w:pPr>
            <w:r w:rsidRPr="00D948C1">
              <w:rPr>
                <w:color w:val="FFFFFF" w:themeColor="background1"/>
                <w:szCs w:val="24"/>
              </w:rPr>
              <w:t>202</w:t>
            </w:r>
            <w:r w:rsidR="0010066C" w:rsidRPr="00D948C1">
              <w:rPr>
                <w:color w:val="FFFFFF" w:themeColor="background1"/>
                <w:szCs w:val="24"/>
              </w:rPr>
              <w:t>3</w:t>
            </w:r>
            <w:r w:rsidRPr="00D948C1">
              <w:rPr>
                <w:color w:val="FFFFFF" w:themeColor="background1"/>
                <w:szCs w:val="24"/>
              </w:rPr>
              <w:t>/2</w:t>
            </w:r>
            <w:r w:rsidR="0010066C" w:rsidRPr="00D948C1">
              <w:rPr>
                <w:color w:val="FFFFFF" w:themeColor="background1"/>
                <w:szCs w:val="24"/>
              </w:rPr>
              <w:t>4</w:t>
            </w:r>
          </w:p>
          <w:p w14:paraId="49BFDC3A" w14:textId="3F57E58A" w:rsidR="00021F7E" w:rsidRPr="00D948C1" w:rsidRDefault="00021F7E" w:rsidP="006C0086">
            <w:pPr>
              <w:spacing w:line="276" w:lineRule="auto"/>
              <w:jc w:val="right"/>
              <w:rPr>
                <w:color w:val="FFFFFF" w:themeColor="background1"/>
                <w:szCs w:val="24"/>
              </w:rPr>
            </w:pPr>
            <w:r w:rsidRPr="00D948C1">
              <w:rPr>
                <w:color w:val="FFFFFF" w:themeColor="background1"/>
                <w:szCs w:val="24"/>
              </w:rPr>
              <w:t>£000</w:t>
            </w:r>
          </w:p>
        </w:tc>
        <w:tc>
          <w:tcPr>
            <w:tcW w:w="1533" w:type="dxa"/>
            <w:shd w:val="clear" w:color="auto" w:fill="BD2716"/>
            <w:vAlign w:val="center"/>
          </w:tcPr>
          <w:p w14:paraId="69FCCB75" w14:textId="01FE49EE" w:rsidR="001931F4" w:rsidRPr="00D948C1" w:rsidRDefault="001931F4" w:rsidP="006C0086">
            <w:pPr>
              <w:spacing w:line="276" w:lineRule="auto"/>
              <w:jc w:val="right"/>
              <w:rPr>
                <w:color w:val="FFFFFF" w:themeColor="background1"/>
                <w:szCs w:val="24"/>
              </w:rPr>
            </w:pPr>
            <w:r w:rsidRPr="00D948C1">
              <w:rPr>
                <w:color w:val="FFFFFF" w:themeColor="background1"/>
                <w:szCs w:val="24"/>
              </w:rPr>
              <w:t>202</w:t>
            </w:r>
            <w:r w:rsidR="0010066C" w:rsidRPr="00D948C1">
              <w:rPr>
                <w:color w:val="FFFFFF" w:themeColor="background1"/>
                <w:szCs w:val="24"/>
              </w:rPr>
              <w:t>2</w:t>
            </w:r>
            <w:r w:rsidRPr="00D948C1">
              <w:rPr>
                <w:color w:val="FFFFFF" w:themeColor="background1"/>
                <w:szCs w:val="24"/>
              </w:rPr>
              <w:t>/2</w:t>
            </w:r>
            <w:r w:rsidR="0010066C" w:rsidRPr="00D948C1">
              <w:rPr>
                <w:color w:val="FFFFFF" w:themeColor="background1"/>
                <w:szCs w:val="24"/>
              </w:rPr>
              <w:t>3</w:t>
            </w:r>
          </w:p>
          <w:p w14:paraId="0A3F2DF6" w14:textId="6C9E0A0F" w:rsidR="00021F7E" w:rsidRPr="00D948C1" w:rsidRDefault="00021F7E"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36094802" w14:textId="77777777" w:rsidTr="003572E5">
        <w:trPr>
          <w:trHeight w:hRule="exact" w:val="278"/>
        </w:trPr>
        <w:tc>
          <w:tcPr>
            <w:tcW w:w="5670" w:type="dxa"/>
          </w:tcPr>
          <w:p w14:paraId="60D97D57" w14:textId="77777777"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557" w:type="dxa"/>
            <w:vAlign w:val="center"/>
          </w:tcPr>
          <w:p w14:paraId="12AA4F72" w14:textId="44442FA3" w:rsidR="0010066C" w:rsidRPr="00D948C1" w:rsidRDefault="0010066C" w:rsidP="006C0086">
            <w:pPr>
              <w:tabs>
                <w:tab w:val="decimal" w:pos="885"/>
              </w:tabs>
              <w:spacing w:line="276" w:lineRule="auto"/>
              <w:jc w:val="right"/>
              <w:rPr>
                <w:szCs w:val="24"/>
              </w:rPr>
            </w:pPr>
            <w:r w:rsidRPr="00D948C1">
              <w:rPr>
                <w:szCs w:val="24"/>
              </w:rPr>
              <w:t>651,536</w:t>
            </w:r>
          </w:p>
        </w:tc>
        <w:tc>
          <w:tcPr>
            <w:tcW w:w="1533" w:type="dxa"/>
            <w:vAlign w:val="center"/>
          </w:tcPr>
          <w:p w14:paraId="7B40B3BF" w14:textId="31CD310B" w:rsidR="0010066C" w:rsidRPr="00D948C1" w:rsidRDefault="0010066C" w:rsidP="006C0086">
            <w:pPr>
              <w:tabs>
                <w:tab w:val="decimal" w:pos="885"/>
              </w:tabs>
              <w:spacing w:line="276" w:lineRule="auto"/>
              <w:jc w:val="right"/>
              <w:rPr>
                <w:szCs w:val="24"/>
              </w:rPr>
            </w:pPr>
            <w:r w:rsidRPr="00D948C1">
              <w:rPr>
                <w:szCs w:val="24"/>
              </w:rPr>
              <w:t>883,434</w:t>
            </w:r>
          </w:p>
        </w:tc>
      </w:tr>
      <w:tr w:rsidR="0010066C" w:rsidRPr="00D948C1" w14:paraId="2709258F" w14:textId="77777777" w:rsidTr="003572E5">
        <w:trPr>
          <w:trHeight w:hRule="exact" w:val="556"/>
        </w:trPr>
        <w:tc>
          <w:tcPr>
            <w:tcW w:w="5670" w:type="dxa"/>
            <w:vAlign w:val="bottom"/>
          </w:tcPr>
          <w:p w14:paraId="1D1C51F1" w14:textId="77777777" w:rsidR="0010066C" w:rsidRPr="00D948C1" w:rsidRDefault="0010066C" w:rsidP="006C0086">
            <w:pPr>
              <w:spacing w:line="276" w:lineRule="auto"/>
              <w:rPr>
                <w:rFonts w:cs="Arial"/>
                <w:szCs w:val="24"/>
              </w:rPr>
            </w:pPr>
            <w:r w:rsidRPr="00D948C1">
              <w:rPr>
                <w:rFonts w:cs="Arial"/>
                <w:szCs w:val="24"/>
              </w:rPr>
              <w:t>Actuarial (gains) or losses on pensions assets and liabilities</w:t>
            </w:r>
          </w:p>
        </w:tc>
        <w:tc>
          <w:tcPr>
            <w:tcW w:w="1557" w:type="dxa"/>
            <w:vAlign w:val="center"/>
          </w:tcPr>
          <w:p w14:paraId="62803C87" w14:textId="0A3F763E" w:rsidR="0010066C" w:rsidRPr="00D948C1" w:rsidRDefault="00010C11" w:rsidP="006C0086">
            <w:pPr>
              <w:tabs>
                <w:tab w:val="decimal" w:pos="885"/>
              </w:tabs>
              <w:spacing w:line="276" w:lineRule="auto"/>
              <w:jc w:val="right"/>
              <w:rPr>
                <w:szCs w:val="24"/>
              </w:rPr>
            </w:pPr>
            <w:r w:rsidRPr="00D948C1">
              <w:rPr>
                <w:szCs w:val="24"/>
              </w:rPr>
              <w:t>(4,170)</w:t>
            </w:r>
          </w:p>
        </w:tc>
        <w:tc>
          <w:tcPr>
            <w:tcW w:w="1533" w:type="dxa"/>
            <w:vAlign w:val="center"/>
          </w:tcPr>
          <w:p w14:paraId="3DDB4016" w14:textId="3901688A" w:rsidR="0010066C" w:rsidRPr="00D948C1" w:rsidRDefault="0010066C" w:rsidP="006C0086">
            <w:pPr>
              <w:tabs>
                <w:tab w:val="decimal" w:pos="885"/>
              </w:tabs>
              <w:spacing w:line="276" w:lineRule="auto"/>
              <w:jc w:val="right"/>
              <w:rPr>
                <w:szCs w:val="24"/>
              </w:rPr>
            </w:pPr>
            <w:r w:rsidRPr="00D948C1">
              <w:rPr>
                <w:szCs w:val="24"/>
              </w:rPr>
              <w:t>(244,777)</w:t>
            </w:r>
          </w:p>
        </w:tc>
      </w:tr>
      <w:tr w:rsidR="0010066C" w:rsidRPr="00D948C1" w14:paraId="300F140B" w14:textId="77777777" w:rsidTr="00746F3D">
        <w:trPr>
          <w:trHeight w:hRule="exact" w:val="847"/>
        </w:trPr>
        <w:tc>
          <w:tcPr>
            <w:tcW w:w="5670" w:type="dxa"/>
            <w:vAlign w:val="center"/>
          </w:tcPr>
          <w:p w14:paraId="24F2A5C2" w14:textId="77777777" w:rsidR="0010066C" w:rsidRPr="00D948C1" w:rsidRDefault="0010066C" w:rsidP="006C0086">
            <w:pPr>
              <w:spacing w:line="276" w:lineRule="auto"/>
              <w:rPr>
                <w:rFonts w:cs="Arial"/>
                <w:szCs w:val="24"/>
              </w:rPr>
            </w:pPr>
            <w:r w:rsidRPr="00D948C1">
              <w:rPr>
                <w:rFonts w:cs="Arial"/>
                <w:szCs w:val="24"/>
              </w:rPr>
              <w:t>Reversal of items relating to retirement benefits debited or credited to Net Cost of Services in the Comprehensive Income &amp; Expenditure Statement</w:t>
            </w:r>
          </w:p>
        </w:tc>
        <w:tc>
          <w:tcPr>
            <w:tcW w:w="1557" w:type="dxa"/>
            <w:vAlign w:val="center"/>
          </w:tcPr>
          <w:p w14:paraId="0BCDCFE8" w14:textId="373A76F8" w:rsidR="0010066C" w:rsidRPr="00D948C1" w:rsidRDefault="00010C11" w:rsidP="006C0086">
            <w:pPr>
              <w:tabs>
                <w:tab w:val="decimal" w:pos="885"/>
              </w:tabs>
              <w:spacing w:line="276" w:lineRule="auto"/>
              <w:jc w:val="right"/>
              <w:rPr>
                <w:szCs w:val="24"/>
              </w:rPr>
            </w:pPr>
            <w:r w:rsidRPr="00D948C1">
              <w:rPr>
                <w:szCs w:val="24"/>
              </w:rPr>
              <w:t>33,880</w:t>
            </w:r>
          </w:p>
        </w:tc>
        <w:tc>
          <w:tcPr>
            <w:tcW w:w="1533" w:type="dxa"/>
            <w:vAlign w:val="center"/>
          </w:tcPr>
          <w:p w14:paraId="0371FF20" w14:textId="55274B4D" w:rsidR="0010066C" w:rsidRPr="00D948C1" w:rsidRDefault="0010066C" w:rsidP="006C0086">
            <w:pPr>
              <w:tabs>
                <w:tab w:val="decimal" w:pos="885"/>
              </w:tabs>
              <w:spacing w:line="276" w:lineRule="auto"/>
              <w:jc w:val="right"/>
              <w:rPr>
                <w:szCs w:val="24"/>
              </w:rPr>
            </w:pPr>
            <w:r w:rsidRPr="00D948C1">
              <w:rPr>
                <w:szCs w:val="24"/>
              </w:rPr>
              <w:t>39,827</w:t>
            </w:r>
          </w:p>
        </w:tc>
      </w:tr>
      <w:tr w:rsidR="0010066C" w:rsidRPr="00D948C1" w14:paraId="14EAB9EB" w14:textId="77777777" w:rsidTr="003572E5">
        <w:trPr>
          <w:trHeight w:val="278"/>
        </w:trPr>
        <w:tc>
          <w:tcPr>
            <w:tcW w:w="5670" w:type="dxa"/>
            <w:vAlign w:val="center"/>
          </w:tcPr>
          <w:p w14:paraId="4D80C209" w14:textId="77777777" w:rsidR="0010066C" w:rsidRPr="00D948C1" w:rsidRDefault="0010066C" w:rsidP="006C0086">
            <w:pPr>
              <w:spacing w:line="276" w:lineRule="auto"/>
              <w:rPr>
                <w:rFonts w:cs="Arial"/>
                <w:szCs w:val="24"/>
              </w:rPr>
            </w:pPr>
            <w:r w:rsidRPr="00D948C1">
              <w:rPr>
                <w:rFonts w:cs="Arial"/>
                <w:szCs w:val="24"/>
              </w:rPr>
              <w:t>Net payments to pensioners payable in the year</w:t>
            </w:r>
          </w:p>
        </w:tc>
        <w:tc>
          <w:tcPr>
            <w:tcW w:w="1557" w:type="dxa"/>
            <w:vAlign w:val="center"/>
          </w:tcPr>
          <w:p w14:paraId="5FA0BD84" w14:textId="7048F2E3" w:rsidR="0010066C" w:rsidRPr="00D948C1" w:rsidRDefault="0010066C" w:rsidP="006C0086">
            <w:pPr>
              <w:tabs>
                <w:tab w:val="decimal" w:pos="885"/>
              </w:tabs>
              <w:spacing w:line="276" w:lineRule="auto"/>
              <w:jc w:val="right"/>
              <w:rPr>
                <w:szCs w:val="24"/>
              </w:rPr>
            </w:pPr>
            <w:r w:rsidRPr="00D948C1">
              <w:rPr>
                <w:szCs w:val="24"/>
              </w:rPr>
              <w:t>(2</w:t>
            </w:r>
            <w:r w:rsidR="00010C11" w:rsidRPr="00D948C1">
              <w:rPr>
                <w:szCs w:val="24"/>
              </w:rPr>
              <w:t>8</w:t>
            </w:r>
            <w:r w:rsidRPr="00D948C1">
              <w:rPr>
                <w:szCs w:val="24"/>
              </w:rPr>
              <w:t>,</w:t>
            </w:r>
            <w:r w:rsidR="00010C11" w:rsidRPr="00D948C1">
              <w:rPr>
                <w:szCs w:val="24"/>
              </w:rPr>
              <w:t>970</w:t>
            </w:r>
            <w:r w:rsidRPr="00D948C1">
              <w:rPr>
                <w:szCs w:val="24"/>
              </w:rPr>
              <w:t>)</w:t>
            </w:r>
          </w:p>
        </w:tc>
        <w:tc>
          <w:tcPr>
            <w:tcW w:w="1533" w:type="dxa"/>
            <w:vAlign w:val="center"/>
          </w:tcPr>
          <w:p w14:paraId="290145FF" w14:textId="63F022DF" w:rsidR="0010066C" w:rsidRPr="00D948C1" w:rsidRDefault="0010066C" w:rsidP="006C0086">
            <w:pPr>
              <w:tabs>
                <w:tab w:val="decimal" w:pos="885"/>
              </w:tabs>
              <w:spacing w:line="276" w:lineRule="auto"/>
              <w:jc w:val="right"/>
              <w:rPr>
                <w:szCs w:val="24"/>
              </w:rPr>
            </w:pPr>
            <w:r w:rsidRPr="00D948C1">
              <w:rPr>
                <w:szCs w:val="24"/>
              </w:rPr>
              <w:t>(26,600)</w:t>
            </w:r>
          </w:p>
        </w:tc>
      </w:tr>
      <w:tr w:rsidR="0010066C" w:rsidRPr="00D948C1" w14:paraId="197711CF" w14:textId="77777777" w:rsidTr="003572E5">
        <w:trPr>
          <w:trHeight w:val="278"/>
        </w:trPr>
        <w:tc>
          <w:tcPr>
            <w:tcW w:w="5670" w:type="dxa"/>
            <w:vAlign w:val="center"/>
          </w:tcPr>
          <w:p w14:paraId="0BEB198E" w14:textId="77777777" w:rsidR="0010066C" w:rsidRPr="00D948C1" w:rsidRDefault="0010066C" w:rsidP="006C0086">
            <w:pPr>
              <w:spacing w:line="276" w:lineRule="auto"/>
              <w:rPr>
                <w:rFonts w:cs="Arial"/>
                <w:szCs w:val="24"/>
              </w:rPr>
            </w:pPr>
            <w:r w:rsidRPr="00D948C1">
              <w:rPr>
                <w:rFonts w:cs="Arial"/>
                <w:szCs w:val="24"/>
              </w:rPr>
              <w:t>Employers pension contributions</w:t>
            </w:r>
          </w:p>
        </w:tc>
        <w:tc>
          <w:tcPr>
            <w:tcW w:w="1557" w:type="dxa"/>
            <w:shd w:val="clear" w:color="auto" w:fill="auto"/>
            <w:vAlign w:val="center"/>
          </w:tcPr>
          <w:p w14:paraId="5540245E" w14:textId="4C6E7F48" w:rsidR="0010066C" w:rsidRPr="00D948C1" w:rsidRDefault="0010066C" w:rsidP="006C0086">
            <w:pPr>
              <w:tabs>
                <w:tab w:val="decimal" w:pos="885"/>
              </w:tabs>
              <w:spacing w:line="276" w:lineRule="auto"/>
              <w:jc w:val="right"/>
              <w:rPr>
                <w:szCs w:val="24"/>
              </w:rPr>
            </w:pPr>
            <w:r w:rsidRPr="00D948C1">
              <w:rPr>
                <w:szCs w:val="24"/>
              </w:rPr>
              <w:t>(3</w:t>
            </w:r>
            <w:r w:rsidR="00010C11" w:rsidRPr="00D948C1">
              <w:rPr>
                <w:szCs w:val="24"/>
              </w:rPr>
              <w:t>56</w:t>
            </w:r>
            <w:r w:rsidRPr="00D948C1">
              <w:rPr>
                <w:szCs w:val="24"/>
              </w:rPr>
              <w:t>)</w:t>
            </w:r>
          </w:p>
        </w:tc>
        <w:tc>
          <w:tcPr>
            <w:tcW w:w="1533" w:type="dxa"/>
            <w:vAlign w:val="center"/>
          </w:tcPr>
          <w:p w14:paraId="2C8C278C" w14:textId="7B7EB769" w:rsidR="0010066C" w:rsidRPr="00D948C1" w:rsidRDefault="0010066C" w:rsidP="006C0086">
            <w:pPr>
              <w:tabs>
                <w:tab w:val="decimal" w:pos="885"/>
              </w:tabs>
              <w:spacing w:line="276" w:lineRule="auto"/>
              <w:jc w:val="right"/>
              <w:rPr>
                <w:szCs w:val="24"/>
              </w:rPr>
            </w:pPr>
            <w:r w:rsidRPr="00D948C1">
              <w:rPr>
                <w:szCs w:val="24"/>
              </w:rPr>
              <w:t>(348)</w:t>
            </w:r>
          </w:p>
        </w:tc>
      </w:tr>
      <w:tr w:rsidR="0010066C" w:rsidRPr="00D948C1" w14:paraId="6F6903AA" w14:textId="77777777" w:rsidTr="003572E5">
        <w:trPr>
          <w:trHeight w:val="278"/>
        </w:trPr>
        <w:tc>
          <w:tcPr>
            <w:tcW w:w="5670" w:type="dxa"/>
          </w:tcPr>
          <w:p w14:paraId="07F2F2DE" w14:textId="3307C432" w:rsidR="0010066C" w:rsidRPr="00D948C1" w:rsidRDefault="0010066C" w:rsidP="006C0086">
            <w:pPr>
              <w:pStyle w:val="Footer"/>
              <w:tabs>
                <w:tab w:val="clear" w:pos="4153"/>
                <w:tab w:val="clear" w:pos="8306"/>
                <w:tab w:val="left" w:pos="720"/>
                <w:tab w:val="center" w:pos="6930"/>
              </w:tabs>
              <w:spacing w:line="276" w:lineRule="auto"/>
              <w:rPr>
                <w:szCs w:val="24"/>
              </w:rPr>
            </w:pPr>
            <w:r w:rsidRPr="00D948C1">
              <w:rPr>
                <w:szCs w:val="24"/>
              </w:rPr>
              <w:t>Total</w:t>
            </w:r>
          </w:p>
        </w:tc>
        <w:tc>
          <w:tcPr>
            <w:tcW w:w="1557" w:type="dxa"/>
            <w:vAlign w:val="center"/>
          </w:tcPr>
          <w:p w14:paraId="0E5BD8C3" w14:textId="4914EAB4" w:rsidR="0010066C" w:rsidRPr="00D948C1" w:rsidRDefault="0010066C" w:rsidP="006C0086">
            <w:pPr>
              <w:tabs>
                <w:tab w:val="decimal" w:pos="885"/>
              </w:tabs>
              <w:spacing w:line="276" w:lineRule="auto"/>
              <w:jc w:val="right"/>
              <w:rPr>
                <w:szCs w:val="24"/>
              </w:rPr>
            </w:pPr>
            <w:r w:rsidRPr="00D948C1">
              <w:rPr>
                <w:szCs w:val="24"/>
              </w:rPr>
              <w:t>651</w:t>
            </w:r>
            <w:r w:rsidR="00010C11" w:rsidRPr="00D948C1">
              <w:rPr>
                <w:szCs w:val="24"/>
              </w:rPr>
              <w:t>,920</w:t>
            </w:r>
          </w:p>
        </w:tc>
        <w:tc>
          <w:tcPr>
            <w:tcW w:w="1533" w:type="dxa"/>
            <w:vAlign w:val="center"/>
          </w:tcPr>
          <w:p w14:paraId="063E1908" w14:textId="446FEA10" w:rsidR="0010066C" w:rsidRPr="00D948C1" w:rsidRDefault="0010066C" w:rsidP="006C0086">
            <w:pPr>
              <w:tabs>
                <w:tab w:val="decimal" w:pos="885"/>
              </w:tabs>
              <w:spacing w:line="276" w:lineRule="auto"/>
              <w:jc w:val="right"/>
              <w:rPr>
                <w:szCs w:val="24"/>
              </w:rPr>
            </w:pPr>
            <w:r w:rsidRPr="00D948C1">
              <w:rPr>
                <w:szCs w:val="24"/>
              </w:rPr>
              <w:t>651,536</w:t>
            </w:r>
          </w:p>
        </w:tc>
      </w:tr>
    </w:tbl>
    <w:p w14:paraId="098262E7" w14:textId="445DD455" w:rsidR="000F5BFB" w:rsidRPr="00D948C1" w:rsidRDefault="000F5BFB" w:rsidP="006C0086">
      <w:pPr>
        <w:spacing w:line="276" w:lineRule="auto"/>
        <w:rPr>
          <w:rFonts w:cs="Arial"/>
          <w:b/>
          <w:szCs w:val="24"/>
          <w:lang w:val="en-US"/>
        </w:rPr>
      </w:pPr>
    </w:p>
    <w:p w14:paraId="68C9A1C5" w14:textId="10899769" w:rsidR="00D90216" w:rsidRPr="00D948C1" w:rsidRDefault="00D90216" w:rsidP="006C0086">
      <w:pPr>
        <w:pStyle w:val="BodyTextIndent"/>
        <w:spacing w:line="276" w:lineRule="auto"/>
        <w:ind w:left="709"/>
        <w:jc w:val="both"/>
        <w:rPr>
          <w:rFonts w:cs="Arial"/>
          <w:b/>
          <w:szCs w:val="24"/>
        </w:rPr>
      </w:pPr>
      <w:r w:rsidRPr="00D948C1">
        <w:rPr>
          <w:rFonts w:cs="Arial"/>
          <w:b/>
          <w:szCs w:val="24"/>
        </w:rPr>
        <w:t>Collection Fund Adjustment Account</w:t>
      </w:r>
    </w:p>
    <w:p w14:paraId="1A500133" w14:textId="77777777" w:rsidR="00D90216" w:rsidRPr="00D948C1" w:rsidRDefault="00D90216" w:rsidP="006C0086">
      <w:pPr>
        <w:pStyle w:val="BodyTextIndent"/>
        <w:spacing w:line="276" w:lineRule="auto"/>
        <w:ind w:left="709"/>
        <w:jc w:val="both"/>
        <w:rPr>
          <w:rFonts w:cs="Arial"/>
          <w:szCs w:val="24"/>
        </w:rPr>
      </w:pPr>
    </w:p>
    <w:p w14:paraId="0A4AB3F5" w14:textId="77777777" w:rsidR="00D90216" w:rsidRPr="00D948C1" w:rsidRDefault="00D90216" w:rsidP="006C0086">
      <w:pPr>
        <w:pStyle w:val="BodyTextIndent"/>
        <w:spacing w:line="276" w:lineRule="auto"/>
        <w:ind w:left="709"/>
        <w:jc w:val="both"/>
        <w:rPr>
          <w:rFonts w:cs="Arial"/>
          <w:szCs w:val="24"/>
        </w:rPr>
      </w:pPr>
      <w:r w:rsidRPr="00D948C1">
        <w:rPr>
          <w:rFonts w:cs="Arial"/>
          <w:szCs w:val="24"/>
        </w:rPr>
        <w:t>The Collection Fund Adjustment Account manages the differences arising from the recognition of council tax</w:t>
      </w:r>
      <w:r w:rsidR="00FC7AF7" w:rsidRPr="00D948C1">
        <w:rPr>
          <w:rFonts w:cs="Arial"/>
          <w:szCs w:val="24"/>
        </w:rPr>
        <w:t xml:space="preserve"> and business rates</w:t>
      </w:r>
      <w:r w:rsidRPr="00D948C1">
        <w:rPr>
          <w:rFonts w:cs="Arial"/>
          <w:szCs w:val="24"/>
        </w:rPr>
        <w:t xml:space="preserve"> income in the Comprehensive Income and Expenditure Statement as it falls due from council tax </w:t>
      </w:r>
      <w:r w:rsidR="00FC7AF7" w:rsidRPr="00D948C1">
        <w:rPr>
          <w:rFonts w:cs="Arial"/>
          <w:szCs w:val="24"/>
        </w:rPr>
        <w:t xml:space="preserve">and business rates </w:t>
      </w:r>
      <w:r w:rsidRPr="00D948C1">
        <w:rPr>
          <w:rFonts w:cs="Arial"/>
          <w:szCs w:val="24"/>
        </w:rPr>
        <w:t>payers compared with the statutory arrangements for paying across amounts to the General Fund.</w:t>
      </w:r>
    </w:p>
    <w:p w14:paraId="6EE67AD8" w14:textId="77777777" w:rsidR="00D90216" w:rsidRPr="00D948C1" w:rsidRDefault="00D90216" w:rsidP="006C0086">
      <w:pPr>
        <w:pStyle w:val="BodyTextIndent"/>
        <w:spacing w:line="276" w:lineRule="auto"/>
        <w:ind w:left="709"/>
        <w:jc w:val="both"/>
        <w:rPr>
          <w:rFonts w:cs="Arial"/>
          <w:sz w:val="22"/>
          <w:szCs w:val="22"/>
        </w:rPr>
      </w:pP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1134"/>
        <w:gridCol w:w="1134"/>
        <w:gridCol w:w="1134"/>
        <w:gridCol w:w="1134"/>
        <w:gridCol w:w="1134"/>
        <w:gridCol w:w="1134"/>
      </w:tblGrid>
      <w:tr w:rsidR="00021F7E" w:rsidRPr="00D948C1" w14:paraId="7DE41332" w14:textId="77777777" w:rsidTr="00611673">
        <w:trPr>
          <w:trHeight w:hRule="exact" w:val="300"/>
        </w:trPr>
        <w:tc>
          <w:tcPr>
            <w:tcW w:w="3074" w:type="dxa"/>
            <w:shd w:val="clear" w:color="auto" w:fill="BD2716"/>
          </w:tcPr>
          <w:p w14:paraId="1B039D31" w14:textId="267F2290" w:rsidR="00021F7E" w:rsidRPr="00D948C1" w:rsidRDefault="00021F7E" w:rsidP="006C0086">
            <w:pPr>
              <w:tabs>
                <w:tab w:val="left" w:pos="720"/>
                <w:tab w:val="center" w:pos="6930"/>
              </w:tabs>
              <w:spacing w:line="276" w:lineRule="auto"/>
              <w:rPr>
                <w:color w:val="FFFFFF" w:themeColor="background1"/>
                <w:szCs w:val="24"/>
              </w:rPr>
            </w:pPr>
          </w:p>
        </w:tc>
        <w:tc>
          <w:tcPr>
            <w:tcW w:w="2268" w:type="dxa"/>
            <w:gridSpan w:val="2"/>
            <w:shd w:val="clear" w:color="auto" w:fill="BD2716"/>
            <w:vAlign w:val="center"/>
          </w:tcPr>
          <w:p w14:paraId="74B229DA" w14:textId="77777777" w:rsidR="00021F7E" w:rsidRPr="00D948C1" w:rsidRDefault="00021F7E" w:rsidP="006C0086">
            <w:pPr>
              <w:spacing w:line="276" w:lineRule="auto"/>
              <w:jc w:val="center"/>
              <w:rPr>
                <w:color w:val="FFFFFF" w:themeColor="background1"/>
                <w:szCs w:val="24"/>
              </w:rPr>
            </w:pPr>
            <w:r w:rsidRPr="00D948C1">
              <w:rPr>
                <w:color w:val="FFFFFF" w:themeColor="background1"/>
                <w:szCs w:val="24"/>
              </w:rPr>
              <w:t>Council Tax</w:t>
            </w:r>
          </w:p>
        </w:tc>
        <w:tc>
          <w:tcPr>
            <w:tcW w:w="2268" w:type="dxa"/>
            <w:gridSpan w:val="2"/>
            <w:shd w:val="clear" w:color="auto" w:fill="BD2716"/>
            <w:vAlign w:val="center"/>
          </w:tcPr>
          <w:p w14:paraId="71FC9437" w14:textId="77777777" w:rsidR="00021F7E" w:rsidRPr="00D948C1" w:rsidRDefault="00021F7E" w:rsidP="006C0086">
            <w:pPr>
              <w:spacing w:line="276" w:lineRule="auto"/>
              <w:jc w:val="center"/>
              <w:rPr>
                <w:color w:val="FFFFFF" w:themeColor="background1"/>
                <w:szCs w:val="24"/>
              </w:rPr>
            </w:pPr>
            <w:r w:rsidRPr="00D948C1">
              <w:rPr>
                <w:color w:val="FFFFFF" w:themeColor="background1"/>
                <w:szCs w:val="24"/>
              </w:rPr>
              <w:t>Business Rates</w:t>
            </w:r>
          </w:p>
        </w:tc>
        <w:tc>
          <w:tcPr>
            <w:tcW w:w="2268" w:type="dxa"/>
            <w:gridSpan w:val="2"/>
            <w:shd w:val="clear" w:color="auto" w:fill="BD2716"/>
            <w:vAlign w:val="center"/>
          </w:tcPr>
          <w:p w14:paraId="01CF0449" w14:textId="77777777" w:rsidR="00021F7E" w:rsidRPr="00D948C1" w:rsidRDefault="00021F7E" w:rsidP="006C0086">
            <w:pPr>
              <w:spacing w:line="276" w:lineRule="auto"/>
              <w:jc w:val="center"/>
              <w:rPr>
                <w:color w:val="FFFFFF" w:themeColor="background1"/>
                <w:szCs w:val="24"/>
              </w:rPr>
            </w:pPr>
            <w:r w:rsidRPr="00D948C1">
              <w:rPr>
                <w:color w:val="FFFFFF" w:themeColor="background1"/>
                <w:szCs w:val="24"/>
              </w:rPr>
              <w:t>Total</w:t>
            </w:r>
          </w:p>
        </w:tc>
      </w:tr>
      <w:tr w:rsidR="0010066C" w:rsidRPr="00D948C1" w14:paraId="4521C04F" w14:textId="77777777" w:rsidTr="00611673">
        <w:trPr>
          <w:trHeight w:hRule="exact" w:val="592"/>
        </w:trPr>
        <w:tc>
          <w:tcPr>
            <w:tcW w:w="3074" w:type="dxa"/>
            <w:shd w:val="clear" w:color="auto" w:fill="BD2716"/>
          </w:tcPr>
          <w:p w14:paraId="31C16B97" w14:textId="77777777" w:rsidR="0010066C" w:rsidRPr="00D948C1" w:rsidRDefault="0010066C" w:rsidP="006C0086">
            <w:pPr>
              <w:tabs>
                <w:tab w:val="left" w:pos="720"/>
                <w:tab w:val="center" w:pos="6930"/>
              </w:tabs>
              <w:spacing w:line="276" w:lineRule="auto"/>
              <w:rPr>
                <w:color w:val="FFFFFF" w:themeColor="background1"/>
                <w:szCs w:val="24"/>
              </w:rPr>
            </w:pPr>
          </w:p>
        </w:tc>
        <w:tc>
          <w:tcPr>
            <w:tcW w:w="1134" w:type="dxa"/>
            <w:shd w:val="clear" w:color="auto" w:fill="BD2716"/>
            <w:vAlign w:val="center"/>
          </w:tcPr>
          <w:p w14:paraId="482026AD"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6449452A" w14:textId="14789C42"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4F5F0205"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69EF36C5" w14:textId="0ADD47AC"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0AB41547"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19150D98" w14:textId="39A0FD71"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39F7F682"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57B73485" w14:textId="78B89B16"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11B7555D"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2A66A3EA" w14:textId="415281CA"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134" w:type="dxa"/>
            <w:shd w:val="clear" w:color="auto" w:fill="BD2716"/>
            <w:vAlign w:val="center"/>
          </w:tcPr>
          <w:p w14:paraId="512D3616"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3EAB1A6E" w14:textId="4E80D238"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6DC74B50" w14:textId="77777777" w:rsidTr="00746F3D">
        <w:trPr>
          <w:trHeight w:hRule="exact" w:val="300"/>
        </w:trPr>
        <w:tc>
          <w:tcPr>
            <w:tcW w:w="3074" w:type="dxa"/>
          </w:tcPr>
          <w:p w14:paraId="10F1BC3C"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134" w:type="dxa"/>
            <w:vAlign w:val="center"/>
          </w:tcPr>
          <w:p w14:paraId="24CF104E" w14:textId="09148C16" w:rsidR="0010066C" w:rsidRPr="00D948C1" w:rsidRDefault="0010066C" w:rsidP="006C0086">
            <w:pPr>
              <w:tabs>
                <w:tab w:val="decimal" w:pos="837"/>
              </w:tabs>
              <w:spacing w:line="276" w:lineRule="auto"/>
              <w:jc w:val="right"/>
              <w:rPr>
                <w:szCs w:val="24"/>
              </w:rPr>
            </w:pPr>
            <w:r w:rsidRPr="00D948C1">
              <w:rPr>
                <w:szCs w:val="24"/>
              </w:rPr>
              <w:t>5</w:t>
            </w:r>
          </w:p>
        </w:tc>
        <w:tc>
          <w:tcPr>
            <w:tcW w:w="1134" w:type="dxa"/>
            <w:vAlign w:val="center"/>
          </w:tcPr>
          <w:p w14:paraId="36B15741" w14:textId="3DDADC1A" w:rsidR="0010066C" w:rsidRPr="00D948C1" w:rsidRDefault="0010066C" w:rsidP="006C0086">
            <w:pPr>
              <w:tabs>
                <w:tab w:val="decimal" w:pos="837"/>
              </w:tabs>
              <w:spacing w:line="276" w:lineRule="auto"/>
              <w:jc w:val="right"/>
              <w:rPr>
                <w:szCs w:val="24"/>
              </w:rPr>
            </w:pPr>
            <w:r w:rsidRPr="00D948C1">
              <w:rPr>
                <w:szCs w:val="24"/>
              </w:rPr>
              <w:t>(139)</w:t>
            </w:r>
          </w:p>
        </w:tc>
        <w:tc>
          <w:tcPr>
            <w:tcW w:w="1134" w:type="dxa"/>
            <w:vAlign w:val="center"/>
          </w:tcPr>
          <w:p w14:paraId="4C6D2710" w14:textId="6E33C871" w:rsidR="0010066C" w:rsidRPr="00D948C1" w:rsidRDefault="0010066C" w:rsidP="006C0086">
            <w:pPr>
              <w:tabs>
                <w:tab w:val="decimal" w:pos="837"/>
              </w:tabs>
              <w:spacing w:line="276" w:lineRule="auto"/>
              <w:jc w:val="right"/>
              <w:rPr>
                <w:szCs w:val="24"/>
              </w:rPr>
            </w:pPr>
            <w:r w:rsidRPr="00D948C1">
              <w:rPr>
                <w:szCs w:val="24"/>
              </w:rPr>
              <w:t>(212)</w:t>
            </w:r>
          </w:p>
        </w:tc>
        <w:tc>
          <w:tcPr>
            <w:tcW w:w="1134" w:type="dxa"/>
            <w:vAlign w:val="center"/>
          </w:tcPr>
          <w:p w14:paraId="12807179" w14:textId="71D4EA00" w:rsidR="0010066C" w:rsidRPr="00D948C1" w:rsidRDefault="0010066C" w:rsidP="006C0086">
            <w:pPr>
              <w:tabs>
                <w:tab w:val="decimal" w:pos="837"/>
              </w:tabs>
              <w:spacing w:line="276" w:lineRule="auto"/>
              <w:jc w:val="right"/>
              <w:rPr>
                <w:szCs w:val="24"/>
              </w:rPr>
            </w:pPr>
            <w:r w:rsidRPr="00D948C1">
              <w:rPr>
                <w:szCs w:val="24"/>
              </w:rPr>
              <w:t>915</w:t>
            </w:r>
          </w:p>
        </w:tc>
        <w:tc>
          <w:tcPr>
            <w:tcW w:w="1134" w:type="dxa"/>
            <w:vAlign w:val="center"/>
          </w:tcPr>
          <w:p w14:paraId="648DEE92" w14:textId="183429D1" w:rsidR="0010066C" w:rsidRPr="00D948C1" w:rsidRDefault="0010066C" w:rsidP="006C0086">
            <w:pPr>
              <w:tabs>
                <w:tab w:val="decimal" w:pos="837"/>
              </w:tabs>
              <w:spacing w:line="276" w:lineRule="auto"/>
              <w:jc w:val="right"/>
              <w:rPr>
                <w:szCs w:val="24"/>
              </w:rPr>
            </w:pPr>
            <w:r w:rsidRPr="00D948C1">
              <w:rPr>
                <w:szCs w:val="24"/>
              </w:rPr>
              <w:t>(207)</w:t>
            </w:r>
          </w:p>
        </w:tc>
        <w:tc>
          <w:tcPr>
            <w:tcW w:w="1134" w:type="dxa"/>
            <w:vAlign w:val="center"/>
          </w:tcPr>
          <w:p w14:paraId="3406390C" w14:textId="299C84F3" w:rsidR="0010066C" w:rsidRPr="00D948C1" w:rsidRDefault="0010066C" w:rsidP="006C0086">
            <w:pPr>
              <w:tabs>
                <w:tab w:val="decimal" w:pos="837"/>
              </w:tabs>
              <w:spacing w:line="276" w:lineRule="auto"/>
              <w:jc w:val="right"/>
              <w:rPr>
                <w:szCs w:val="24"/>
              </w:rPr>
            </w:pPr>
            <w:r w:rsidRPr="00D948C1">
              <w:rPr>
                <w:szCs w:val="24"/>
              </w:rPr>
              <w:t>776</w:t>
            </w:r>
          </w:p>
        </w:tc>
      </w:tr>
      <w:tr w:rsidR="0010066C" w:rsidRPr="00D948C1" w14:paraId="4FEF58C5" w14:textId="77777777" w:rsidTr="00746F3D">
        <w:trPr>
          <w:trHeight w:hRule="exact" w:val="2467"/>
        </w:trPr>
        <w:tc>
          <w:tcPr>
            <w:tcW w:w="3074" w:type="dxa"/>
          </w:tcPr>
          <w:p w14:paraId="11A1209F" w14:textId="77777777" w:rsidR="0010066C" w:rsidRPr="00D948C1" w:rsidRDefault="0010066C" w:rsidP="006C0086">
            <w:pPr>
              <w:tabs>
                <w:tab w:val="left" w:pos="720"/>
                <w:tab w:val="center" w:pos="6930"/>
              </w:tabs>
              <w:spacing w:line="276" w:lineRule="auto"/>
              <w:rPr>
                <w:szCs w:val="24"/>
              </w:rPr>
            </w:pPr>
            <w:r w:rsidRPr="00D948C1">
              <w:rPr>
                <w:szCs w:val="24"/>
              </w:rPr>
              <w:t xml:space="preserve">Amount by which council tax income credited to the </w:t>
            </w:r>
            <w:r w:rsidRPr="00D948C1">
              <w:rPr>
                <w:rFonts w:cs="Arial"/>
                <w:szCs w:val="24"/>
              </w:rPr>
              <w:t>Comprehensive Income and Expenditure Statement is different from council tax income calculated for the year in accordance with statutory requirements</w:t>
            </w:r>
          </w:p>
        </w:tc>
        <w:tc>
          <w:tcPr>
            <w:tcW w:w="1134" w:type="dxa"/>
            <w:vAlign w:val="center"/>
          </w:tcPr>
          <w:p w14:paraId="677DCF33" w14:textId="4C32C0E8" w:rsidR="0010066C" w:rsidRPr="00D948C1" w:rsidRDefault="00795FD2" w:rsidP="006C0086">
            <w:pPr>
              <w:tabs>
                <w:tab w:val="decimal" w:pos="837"/>
              </w:tabs>
              <w:spacing w:line="276" w:lineRule="auto"/>
              <w:jc w:val="right"/>
              <w:rPr>
                <w:szCs w:val="24"/>
              </w:rPr>
            </w:pPr>
            <w:r w:rsidRPr="00D948C1">
              <w:rPr>
                <w:szCs w:val="24"/>
              </w:rPr>
              <w:t>12</w:t>
            </w:r>
            <w:r w:rsidR="001903A2" w:rsidRPr="00D948C1">
              <w:rPr>
                <w:szCs w:val="24"/>
              </w:rPr>
              <w:t>6</w:t>
            </w:r>
          </w:p>
        </w:tc>
        <w:tc>
          <w:tcPr>
            <w:tcW w:w="1134" w:type="dxa"/>
            <w:vAlign w:val="center"/>
          </w:tcPr>
          <w:p w14:paraId="47F3AF73" w14:textId="0B573649" w:rsidR="0010066C" w:rsidRPr="00D948C1" w:rsidRDefault="0010066C" w:rsidP="006C0086">
            <w:pPr>
              <w:tabs>
                <w:tab w:val="decimal" w:pos="837"/>
              </w:tabs>
              <w:spacing w:line="276" w:lineRule="auto"/>
              <w:jc w:val="right"/>
              <w:rPr>
                <w:szCs w:val="24"/>
              </w:rPr>
            </w:pPr>
            <w:r w:rsidRPr="00D948C1">
              <w:rPr>
                <w:szCs w:val="24"/>
              </w:rPr>
              <w:t>144</w:t>
            </w:r>
          </w:p>
        </w:tc>
        <w:tc>
          <w:tcPr>
            <w:tcW w:w="1134" w:type="dxa"/>
            <w:vAlign w:val="center"/>
          </w:tcPr>
          <w:p w14:paraId="6DFCB10B" w14:textId="08C21857" w:rsidR="0010066C" w:rsidRPr="00D948C1" w:rsidRDefault="0010066C" w:rsidP="006C0086">
            <w:pPr>
              <w:tabs>
                <w:tab w:val="decimal" w:pos="837"/>
              </w:tabs>
              <w:spacing w:line="276" w:lineRule="auto"/>
              <w:jc w:val="right"/>
              <w:rPr>
                <w:szCs w:val="24"/>
              </w:rPr>
            </w:pPr>
            <w:r w:rsidRPr="00D948C1">
              <w:rPr>
                <w:szCs w:val="24"/>
              </w:rPr>
              <w:t>-</w:t>
            </w:r>
          </w:p>
        </w:tc>
        <w:tc>
          <w:tcPr>
            <w:tcW w:w="1134" w:type="dxa"/>
            <w:vAlign w:val="center"/>
          </w:tcPr>
          <w:p w14:paraId="3838FE43" w14:textId="6FAE0A53" w:rsidR="0010066C" w:rsidRPr="00D948C1" w:rsidRDefault="0010066C" w:rsidP="006C0086">
            <w:pPr>
              <w:tabs>
                <w:tab w:val="decimal" w:pos="837"/>
              </w:tabs>
              <w:spacing w:line="276" w:lineRule="auto"/>
              <w:jc w:val="right"/>
              <w:rPr>
                <w:szCs w:val="24"/>
              </w:rPr>
            </w:pPr>
            <w:r w:rsidRPr="00D948C1">
              <w:rPr>
                <w:szCs w:val="24"/>
              </w:rPr>
              <w:t>-</w:t>
            </w:r>
          </w:p>
        </w:tc>
        <w:tc>
          <w:tcPr>
            <w:tcW w:w="1134" w:type="dxa"/>
            <w:vAlign w:val="center"/>
          </w:tcPr>
          <w:p w14:paraId="7D7F21B6" w14:textId="1A0C78E7" w:rsidR="0010066C" w:rsidRPr="00D948C1" w:rsidRDefault="0010066C" w:rsidP="006C0086">
            <w:pPr>
              <w:tabs>
                <w:tab w:val="decimal" w:pos="837"/>
              </w:tabs>
              <w:spacing w:line="276" w:lineRule="auto"/>
              <w:jc w:val="right"/>
              <w:rPr>
                <w:szCs w:val="24"/>
              </w:rPr>
            </w:pPr>
            <w:r w:rsidRPr="00D948C1">
              <w:rPr>
                <w:szCs w:val="24"/>
              </w:rPr>
              <w:t>1</w:t>
            </w:r>
            <w:r w:rsidR="001903A2" w:rsidRPr="00D948C1">
              <w:rPr>
                <w:szCs w:val="24"/>
              </w:rPr>
              <w:t>26</w:t>
            </w:r>
          </w:p>
        </w:tc>
        <w:tc>
          <w:tcPr>
            <w:tcW w:w="1134" w:type="dxa"/>
            <w:vAlign w:val="center"/>
          </w:tcPr>
          <w:p w14:paraId="5407F282" w14:textId="58FF1C49" w:rsidR="0010066C" w:rsidRPr="00D948C1" w:rsidRDefault="0010066C" w:rsidP="006C0086">
            <w:pPr>
              <w:tabs>
                <w:tab w:val="decimal" w:pos="837"/>
              </w:tabs>
              <w:spacing w:line="276" w:lineRule="auto"/>
              <w:jc w:val="right"/>
              <w:rPr>
                <w:szCs w:val="24"/>
              </w:rPr>
            </w:pPr>
            <w:r w:rsidRPr="00D948C1">
              <w:rPr>
                <w:szCs w:val="24"/>
              </w:rPr>
              <w:t>144</w:t>
            </w:r>
          </w:p>
        </w:tc>
      </w:tr>
      <w:tr w:rsidR="0010066C" w:rsidRPr="00D948C1" w14:paraId="0AA53B58" w14:textId="77777777" w:rsidTr="00746F3D">
        <w:trPr>
          <w:trHeight w:hRule="exact" w:val="2558"/>
        </w:trPr>
        <w:tc>
          <w:tcPr>
            <w:tcW w:w="3074" w:type="dxa"/>
          </w:tcPr>
          <w:p w14:paraId="2C2D4B7E" w14:textId="77777777" w:rsidR="0010066C" w:rsidRPr="00D948C1" w:rsidRDefault="0010066C" w:rsidP="006C0086">
            <w:pPr>
              <w:tabs>
                <w:tab w:val="left" w:pos="720"/>
                <w:tab w:val="center" w:pos="6930"/>
              </w:tabs>
              <w:spacing w:line="276" w:lineRule="auto"/>
              <w:rPr>
                <w:szCs w:val="24"/>
              </w:rPr>
            </w:pPr>
            <w:r w:rsidRPr="00D948C1">
              <w:rPr>
                <w:szCs w:val="24"/>
              </w:rPr>
              <w:lastRenderedPageBreak/>
              <w:t xml:space="preserve">Amount by which business rates income credited to the </w:t>
            </w:r>
            <w:r w:rsidRPr="00D948C1">
              <w:rPr>
                <w:rFonts w:cs="Arial"/>
                <w:szCs w:val="24"/>
              </w:rPr>
              <w:t xml:space="preserve">Comprehensive Income and Expenditure Statement is different from </w:t>
            </w:r>
            <w:r w:rsidRPr="00D948C1">
              <w:rPr>
                <w:szCs w:val="24"/>
              </w:rPr>
              <w:t>business rates</w:t>
            </w:r>
            <w:r w:rsidRPr="00D948C1">
              <w:rPr>
                <w:rFonts w:cs="Arial"/>
                <w:szCs w:val="24"/>
              </w:rPr>
              <w:t xml:space="preserve"> income calculated for the year in accordance with statutory requirements</w:t>
            </w:r>
          </w:p>
        </w:tc>
        <w:tc>
          <w:tcPr>
            <w:tcW w:w="1134" w:type="dxa"/>
            <w:vAlign w:val="center"/>
          </w:tcPr>
          <w:p w14:paraId="329DBEEF" w14:textId="2A8A7625" w:rsidR="0010066C" w:rsidRPr="00D948C1" w:rsidRDefault="0010066C" w:rsidP="006C0086">
            <w:pPr>
              <w:tabs>
                <w:tab w:val="decimal" w:pos="837"/>
              </w:tabs>
              <w:spacing w:line="276" w:lineRule="auto"/>
              <w:jc w:val="right"/>
              <w:rPr>
                <w:szCs w:val="24"/>
              </w:rPr>
            </w:pPr>
            <w:r w:rsidRPr="00D948C1">
              <w:rPr>
                <w:szCs w:val="24"/>
              </w:rPr>
              <w:t>-</w:t>
            </w:r>
          </w:p>
        </w:tc>
        <w:tc>
          <w:tcPr>
            <w:tcW w:w="1134" w:type="dxa"/>
            <w:vAlign w:val="center"/>
          </w:tcPr>
          <w:p w14:paraId="51C3C2FA" w14:textId="301C9CC2" w:rsidR="0010066C" w:rsidRPr="00D948C1" w:rsidRDefault="0010066C" w:rsidP="006C0086">
            <w:pPr>
              <w:tabs>
                <w:tab w:val="decimal" w:pos="837"/>
              </w:tabs>
              <w:spacing w:line="276" w:lineRule="auto"/>
              <w:jc w:val="right"/>
              <w:rPr>
                <w:szCs w:val="24"/>
              </w:rPr>
            </w:pPr>
            <w:r w:rsidRPr="00D948C1">
              <w:rPr>
                <w:szCs w:val="24"/>
              </w:rPr>
              <w:t>-</w:t>
            </w:r>
          </w:p>
        </w:tc>
        <w:tc>
          <w:tcPr>
            <w:tcW w:w="1134" w:type="dxa"/>
            <w:vAlign w:val="center"/>
          </w:tcPr>
          <w:p w14:paraId="5E1BC2DE" w14:textId="176AC872" w:rsidR="0010066C" w:rsidRPr="00D948C1" w:rsidRDefault="0010066C" w:rsidP="006C0086">
            <w:pPr>
              <w:tabs>
                <w:tab w:val="decimal" w:pos="837"/>
              </w:tabs>
              <w:spacing w:line="276" w:lineRule="auto"/>
              <w:jc w:val="right"/>
              <w:rPr>
                <w:szCs w:val="24"/>
              </w:rPr>
            </w:pPr>
            <w:r w:rsidRPr="00D948C1">
              <w:rPr>
                <w:szCs w:val="24"/>
              </w:rPr>
              <w:t>(</w:t>
            </w:r>
            <w:r w:rsidR="001903A2" w:rsidRPr="00D948C1">
              <w:rPr>
                <w:szCs w:val="24"/>
              </w:rPr>
              <w:t>38</w:t>
            </w:r>
            <w:r w:rsidRPr="00D948C1">
              <w:rPr>
                <w:szCs w:val="24"/>
              </w:rPr>
              <w:t>)</w:t>
            </w:r>
          </w:p>
        </w:tc>
        <w:tc>
          <w:tcPr>
            <w:tcW w:w="1134" w:type="dxa"/>
            <w:vAlign w:val="center"/>
          </w:tcPr>
          <w:p w14:paraId="73D7434B" w14:textId="312062F9" w:rsidR="0010066C" w:rsidRPr="00D948C1" w:rsidRDefault="0010066C" w:rsidP="006C0086">
            <w:pPr>
              <w:tabs>
                <w:tab w:val="decimal" w:pos="837"/>
              </w:tabs>
              <w:spacing w:line="276" w:lineRule="auto"/>
              <w:jc w:val="right"/>
              <w:rPr>
                <w:szCs w:val="24"/>
              </w:rPr>
            </w:pPr>
            <w:r w:rsidRPr="00D948C1">
              <w:rPr>
                <w:szCs w:val="24"/>
              </w:rPr>
              <w:t>(1,127)</w:t>
            </w:r>
          </w:p>
        </w:tc>
        <w:tc>
          <w:tcPr>
            <w:tcW w:w="1134" w:type="dxa"/>
            <w:vAlign w:val="center"/>
          </w:tcPr>
          <w:p w14:paraId="243D8132" w14:textId="54576829" w:rsidR="0010066C" w:rsidRPr="00D948C1" w:rsidRDefault="0010066C" w:rsidP="006C0086">
            <w:pPr>
              <w:tabs>
                <w:tab w:val="decimal" w:pos="837"/>
              </w:tabs>
              <w:spacing w:line="276" w:lineRule="auto"/>
              <w:jc w:val="right"/>
              <w:rPr>
                <w:szCs w:val="24"/>
              </w:rPr>
            </w:pPr>
            <w:r w:rsidRPr="00D948C1">
              <w:rPr>
                <w:szCs w:val="24"/>
              </w:rPr>
              <w:t>(</w:t>
            </w:r>
            <w:r w:rsidR="001903A2" w:rsidRPr="00D948C1">
              <w:rPr>
                <w:szCs w:val="24"/>
              </w:rPr>
              <w:t>38</w:t>
            </w:r>
            <w:r w:rsidRPr="00D948C1">
              <w:rPr>
                <w:szCs w:val="24"/>
              </w:rPr>
              <w:t>)</w:t>
            </w:r>
          </w:p>
        </w:tc>
        <w:tc>
          <w:tcPr>
            <w:tcW w:w="1134" w:type="dxa"/>
            <w:vAlign w:val="center"/>
          </w:tcPr>
          <w:p w14:paraId="61A4CEFA" w14:textId="6FC4CE86" w:rsidR="0010066C" w:rsidRPr="00D948C1" w:rsidRDefault="0010066C" w:rsidP="006C0086">
            <w:pPr>
              <w:tabs>
                <w:tab w:val="decimal" w:pos="837"/>
              </w:tabs>
              <w:spacing w:line="276" w:lineRule="auto"/>
              <w:jc w:val="right"/>
              <w:rPr>
                <w:szCs w:val="24"/>
              </w:rPr>
            </w:pPr>
            <w:r w:rsidRPr="00D948C1">
              <w:rPr>
                <w:szCs w:val="24"/>
              </w:rPr>
              <w:t>(1,127)</w:t>
            </w:r>
          </w:p>
        </w:tc>
      </w:tr>
      <w:tr w:rsidR="0010066C" w:rsidRPr="00D948C1" w14:paraId="15A945F2" w14:textId="77777777" w:rsidTr="00746F3D">
        <w:trPr>
          <w:trHeight w:hRule="exact" w:val="300"/>
        </w:trPr>
        <w:tc>
          <w:tcPr>
            <w:tcW w:w="3074" w:type="dxa"/>
          </w:tcPr>
          <w:p w14:paraId="5CC6C090"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31 March</w:t>
            </w:r>
          </w:p>
        </w:tc>
        <w:tc>
          <w:tcPr>
            <w:tcW w:w="1134" w:type="dxa"/>
            <w:vAlign w:val="center"/>
          </w:tcPr>
          <w:p w14:paraId="4FD633D8" w14:textId="2FADA3A9" w:rsidR="0010066C" w:rsidRPr="00D948C1" w:rsidRDefault="001903A2" w:rsidP="006C0086">
            <w:pPr>
              <w:tabs>
                <w:tab w:val="decimal" w:pos="837"/>
              </w:tabs>
              <w:spacing w:line="276" w:lineRule="auto"/>
              <w:jc w:val="right"/>
              <w:rPr>
                <w:szCs w:val="24"/>
              </w:rPr>
            </w:pPr>
            <w:r w:rsidRPr="00D948C1">
              <w:rPr>
                <w:szCs w:val="24"/>
              </w:rPr>
              <w:t>130</w:t>
            </w:r>
          </w:p>
        </w:tc>
        <w:tc>
          <w:tcPr>
            <w:tcW w:w="1134" w:type="dxa"/>
            <w:vAlign w:val="center"/>
          </w:tcPr>
          <w:p w14:paraId="678FD602" w14:textId="77862091" w:rsidR="0010066C" w:rsidRPr="00D948C1" w:rsidRDefault="0010066C" w:rsidP="006C0086">
            <w:pPr>
              <w:tabs>
                <w:tab w:val="decimal" w:pos="837"/>
              </w:tabs>
              <w:spacing w:line="276" w:lineRule="auto"/>
              <w:jc w:val="right"/>
              <w:rPr>
                <w:szCs w:val="24"/>
              </w:rPr>
            </w:pPr>
            <w:r w:rsidRPr="00D948C1">
              <w:rPr>
                <w:szCs w:val="24"/>
              </w:rPr>
              <w:t>5</w:t>
            </w:r>
          </w:p>
        </w:tc>
        <w:tc>
          <w:tcPr>
            <w:tcW w:w="1134" w:type="dxa"/>
            <w:vAlign w:val="center"/>
          </w:tcPr>
          <w:p w14:paraId="14120430" w14:textId="05BA004D" w:rsidR="0010066C" w:rsidRPr="00D948C1" w:rsidRDefault="0010066C" w:rsidP="006C0086">
            <w:pPr>
              <w:tabs>
                <w:tab w:val="decimal" w:pos="837"/>
              </w:tabs>
              <w:spacing w:line="276" w:lineRule="auto"/>
              <w:jc w:val="right"/>
              <w:rPr>
                <w:szCs w:val="24"/>
              </w:rPr>
            </w:pPr>
            <w:r w:rsidRPr="00D948C1">
              <w:rPr>
                <w:szCs w:val="24"/>
              </w:rPr>
              <w:t>(2</w:t>
            </w:r>
            <w:r w:rsidR="001903A2" w:rsidRPr="00D948C1">
              <w:rPr>
                <w:szCs w:val="24"/>
              </w:rPr>
              <w:t>49</w:t>
            </w:r>
            <w:r w:rsidRPr="00D948C1">
              <w:rPr>
                <w:szCs w:val="24"/>
              </w:rPr>
              <w:t>)</w:t>
            </w:r>
          </w:p>
        </w:tc>
        <w:tc>
          <w:tcPr>
            <w:tcW w:w="1134" w:type="dxa"/>
            <w:vAlign w:val="center"/>
          </w:tcPr>
          <w:p w14:paraId="123769C6" w14:textId="04AE07CE" w:rsidR="0010066C" w:rsidRPr="00D948C1" w:rsidRDefault="0010066C" w:rsidP="006C0086">
            <w:pPr>
              <w:tabs>
                <w:tab w:val="decimal" w:pos="837"/>
              </w:tabs>
              <w:spacing w:line="276" w:lineRule="auto"/>
              <w:jc w:val="right"/>
              <w:rPr>
                <w:szCs w:val="24"/>
              </w:rPr>
            </w:pPr>
            <w:r w:rsidRPr="00D948C1">
              <w:rPr>
                <w:szCs w:val="24"/>
              </w:rPr>
              <w:t>(212)</w:t>
            </w:r>
          </w:p>
        </w:tc>
        <w:tc>
          <w:tcPr>
            <w:tcW w:w="1134" w:type="dxa"/>
            <w:vAlign w:val="center"/>
          </w:tcPr>
          <w:p w14:paraId="72E19D94" w14:textId="09B3F285" w:rsidR="0010066C" w:rsidRPr="00D948C1" w:rsidRDefault="0010066C" w:rsidP="006C0086">
            <w:pPr>
              <w:tabs>
                <w:tab w:val="decimal" w:pos="837"/>
              </w:tabs>
              <w:spacing w:line="276" w:lineRule="auto"/>
              <w:jc w:val="right"/>
              <w:rPr>
                <w:szCs w:val="24"/>
              </w:rPr>
            </w:pPr>
            <w:r w:rsidRPr="00D948C1">
              <w:rPr>
                <w:szCs w:val="24"/>
              </w:rPr>
              <w:t>(</w:t>
            </w:r>
            <w:r w:rsidR="001903A2" w:rsidRPr="00D948C1">
              <w:rPr>
                <w:szCs w:val="24"/>
              </w:rPr>
              <w:t>120</w:t>
            </w:r>
            <w:r w:rsidRPr="00D948C1">
              <w:rPr>
                <w:szCs w:val="24"/>
              </w:rPr>
              <w:t>)</w:t>
            </w:r>
          </w:p>
        </w:tc>
        <w:tc>
          <w:tcPr>
            <w:tcW w:w="1134" w:type="dxa"/>
            <w:vAlign w:val="center"/>
          </w:tcPr>
          <w:p w14:paraId="54673000" w14:textId="1F538B70" w:rsidR="0010066C" w:rsidRPr="00D948C1" w:rsidRDefault="0010066C" w:rsidP="006C0086">
            <w:pPr>
              <w:tabs>
                <w:tab w:val="decimal" w:pos="837"/>
              </w:tabs>
              <w:spacing w:line="276" w:lineRule="auto"/>
              <w:jc w:val="right"/>
              <w:rPr>
                <w:szCs w:val="24"/>
              </w:rPr>
            </w:pPr>
            <w:r w:rsidRPr="00D948C1">
              <w:rPr>
                <w:szCs w:val="24"/>
              </w:rPr>
              <w:t>(207)</w:t>
            </w:r>
          </w:p>
        </w:tc>
      </w:tr>
    </w:tbl>
    <w:p w14:paraId="19ED1581" w14:textId="77777777" w:rsidR="00D90216" w:rsidRPr="00D948C1" w:rsidRDefault="00350024" w:rsidP="006C0086">
      <w:pPr>
        <w:pStyle w:val="BodyTextIndent"/>
        <w:spacing w:line="276" w:lineRule="auto"/>
        <w:ind w:left="709"/>
        <w:rPr>
          <w:rFonts w:cs="Arial"/>
          <w:b/>
          <w:szCs w:val="24"/>
        </w:rPr>
      </w:pPr>
      <w:r w:rsidRPr="00D948C1">
        <w:rPr>
          <w:rFonts w:cs="Arial"/>
          <w:b/>
          <w:sz w:val="22"/>
          <w:szCs w:val="22"/>
        </w:rPr>
        <w:br w:type="page"/>
      </w:r>
      <w:r w:rsidR="00D90216" w:rsidRPr="00D948C1">
        <w:rPr>
          <w:rFonts w:cs="Arial"/>
          <w:b/>
          <w:szCs w:val="24"/>
        </w:rPr>
        <w:lastRenderedPageBreak/>
        <w:t>Accumulated Absences Adjustment Account</w:t>
      </w:r>
    </w:p>
    <w:p w14:paraId="375EBF5E" w14:textId="77777777" w:rsidR="00D90216" w:rsidRPr="00D948C1" w:rsidRDefault="00D90216" w:rsidP="006C0086">
      <w:pPr>
        <w:pStyle w:val="BodyTextIndent"/>
        <w:spacing w:line="276" w:lineRule="auto"/>
        <w:ind w:left="709"/>
        <w:rPr>
          <w:rFonts w:cs="Arial"/>
          <w:szCs w:val="24"/>
        </w:rPr>
      </w:pPr>
    </w:p>
    <w:p w14:paraId="48E05A41" w14:textId="77777777" w:rsidR="00D90216" w:rsidRPr="00D948C1" w:rsidRDefault="00D90216" w:rsidP="006C0086">
      <w:pPr>
        <w:pStyle w:val="BodyTextIndent"/>
        <w:spacing w:line="276" w:lineRule="auto"/>
        <w:ind w:left="709"/>
        <w:rPr>
          <w:rFonts w:cs="Arial"/>
          <w:szCs w:val="24"/>
        </w:rPr>
      </w:pPr>
      <w:r w:rsidRPr="00D948C1">
        <w:rPr>
          <w:rFonts w:cs="Arial"/>
          <w:szCs w:val="24"/>
        </w:rPr>
        <w:t>The Accumulated Absences Adjustment Account manages the differences arising from the recognition of accrued employee costs in the Comprehensive Income and Expenditure Statement compared with the statutory arrangements for paying across amounts to the General Fund.</w:t>
      </w:r>
    </w:p>
    <w:p w14:paraId="61F35909" w14:textId="77777777" w:rsidR="00D90216" w:rsidRPr="00D948C1" w:rsidRDefault="00D90216" w:rsidP="006C0086">
      <w:pPr>
        <w:pStyle w:val="BodyTextIndent"/>
        <w:spacing w:line="276" w:lineRule="auto"/>
        <w:ind w:left="709"/>
        <w:jc w:val="both"/>
        <w:rPr>
          <w:rFonts w:cs="Arial"/>
          <w:szCs w:val="24"/>
        </w:rPr>
      </w:pPr>
    </w:p>
    <w:tbl>
      <w:tblPr>
        <w:tblW w:w="86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371"/>
        <w:gridCol w:w="1346"/>
      </w:tblGrid>
      <w:tr w:rsidR="0010066C" w:rsidRPr="00D948C1" w14:paraId="25AFEF27" w14:textId="77777777" w:rsidTr="00611673">
        <w:trPr>
          <w:trHeight w:hRule="exact" w:val="588"/>
        </w:trPr>
        <w:tc>
          <w:tcPr>
            <w:tcW w:w="5909" w:type="dxa"/>
            <w:shd w:val="clear" w:color="auto" w:fill="BD2716"/>
          </w:tcPr>
          <w:p w14:paraId="4FAB9DE9" w14:textId="77777777" w:rsidR="0010066C" w:rsidRPr="00D948C1" w:rsidRDefault="0010066C" w:rsidP="006C0086">
            <w:pPr>
              <w:tabs>
                <w:tab w:val="left" w:pos="720"/>
                <w:tab w:val="center" w:pos="6930"/>
              </w:tabs>
              <w:spacing w:line="276" w:lineRule="auto"/>
              <w:rPr>
                <w:color w:val="FFFFFF" w:themeColor="background1"/>
                <w:szCs w:val="24"/>
              </w:rPr>
            </w:pPr>
          </w:p>
        </w:tc>
        <w:tc>
          <w:tcPr>
            <w:tcW w:w="1371" w:type="dxa"/>
            <w:shd w:val="clear" w:color="auto" w:fill="BD2716"/>
            <w:vAlign w:val="center"/>
          </w:tcPr>
          <w:p w14:paraId="18D414C6"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05D5E637" w14:textId="1B2DABE0"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346" w:type="dxa"/>
            <w:shd w:val="clear" w:color="auto" w:fill="BD2716"/>
            <w:vAlign w:val="center"/>
          </w:tcPr>
          <w:p w14:paraId="7DFA5F2C"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4858503E" w14:textId="0922138C"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20C5DDE6" w14:textId="77777777" w:rsidTr="00746F3D">
        <w:trPr>
          <w:trHeight w:hRule="exact" w:val="300"/>
        </w:trPr>
        <w:tc>
          <w:tcPr>
            <w:tcW w:w="5909" w:type="dxa"/>
          </w:tcPr>
          <w:p w14:paraId="31B92393"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1 April</w:t>
            </w:r>
          </w:p>
        </w:tc>
        <w:tc>
          <w:tcPr>
            <w:tcW w:w="1371" w:type="dxa"/>
            <w:shd w:val="clear" w:color="auto" w:fill="auto"/>
            <w:vAlign w:val="center"/>
          </w:tcPr>
          <w:p w14:paraId="269693E6" w14:textId="5A2F57E6" w:rsidR="0010066C" w:rsidRPr="00D948C1" w:rsidRDefault="0010066C" w:rsidP="006C0086">
            <w:pPr>
              <w:tabs>
                <w:tab w:val="decimal" w:pos="837"/>
              </w:tabs>
              <w:spacing w:line="276" w:lineRule="auto"/>
              <w:jc w:val="right"/>
              <w:rPr>
                <w:szCs w:val="24"/>
              </w:rPr>
            </w:pPr>
            <w:r w:rsidRPr="00D948C1">
              <w:rPr>
                <w:szCs w:val="24"/>
              </w:rPr>
              <w:t>957</w:t>
            </w:r>
          </w:p>
        </w:tc>
        <w:tc>
          <w:tcPr>
            <w:tcW w:w="1346" w:type="dxa"/>
            <w:vAlign w:val="center"/>
          </w:tcPr>
          <w:p w14:paraId="16FAA93C" w14:textId="04097856" w:rsidR="0010066C" w:rsidRPr="00D948C1" w:rsidRDefault="0010066C" w:rsidP="006C0086">
            <w:pPr>
              <w:tabs>
                <w:tab w:val="decimal" w:pos="837"/>
              </w:tabs>
              <w:spacing w:line="276" w:lineRule="auto"/>
              <w:jc w:val="right"/>
              <w:rPr>
                <w:szCs w:val="24"/>
              </w:rPr>
            </w:pPr>
            <w:r w:rsidRPr="00D948C1">
              <w:rPr>
                <w:szCs w:val="24"/>
              </w:rPr>
              <w:t>839</w:t>
            </w:r>
          </w:p>
        </w:tc>
      </w:tr>
      <w:tr w:rsidR="0010066C" w:rsidRPr="00D948C1" w14:paraId="761D061F" w14:textId="77777777" w:rsidTr="003572E5">
        <w:trPr>
          <w:trHeight w:hRule="exact" w:val="828"/>
        </w:trPr>
        <w:tc>
          <w:tcPr>
            <w:tcW w:w="5909" w:type="dxa"/>
          </w:tcPr>
          <w:p w14:paraId="61DE7920" w14:textId="77777777" w:rsidR="0010066C" w:rsidRPr="00D948C1" w:rsidRDefault="0010066C" w:rsidP="006C0086">
            <w:pPr>
              <w:tabs>
                <w:tab w:val="left" w:pos="720"/>
                <w:tab w:val="center" w:pos="6930"/>
              </w:tabs>
              <w:spacing w:line="276" w:lineRule="auto"/>
              <w:rPr>
                <w:szCs w:val="24"/>
              </w:rPr>
            </w:pPr>
            <w:r w:rsidRPr="00D948C1">
              <w:rPr>
                <w:szCs w:val="24"/>
              </w:rPr>
              <w:t>Amount by which remuneration charged on an accruals basis is different from remuneration chargeable in the year in accordance with statutory requirements</w:t>
            </w:r>
          </w:p>
        </w:tc>
        <w:tc>
          <w:tcPr>
            <w:tcW w:w="1371" w:type="dxa"/>
            <w:shd w:val="clear" w:color="auto" w:fill="auto"/>
            <w:vAlign w:val="center"/>
          </w:tcPr>
          <w:p w14:paraId="2ED99FC9" w14:textId="60BE5345" w:rsidR="0010066C" w:rsidRPr="00D948C1" w:rsidRDefault="00BF5DF9" w:rsidP="006C0086">
            <w:pPr>
              <w:tabs>
                <w:tab w:val="decimal" w:pos="837"/>
              </w:tabs>
              <w:spacing w:line="276" w:lineRule="auto"/>
              <w:jc w:val="right"/>
              <w:rPr>
                <w:szCs w:val="24"/>
              </w:rPr>
            </w:pPr>
            <w:r w:rsidRPr="00D948C1">
              <w:rPr>
                <w:szCs w:val="24"/>
              </w:rPr>
              <w:t>-3</w:t>
            </w:r>
          </w:p>
        </w:tc>
        <w:tc>
          <w:tcPr>
            <w:tcW w:w="1346" w:type="dxa"/>
            <w:vAlign w:val="center"/>
          </w:tcPr>
          <w:p w14:paraId="5E44C566" w14:textId="70F897ED" w:rsidR="0010066C" w:rsidRPr="00D948C1" w:rsidRDefault="0010066C" w:rsidP="006C0086">
            <w:pPr>
              <w:tabs>
                <w:tab w:val="decimal" w:pos="837"/>
              </w:tabs>
              <w:spacing w:line="276" w:lineRule="auto"/>
              <w:jc w:val="right"/>
              <w:rPr>
                <w:szCs w:val="24"/>
              </w:rPr>
            </w:pPr>
            <w:r w:rsidRPr="00D948C1">
              <w:rPr>
                <w:szCs w:val="24"/>
              </w:rPr>
              <w:t>118</w:t>
            </w:r>
          </w:p>
        </w:tc>
      </w:tr>
      <w:tr w:rsidR="0010066C" w:rsidRPr="00D948C1" w14:paraId="6EDD4F0F" w14:textId="77777777" w:rsidTr="00746F3D">
        <w:trPr>
          <w:trHeight w:hRule="exact" w:val="300"/>
        </w:trPr>
        <w:tc>
          <w:tcPr>
            <w:tcW w:w="5909" w:type="dxa"/>
          </w:tcPr>
          <w:p w14:paraId="7E6701EB" w14:textId="77777777" w:rsidR="0010066C" w:rsidRPr="00D948C1" w:rsidRDefault="0010066C" w:rsidP="006C0086">
            <w:pPr>
              <w:tabs>
                <w:tab w:val="left" w:pos="720"/>
                <w:tab w:val="center" w:pos="6930"/>
              </w:tabs>
              <w:spacing w:line="276" w:lineRule="auto"/>
              <w:rPr>
                <w:szCs w:val="24"/>
              </w:rPr>
            </w:pPr>
            <w:r w:rsidRPr="00D948C1">
              <w:rPr>
                <w:szCs w:val="24"/>
              </w:rPr>
              <w:t xml:space="preserve">Balance </w:t>
            </w:r>
            <w:proofErr w:type="gramStart"/>
            <w:r w:rsidRPr="00D948C1">
              <w:rPr>
                <w:szCs w:val="24"/>
              </w:rPr>
              <w:t>at</w:t>
            </w:r>
            <w:proofErr w:type="gramEnd"/>
            <w:r w:rsidRPr="00D948C1">
              <w:rPr>
                <w:szCs w:val="24"/>
              </w:rPr>
              <w:t xml:space="preserve"> 31 March</w:t>
            </w:r>
          </w:p>
        </w:tc>
        <w:tc>
          <w:tcPr>
            <w:tcW w:w="1371" w:type="dxa"/>
            <w:shd w:val="clear" w:color="auto" w:fill="auto"/>
            <w:vAlign w:val="center"/>
          </w:tcPr>
          <w:p w14:paraId="50C198D8" w14:textId="4B24546D" w:rsidR="0010066C" w:rsidRPr="00D948C1" w:rsidRDefault="0010066C" w:rsidP="006C0086">
            <w:pPr>
              <w:tabs>
                <w:tab w:val="decimal" w:pos="837"/>
              </w:tabs>
              <w:spacing w:line="276" w:lineRule="auto"/>
              <w:jc w:val="right"/>
              <w:rPr>
                <w:szCs w:val="24"/>
              </w:rPr>
            </w:pPr>
            <w:r w:rsidRPr="00D948C1">
              <w:rPr>
                <w:szCs w:val="24"/>
              </w:rPr>
              <w:t>95</w:t>
            </w:r>
            <w:r w:rsidR="00BF5DF9" w:rsidRPr="00D948C1">
              <w:rPr>
                <w:szCs w:val="24"/>
              </w:rPr>
              <w:t>4</w:t>
            </w:r>
          </w:p>
        </w:tc>
        <w:tc>
          <w:tcPr>
            <w:tcW w:w="1346" w:type="dxa"/>
            <w:vAlign w:val="center"/>
          </w:tcPr>
          <w:p w14:paraId="29A13817" w14:textId="1213E912" w:rsidR="0010066C" w:rsidRPr="00D948C1" w:rsidRDefault="0010066C" w:rsidP="006C0086">
            <w:pPr>
              <w:tabs>
                <w:tab w:val="decimal" w:pos="837"/>
              </w:tabs>
              <w:spacing w:line="276" w:lineRule="auto"/>
              <w:jc w:val="right"/>
              <w:rPr>
                <w:szCs w:val="24"/>
              </w:rPr>
            </w:pPr>
            <w:r w:rsidRPr="00D948C1">
              <w:rPr>
                <w:szCs w:val="24"/>
              </w:rPr>
              <w:t>957</w:t>
            </w:r>
          </w:p>
        </w:tc>
      </w:tr>
    </w:tbl>
    <w:p w14:paraId="3B2ED608" w14:textId="77777777" w:rsidR="00D90216" w:rsidRPr="00D948C1" w:rsidRDefault="00D90216" w:rsidP="006C0086">
      <w:pPr>
        <w:spacing w:line="276" w:lineRule="auto"/>
        <w:rPr>
          <w:b/>
          <w:sz w:val="22"/>
        </w:rPr>
      </w:pPr>
    </w:p>
    <w:p w14:paraId="0ED5B3D2" w14:textId="77777777" w:rsidR="00D90216" w:rsidRPr="00D948C1" w:rsidRDefault="008F213A" w:rsidP="006C0086">
      <w:pPr>
        <w:pStyle w:val="Heading2"/>
        <w:spacing w:line="276" w:lineRule="auto"/>
        <w:jc w:val="left"/>
        <w:rPr>
          <w:sz w:val="24"/>
          <w:szCs w:val="24"/>
        </w:rPr>
      </w:pPr>
      <w:bookmarkStart w:id="58" w:name="_Toc171068803"/>
      <w:r w:rsidRPr="00D948C1">
        <w:rPr>
          <w:sz w:val="24"/>
          <w:szCs w:val="24"/>
        </w:rPr>
        <w:t>19</w:t>
      </w:r>
      <w:r w:rsidR="00D90216" w:rsidRPr="00D948C1">
        <w:rPr>
          <w:sz w:val="24"/>
          <w:szCs w:val="24"/>
        </w:rPr>
        <w:tab/>
      </w:r>
      <w:bookmarkStart w:id="59" w:name="N19"/>
      <w:bookmarkEnd w:id="59"/>
      <w:r w:rsidR="00D90216" w:rsidRPr="00D948C1">
        <w:rPr>
          <w:sz w:val="24"/>
          <w:szCs w:val="24"/>
        </w:rPr>
        <w:t>Contingent Liability</w:t>
      </w:r>
      <w:bookmarkEnd w:id="58"/>
    </w:p>
    <w:p w14:paraId="4FE07645" w14:textId="77777777" w:rsidR="008B4E79" w:rsidRPr="00D948C1" w:rsidRDefault="008B4E79" w:rsidP="006C0086">
      <w:pPr>
        <w:spacing w:line="276" w:lineRule="auto"/>
        <w:rPr>
          <w:rFonts w:cs="Arial"/>
          <w:color w:val="000000"/>
          <w:szCs w:val="24"/>
        </w:rPr>
      </w:pPr>
    </w:p>
    <w:p w14:paraId="3FF1CC98" w14:textId="47DDBE10" w:rsidR="009F7FA6" w:rsidRPr="009F7FA6" w:rsidRDefault="009F7FA6" w:rsidP="006C0086">
      <w:pPr>
        <w:spacing w:line="276" w:lineRule="auto"/>
        <w:ind w:left="720"/>
        <w:rPr>
          <w:rFonts w:cs="Arial"/>
          <w:color w:val="000000"/>
          <w:szCs w:val="24"/>
        </w:rPr>
      </w:pPr>
      <w:bookmarkStart w:id="60" w:name="_Hlk140240379"/>
      <w:r w:rsidRPr="009F7FA6">
        <w:rPr>
          <w:rFonts w:cs="Arial"/>
          <w:color w:val="000000"/>
          <w:szCs w:val="24"/>
        </w:rPr>
        <w:t xml:space="preserve">Matthews Case </w:t>
      </w:r>
      <w:r>
        <w:rPr>
          <w:rFonts w:cs="Arial"/>
          <w:color w:val="000000"/>
          <w:szCs w:val="24"/>
        </w:rPr>
        <w:t>S</w:t>
      </w:r>
      <w:r w:rsidRPr="009F7FA6">
        <w:rPr>
          <w:rFonts w:cs="Arial"/>
          <w:color w:val="000000"/>
          <w:szCs w:val="24"/>
        </w:rPr>
        <w:t>tage 2</w:t>
      </w:r>
    </w:p>
    <w:p w14:paraId="3A42C3F4" w14:textId="77777777" w:rsidR="009F7FA6" w:rsidRPr="009F7FA6" w:rsidRDefault="009F7FA6" w:rsidP="006C0086">
      <w:pPr>
        <w:spacing w:line="276" w:lineRule="auto"/>
        <w:ind w:left="720"/>
        <w:rPr>
          <w:rFonts w:cs="Arial"/>
          <w:color w:val="000000"/>
          <w:szCs w:val="24"/>
        </w:rPr>
      </w:pPr>
    </w:p>
    <w:p w14:paraId="2E642E39" w14:textId="1548EAB6" w:rsidR="009F7FA6" w:rsidRDefault="009F7FA6" w:rsidP="006C0086">
      <w:pPr>
        <w:spacing w:line="276" w:lineRule="auto"/>
        <w:ind w:left="720"/>
        <w:rPr>
          <w:rFonts w:cs="Arial"/>
          <w:color w:val="000000"/>
          <w:szCs w:val="24"/>
        </w:rPr>
      </w:pPr>
      <w:r w:rsidRPr="009F7FA6">
        <w:rPr>
          <w:rFonts w:cs="Arial"/>
          <w:color w:val="000000"/>
          <w:szCs w:val="24"/>
        </w:rPr>
        <w:t xml:space="preserve">Before 2006, retained firefighters were not eligible to join the fire service pension scheme. This was challenged in court and a modified scheme was developed for retained firefighters employed between 1 July 2000 and 5 April 2006. Following the Matthews case, the European Court ruled separately that retained firefighters could “buy back” pensionable benefits from the start of their employment, provided they were employed as a firefighter between 7 April 2000 and 30 June 2000. These members will be contacted </w:t>
      </w:r>
      <w:r>
        <w:rPr>
          <w:rFonts w:cs="Arial"/>
          <w:color w:val="000000"/>
          <w:szCs w:val="24"/>
        </w:rPr>
        <w:t>during</w:t>
      </w:r>
      <w:r w:rsidRPr="009F7FA6">
        <w:rPr>
          <w:rFonts w:cs="Arial"/>
          <w:color w:val="000000"/>
          <w:szCs w:val="24"/>
        </w:rPr>
        <w:t xml:space="preserve"> 2024</w:t>
      </w:r>
      <w:r>
        <w:rPr>
          <w:rFonts w:cs="Arial"/>
          <w:color w:val="000000"/>
          <w:szCs w:val="24"/>
        </w:rPr>
        <w:t>/25</w:t>
      </w:r>
      <w:r w:rsidRPr="009F7FA6">
        <w:rPr>
          <w:rFonts w:cs="Arial"/>
          <w:color w:val="000000"/>
          <w:szCs w:val="24"/>
        </w:rPr>
        <w:t xml:space="preserve"> with the option to join the scheme or buy back additional pensionable service.</w:t>
      </w:r>
    </w:p>
    <w:p w14:paraId="719468FC" w14:textId="77777777" w:rsidR="009F7FA6" w:rsidRDefault="009F7FA6" w:rsidP="006C0086">
      <w:pPr>
        <w:spacing w:line="276" w:lineRule="auto"/>
        <w:ind w:left="720"/>
        <w:rPr>
          <w:rFonts w:cs="Arial"/>
          <w:color w:val="000000"/>
          <w:szCs w:val="24"/>
        </w:rPr>
      </w:pPr>
    </w:p>
    <w:p w14:paraId="54213E46" w14:textId="77777777" w:rsidR="009F7FA6" w:rsidRPr="009F7FA6" w:rsidRDefault="009F7FA6" w:rsidP="006C0086">
      <w:pPr>
        <w:spacing w:line="276" w:lineRule="auto"/>
        <w:ind w:left="720"/>
        <w:rPr>
          <w:rFonts w:cs="Arial"/>
          <w:color w:val="000000"/>
          <w:szCs w:val="24"/>
        </w:rPr>
      </w:pPr>
      <w:r w:rsidRPr="009F7FA6">
        <w:rPr>
          <w:rFonts w:cs="Arial"/>
          <w:color w:val="000000"/>
          <w:szCs w:val="24"/>
        </w:rPr>
        <w:t>The Government’s Actuary Department has estimated a potential increase in the firefighter pension scheme liability to be £26m. As there are several uncertainties regarding eligibility, value of additional benefits and take up of additional benefits it is unclear what the actual cost to the Authority will be. The Authority is expecting these costs to be covered by grant funding from the Home Office.</w:t>
      </w:r>
    </w:p>
    <w:p w14:paraId="659F747B" w14:textId="77777777" w:rsidR="000D74A5" w:rsidRDefault="000D74A5" w:rsidP="006C0086">
      <w:pPr>
        <w:spacing w:line="276" w:lineRule="auto"/>
        <w:ind w:left="720"/>
        <w:rPr>
          <w:rFonts w:cs="Arial"/>
          <w:color w:val="000000"/>
          <w:szCs w:val="24"/>
        </w:rPr>
      </w:pPr>
    </w:p>
    <w:p w14:paraId="763E62B3" w14:textId="09035E5E" w:rsidR="00D90216" w:rsidRPr="00D948C1" w:rsidRDefault="001C592E" w:rsidP="006C0086">
      <w:pPr>
        <w:pStyle w:val="Heading2"/>
        <w:spacing w:line="276" w:lineRule="auto"/>
        <w:jc w:val="left"/>
        <w:rPr>
          <w:sz w:val="24"/>
          <w:szCs w:val="24"/>
        </w:rPr>
      </w:pPr>
      <w:bookmarkStart w:id="61" w:name="_Toc171068804"/>
      <w:bookmarkEnd w:id="60"/>
      <w:r w:rsidRPr="00D948C1">
        <w:rPr>
          <w:sz w:val="24"/>
          <w:szCs w:val="24"/>
        </w:rPr>
        <w:t>2</w:t>
      </w:r>
      <w:r w:rsidR="00535820" w:rsidRPr="00D948C1">
        <w:rPr>
          <w:sz w:val="24"/>
          <w:szCs w:val="24"/>
        </w:rPr>
        <w:t>0</w:t>
      </w:r>
      <w:r w:rsidR="00D90216" w:rsidRPr="00D948C1">
        <w:rPr>
          <w:sz w:val="24"/>
          <w:szCs w:val="24"/>
        </w:rPr>
        <w:tab/>
        <w:t>Post Balance Sheet Events</w:t>
      </w:r>
      <w:bookmarkEnd w:id="61"/>
    </w:p>
    <w:p w14:paraId="525D6849" w14:textId="77777777" w:rsidR="00D90216" w:rsidRPr="00D948C1" w:rsidRDefault="00D90216" w:rsidP="006C0086">
      <w:pPr>
        <w:spacing w:line="276" w:lineRule="auto"/>
        <w:rPr>
          <w:szCs w:val="24"/>
        </w:rPr>
      </w:pPr>
    </w:p>
    <w:p w14:paraId="64768AB7" w14:textId="3E4A5DB6" w:rsidR="00202CB0" w:rsidRPr="00D948C1" w:rsidRDefault="00970192" w:rsidP="006C0086">
      <w:pPr>
        <w:spacing w:line="276" w:lineRule="auto"/>
        <w:ind w:left="709"/>
        <w:rPr>
          <w:szCs w:val="24"/>
        </w:rPr>
      </w:pPr>
      <w:r w:rsidRPr="00D948C1">
        <w:rPr>
          <w:szCs w:val="24"/>
          <w:lang w:val="en-US"/>
        </w:rPr>
        <w:t xml:space="preserve">As at the date </w:t>
      </w:r>
      <w:r w:rsidR="00C53DA4" w:rsidRPr="00D948C1">
        <w:rPr>
          <w:szCs w:val="24"/>
          <w:lang w:val="en-US"/>
        </w:rPr>
        <w:t>of signing of the</w:t>
      </w:r>
      <w:r w:rsidR="00097D31" w:rsidRPr="00D948C1">
        <w:rPr>
          <w:szCs w:val="24"/>
          <w:lang w:val="en-US"/>
        </w:rPr>
        <w:t xml:space="preserve"> draft</w:t>
      </w:r>
      <w:r w:rsidR="00C53DA4" w:rsidRPr="00D948C1">
        <w:rPr>
          <w:szCs w:val="24"/>
          <w:lang w:val="en-US"/>
        </w:rPr>
        <w:t xml:space="preserve"> accounts, </w:t>
      </w:r>
      <w:r w:rsidR="000C20A6" w:rsidRPr="00D948C1">
        <w:rPr>
          <w:szCs w:val="24"/>
          <w:lang w:val="en-US"/>
        </w:rPr>
        <w:t>05</w:t>
      </w:r>
      <w:r w:rsidR="000C20A6" w:rsidRPr="00D948C1">
        <w:rPr>
          <w:szCs w:val="24"/>
          <w:vertAlign w:val="superscript"/>
          <w:lang w:val="en-US"/>
        </w:rPr>
        <w:t>th</w:t>
      </w:r>
      <w:r w:rsidR="000C20A6" w:rsidRPr="00D948C1">
        <w:rPr>
          <w:szCs w:val="24"/>
          <w:lang w:val="en-US"/>
        </w:rPr>
        <w:t xml:space="preserve"> </w:t>
      </w:r>
      <w:r w:rsidR="00097D31" w:rsidRPr="00D948C1">
        <w:rPr>
          <w:szCs w:val="24"/>
          <w:lang w:val="en-US"/>
        </w:rPr>
        <w:t>July 202</w:t>
      </w:r>
      <w:r w:rsidR="000C20A6" w:rsidRPr="00D948C1">
        <w:rPr>
          <w:szCs w:val="24"/>
          <w:lang w:val="en-US"/>
        </w:rPr>
        <w:t>4</w:t>
      </w:r>
      <w:r w:rsidR="00C53DA4" w:rsidRPr="00D948C1">
        <w:rPr>
          <w:szCs w:val="24"/>
          <w:lang w:val="en-US"/>
        </w:rPr>
        <w:t xml:space="preserve">, </w:t>
      </w:r>
      <w:r w:rsidRPr="00D948C1">
        <w:rPr>
          <w:szCs w:val="24"/>
          <w:lang w:val="en-US"/>
        </w:rPr>
        <w:t xml:space="preserve">there </w:t>
      </w:r>
      <w:r w:rsidR="00ED6F5F" w:rsidRPr="00D948C1">
        <w:rPr>
          <w:szCs w:val="24"/>
          <w:lang w:val="en-US"/>
        </w:rPr>
        <w:t>have been no events either adjusting on non-adjusting.</w:t>
      </w:r>
    </w:p>
    <w:p w14:paraId="32B47249" w14:textId="77777777" w:rsidR="008F213A" w:rsidRPr="00D948C1" w:rsidRDefault="008F213A" w:rsidP="006C0086">
      <w:pPr>
        <w:spacing w:line="276" w:lineRule="auto"/>
        <w:ind w:left="709"/>
        <w:rPr>
          <w:b/>
          <w:szCs w:val="24"/>
        </w:rPr>
      </w:pPr>
    </w:p>
    <w:p w14:paraId="4F913243" w14:textId="2184017D" w:rsidR="00D90216" w:rsidRPr="00D948C1" w:rsidRDefault="001C592E" w:rsidP="006C0086">
      <w:pPr>
        <w:pStyle w:val="Heading2"/>
        <w:spacing w:line="276" w:lineRule="auto"/>
        <w:jc w:val="left"/>
        <w:rPr>
          <w:sz w:val="24"/>
          <w:szCs w:val="24"/>
        </w:rPr>
      </w:pPr>
      <w:bookmarkStart w:id="62" w:name="_Toc171068805"/>
      <w:r w:rsidRPr="00D948C1">
        <w:rPr>
          <w:sz w:val="24"/>
          <w:szCs w:val="24"/>
        </w:rPr>
        <w:t>2</w:t>
      </w:r>
      <w:r w:rsidR="00535820" w:rsidRPr="00D948C1">
        <w:rPr>
          <w:sz w:val="24"/>
          <w:szCs w:val="24"/>
        </w:rPr>
        <w:t>1</w:t>
      </w:r>
      <w:r w:rsidR="00D90216" w:rsidRPr="00D948C1">
        <w:rPr>
          <w:sz w:val="24"/>
          <w:szCs w:val="24"/>
        </w:rPr>
        <w:tab/>
        <w:t>Nature and Extent of Risks Arising from Financial Instruments</w:t>
      </w:r>
      <w:bookmarkEnd w:id="62"/>
    </w:p>
    <w:p w14:paraId="104202B8" w14:textId="77777777" w:rsidR="00D90216" w:rsidRPr="00D948C1" w:rsidRDefault="00D90216" w:rsidP="006C0086">
      <w:pPr>
        <w:spacing w:line="276" w:lineRule="auto"/>
        <w:ind w:left="709"/>
        <w:rPr>
          <w:szCs w:val="24"/>
        </w:rPr>
      </w:pPr>
    </w:p>
    <w:p w14:paraId="4F6F002B" w14:textId="77777777" w:rsidR="00D90216" w:rsidRPr="00D948C1" w:rsidRDefault="00D90216" w:rsidP="006C0086">
      <w:pPr>
        <w:spacing w:line="276" w:lineRule="auto"/>
        <w:ind w:left="709"/>
        <w:rPr>
          <w:szCs w:val="24"/>
        </w:rPr>
      </w:pPr>
      <w:r w:rsidRPr="00D948C1">
        <w:rPr>
          <w:szCs w:val="24"/>
        </w:rPr>
        <w:t>The Authority’s activities expose it to a variety of financial risks:</w:t>
      </w:r>
    </w:p>
    <w:p w14:paraId="70665BB8" w14:textId="77777777" w:rsidR="00D90216" w:rsidRPr="00D948C1" w:rsidRDefault="00D90216" w:rsidP="006C0086">
      <w:pPr>
        <w:spacing w:line="276" w:lineRule="auto"/>
        <w:ind w:left="709"/>
        <w:rPr>
          <w:szCs w:val="24"/>
        </w:rPr>
      </w:pPr>
    </w:p>
    <w:p w14:paraId="21D9837A" w14:textId="06F0C1F8" w:rsidR="00D90216" w:rsidRPr="00D948C1" w:rsidRDefault="00D90216" w:rsidP="006C0086">
      <w:pPr>
        <w:numPr>
          <w:ilvl w:val="0"/>
          <w:numId w:val="17"/>
        </w:numPr>
        <w:spacing w:line="276" w:lineRule="auto"/>
        <w:rPr>
          <w:szCs w:val="24"/>
        </w:rPr>
      </w:pPr>
      <w:r w:rsidRPr="00D948C1">
        <w:rPr>
          <w:szCs w:val="24"/>
        </w:rPr>
        <w:t>Credit risk – the possibility that other parties might fail to pay amounts due to the Authority</w:t>
      </w:r>
      <w:r w:rsidR="000A40E3" w:rsidRPr="00D948C1">
        <w:rPr>
          <w:szCs w:val="24"/>
        </w:rPr>
        <w:t>.</w:t>
      </w:r>
    </w:p>
    <w:p w14:paraId="3095ACDF" w14:textId="5D4DE97C" w:rsidR="00D90216" w:rsidRPr="00D948C1" w:rsidRDefault="00D90216" w:rsidP="006C0086">
      <w:pPr>
        <w:numPr>
          <w:ilvl w:val="0"/>
          <w:numId w:val="17"/>
        </w:numPr>
        <w:spacing w:line="276" w:lineRule="auto"/>
        <w:rPr>
          <w:szCs w:val="24"/>
        </w:rPr>
      </w:pPr>
      <w:r w:rsidRPr="00D948C1">
        <w:rPr>
          <w:szCs w:val="24"/>
        </w:rPr>
        <w:lastRenderedPageBreak/>
        <w:t>Liquidity risk – the possibility that the Authority might not have funds available to meet its commitments to make payments</w:t>
      </w:r>
      <w:r w:rsidR="000A40E3" w:rsidRPr="00D948C1">
        <w:rPr>
          <w:szCs w:val="24"/>
        </w:rPr>
        <w:t>.</w:t>
      </w:r>
    </w:p>
    <w:p w14:paraId="7915C0C6" w14:textId="6234700B" w:rsidR="00D90216" w:rsidRPr="00D948C1" w:rsidRDefault="00D90216" w:rsidP="006C0086">
      <w:pPr>
        <w:numPr>
          <w:ilvl w:val="0"/>
          <w:numId w:val="17"/>
        </w:numPr>
        <w:spacing w:line="276" w:lineRule="auto"/>
        <w:rPr>
          <w:szCs w:val="24"/>
        </w:rPr>
      </w:pPr>
      <w:r w:rsidRPr="00D948C1">
        <w:rPr>
          <w:szCs w:val="24"/>
        </w:rPr>
        <w:t xml:space="preserve">Market risk – the possibility that financial loss might arise for the Authority </w:t>
      </w:r>
      <w:r w:rsidR="0094180B" w:rsidRPr="00D948C1">
        <w:rPr>
          <w:szCs w:val="24"/>
        </w:rPr>
        <w:t>because of</w:t>
      </w:r>
      <w:r w:rsidRPr="00D948C1">
        <w:rPr>
          <w:szCs w:val="24"/>
        </w:rPr>
        <w:t xml:space="preserve"> changes in such measures as interest rates and stock market movements.</w:t>
      </w:r>
    </w:p>
    <w:p w14:paraId="52915CFF" w14:textId="77777777" w:rsidR="00D90216" w:rsidRPr="00D948C1" w:rsidRDefault="00D90216" w:rsidP="006C0086">
      <w:pPr>
        <w:spacing w:line="276" w:lineRule="auto"/>
        <w:rPr>
          <w:szCs w:val="24"/>
        </w:rPr>
      </w:pPr>
    </w:p>
    <w:p w14:paraId="2DA98039" w14:textId="337BCBDD" w:rsidR="00D90216" w:rsidRPr="00D948C1" w:rsidRDefault="00D90216" w:rsidP="006C0086">
      <w:pPr>
        <w:spacing w:line="276" w:lineRule="auto"/>
        <w:ind w:left="709"/>
        <w:rPr>
          <w:szCs w:val="24"/>
        </w:rPr>
      </w:pPr>
      <w:r w:rsidRPr="00D948C1">
        <w:rPr>
          <w:szCs w:val="24"/>
        </w:rPr>
        <w:t>Risk management is carried out by Lancashire County Council’s Treasury Management Team, under policies approved by the Authority in the annual Treasury Management Strategy. The strategy provides written principles for overall risk management, as well as written policies covering specific areas, such as interest rate risk, credit risk and the investment of surplus cash.</w:t>
      </w:r>
    </w:p>
    <w:p w14:paraId="5AA8DF86" w14:textId="77777777" w:rsidR="00D92F67" w:rsidRPr="00D948C1" w:rsidRDefault="00D92F67" w:rsidP="006C0086">
      <w:pPr>
        <w:spacing w:line="276" w:lineRule="auto"/>
        <w:ind w:left="720"/>
        <w:rPr>
          <w:b/>
          <w:szCs w:val="24"/>
        </w:rPr>
      </w:pPr>
    </w:p>
    <w:p w14:paraId="1B940933" w14:textId="77777777" w:rsidR="00D90216" w:rsidRPr="00D948C1" w:rsidRDefault="00D90216" w:rsidP="006C0086">
      <w:pPr>
        <w:spacing w:line="276" w:lineRule="auto"/>
        <w:ind w:left="720"/>
        <w:rPr>
          <w:b/>
          <w:szCs w:val="24"/>
        </w:rPr>
      </w:pPr>
      <w:r w:rsidRPr="00D948C1">
        <w:rPr>
          <w:b/>
          <w:szCs w:val="24"/>
        </w:rPr>
        <w:t>Credit Risk</w:t>
      </w:r>
    </w:p>
    <w:p w14:paraId="1931A420" w14:textId="77777777" w:rsidR="00D90216" w:rsidRPr="00D948C1" w:rsidRDefault="00D90216" w:rsidP="006C0086">
      <w:pPr>
        <w:spacing w:line="276" w:lineRule="auto"/>
        <w:ind w:left="709"/>
        <w:rPr>
          <w:szCs w:val="24"/>
        </w:rPr>
      </w:pPr>
    </w:p>
    <w:p w14:paraId="207214C0" w14:textId="77777777" w:rsidR="00D90216" w:rsidRPr="00D948C1" w:rsidRDefault="00D90216" w:rsidP="006C0086">
      <w:pPr>
        <w:spacing w:line="276" w:lineRule="auto"/>
        <w:ind w:left="709"/>
        <w:rPr>
          <w:szCs w:val="24"/>
        </w:rPr>
      </w:pPr>
      <w:r w:rsidRPr="00D948C1">
        <w:rPr>
          <w:szCs w:val="24"/>
        </w:rPr>
        <w:t>Credit risk arises from deposits with banks and financial institutions, as well as credit exposures to the Authority’s customers.</w:t>
      </w:r>
    </w:p>
    <w:p w14:paraId="5392DB45" w14:textId="77777777" w:rsidR="00D90216" w:rsidRPr="00D948C1" w:rsidRDefault="00D90216" w:rsidP="006C0086">
      <w:pPr>
        <w:spacing w:line="276" w:lineRule="auto"/>
        <w:ind w:left="709"/>
        <w:rPr>
          <w:szCs w:val="24"/>
        </w:rPr>
      </w:pPr>
    </w:p>
    <w:p w14:paraId="43F2D7E2" w14:textId="10A5AFCD" w:rsidR="00A7369F" w:rsidRPr="00D948C1" w:rsidRDefault="00A7369F" w:rsidP="006C0086">
      <w:pPr>
        <w:spacing w:line="276" w:lineRule="auto"/>
        <w:ind w:left="709"/>
        <w:rPr>
          <w:szCs w:val="24"/>
        </w:rPr>
      </w:pPr>
      <w:r w:rsidRPr="00D948C1">
        <w:rPr>
          <w:szCs w:val="24"/>
        </w:rPr>
        <w:t xml:space="preserve">This risk is minimised through the Annual Investment Strategy, which states that any investment counterparty must have a minimum actual or implied credit rating of AA- </w:t>
      </w:r>
      <w:r w:rsidR="001C3A52" w:rsidRPr="00D948C1">
        <w:rPr>
          <w:szCs w:val="24"/>
        </w:rPr>
        <w:t>to</w:t>
      </w:r>
      <w:r w:rsidRPr="00D948C1">
        <w:rPr>
          <w:szCs w:val="24"/>
        </w:rPr>
        <w:t xml:space="preserve"> be eligible. The Authority will also have regard to recent banking reform legislation which provides for creditor 'bail-in' rather than state 'bail-out' of banks should the bank fail. The effect of this legislation is that a local authority is likely to lose a higher proportion of any assets caught up in a credit event than almost any other type of institution. Credit risk control therefore means that unsecured bank deposits are, unless for very short duration, not suitable as an investment instrument in the future.</w:t>
      </w:r>
    </w:p>
    <w:p w14:paraId="5650CF91" w14:textId="77777777" w:rsidR="00D90216" w:rsidRPr="00D948C1" w:rsidRDefault="00D90216" w:rsidP="006C0086">
      <w:pPr>
        <w:spacing w:line="276" w:lineRule="auto"/>
        <w:rPr>
          <w:szCs w:val="24"/>
        </w:rPr>
      </w:pPr>
    </w:p>
    <w:p w14:paraId="7537DF0A" w14:textId="77777777" w:rsidR="00D90216" w:rsidRPr="00D948C1" w:rsidRDefault="00D90216" w:rsidP="006C0086">
      <w:pPr>
        <w:spacing w:line="276" w:lineRule="auto"/>
        <w:ind w:left="720"/>
        <w:rPr>
          <w:szCs w:val="24"/>
        </w:rPr>
      </w:pPr>
      <w:r w:rsidRPr="00D948C1">
        <w:rPr>
          <w:szCs w:val="24"/>
        </w:rPr>
        <w:t xml:space="preserve">In the context of credit risk, trade debtors are treated as financial instruments. </w:t>
      </w:r>
    </w:p>
    <w:p w14:paraId="55B99BED" w14:textId="77777777" w:rsidR="00762A90" w:rsidRPr="00D948C1" w:rsidRDefault="00762A90" w:rsidP="006C0086">
      <w:pPr>
        <w:spacing w:line="276" w:lineRule="auto"/>
        <w:rPr>
          <w:b/>
          <w:szCs w:val="24"/>
        </w:rPr>
      </w:pPr>
    </w:p>
    <w:p w14:paraId="3EC6892F" w14:textId="584BAD01" w:rsidR="00D90216" w:rsidRPr="00D948C1" w:rsidRDefault="00D90216" w:rsidP="006C0086">
      <w:pPr>
        <w:spacing w:line="276" w:lineRule="auto"/>
        <w:ind w:left="720"/>
        <w:rPr>
          <w:b/>
          <w:szCs w:val="24"/>
        </w:rPr>
      </w:pPr>
      <w:bookmarkStart w:id="63" w:name="_Hlk141616625"/>
      <w:r w:rsidRPr="00D948C1">
        <w:rPr>
          <w:b/>
          <w:szCs w:val="24"/>
        </w:rPr>
        <w:t xml:space="preserve">Trade </w:t>
      </w:r>
      <w:r w:rsidR="001931F4" w:rsidRPr="00D948C1">
        <w:rPr>
          <w:b/>
          <w:szCs w:val="24"/>
        </w:rPr>
        <w:t>D</w:t>
      </w:r>
      <w:r w:rsidRPr="00D948C1">
        <w:rPr>
          <w:b/>
          <w:szCs w:val="24"/>
        </w:rPr>
        <w:t xml:space="preserve">ebtor </w:t>
      </w:r>
      <w:r w:rsidR="001931F4" w:rsidRPr="00D948C1">
        <w:rPr>
          <w:b/>
          <w:szCs w:val="24"/>
        </w:rPr>
        <w:t>C</w:t>
      </w:r>
      <w:r w:rsidRPr="00D948C1">
        <w:rPr>
          <w:b/>
          <w:szCs w:val="24"/>
        </w:rPr>
        <w:t xml:space="preserve">redit </w:t>
      </w:r>
      <w:r w:rsidR="001931F4" w:rsidRPr="00D948C1">
        <w:rPr>
          <w:b/>
          <w:szCs w:val="24"/>
        </w:rPr>
        <w:t>R</w:t>
      </w:r>
      <w:r w:rsidRPr="00D948C1">
        <w:rPr>
          <w:b/>
          <w:szCs w:val="24"/>
        </w:rPr>
        <w:t>isk</w:t>
      </w:r>
    </w:p>
    <w:p w14:paraId="6189A0EC" w14:textId="77777777" w:rsidR="00D90216" w:rsidRPr="00D948C1" w:rsidRDefault="00D90216" w:rsidP="006C0086">
      <w:pPr>
        <w:spacing w:line="276" w:lineRule="auto"/>
        <w:ind w:left="720"/>
        <w:rPr>
          <w:szCs w:val="24"/>
        </w:rPr>
      </w:pPr>
    </w:p>
    <w:p w14:paraId="77EF5732" w14:textId="4CFD9F3A" w:rsidR="00D90216" w:rsidRPr="00D948C1" w:rsidRDefault="00D90216" w:rsidP="006C0086">
      <w:pPr>
        <w:spacing w:line="276" w:lineRule="auto"/>
        <w:ind w:left="709"/>
        <w:rPr>
          <w:szCs w:val="24"/>
        </w:rPr>
      </w:pPr>
      <w:r w:rsidRPr="00D948C1">
        <w:rPr>
          <w:szCs w:val="24"/>
        </w:rPr>
        <w:t xml:space="preserve">The Authority does not generally allow credit for customers, such that </w:t>
      </w:r>
      <w:r w:rsidR="007603E1" w:rsidRPr="00D948C1">
        <w:rPr>
          <w:szCs w:val="24"/>
        </w:rPr>
        <w:t>£0.</w:t>
      </w:r>
      <w:r w:rsidR="00BA618C" w:rsidRPr="00D948C1">
        <w:rPr>
          <w:szCs w:val="24"/>
        </w:rPr>
        <w:t>174</w:t>
      </w:r>
      <w:r w:rsidR="00E63989" w:rsidRPr="00D948C1">
        <w:rPr>
          <w:szCs w:val="24"/>
        </w:rPr>
        <w:t xml:space="preserve">m </w:t>
      </w:r>
      <w:r w:rsidRPr="00D948C1">
        <w:rPr>
          <w:szCs w:val="24"/>
        </w:rPr>
        <w:t xml:space="preserve">of the </w:t>
      </w:r>
      <w:r w:rsidR="007603E1" w:rsidRPr="00D948C1">
        <w:rPr>
          <w:szCs w:val="24"/>
        </w:rPr>
        <w:t>£0</w:t>
      </w:r>
      <w:r w:rsidRPr="00D948C1">
        <w:rPr>
          <w:szCs w:val="24"/>
        </w:rPr>
        <w:t>.</w:t>
      </w:r>
      <w:r w:rsidR="00BA618C" w:rsidRPr="00D948C1">
        <w:rPr>
          <w:szCs w:val="24"/>
        </w:rPr>
        <w:t>375</w:t>
      </w:r>
      <w:r w:rsidR="00CC71B7" w:rsidRPr="00D948C1">
        <w:rPr>
          <w:szCs w:val="24"/>
        </w:rPr>
        <w:t xml:space="preserve">m </w:t>
      </w:r>
      <w:r w:rsidRPr="00D948C1">
        <w:rPr>
          <w:szCs w:val="24"/>
        </w:rPr>
        <w:t xml:space="preserve">balance is past due date for payment. On a prudent basis the Authority has created a provision for </w:t>
      </w:r>
      <w:r w:rsidR="00307578" w:rsidRPr="00D948C1">
        <w:rPr>
          <w:szCs w:val="24"/>
        </w:rPr>
        <w:t>expected credit losses</w:t>
      </w:r>
      <w:r w:rsidRPr="00D948C1">
        <w:rPr>
          <w:szCs w:val="24"/>
        </w:rPr>
        <w:t xml:space="preserve"> to cover any potential loss arising from this, which currently stands at </w:t>
      </w:r>
      <w:r w:rsidR="007603E1" w:rsidRPr="00D948C1">
        <w:rPr>
          <w:szCs w:val="24"/>
        </w:rPr>
        <w:t>£0.</w:t>
      </w:r>
      <w:r w:rsidR="00CC71B7" w:rsidRPr="00D948C1">
        <w:rPr>
          <w:szCs w:val="24"/>
        </w:rPr>
        <w:t>0</w:t>
      </w:r>
      <w:r w:rsidR="00F514A3" w:rsidRPr="00D948C1">
        <w:rPr>
          <w:szCs w:val="24"/>
        </w:rPr>
        <w:t>33</w:t>
      </w:r>
      <w:r w:rsidR="00CC71B7" w:rsidRPr="00D948C1">
        <w:rPr>
          <w:szCs w:val="24"/>
        </w:rPr>
        <w:t>m</w:t>
      </w:r>
      <w:r w:rsidRPr="00D948C1">
        <w:rPr>
          <w:szCs w:val="24"/>
        </w:rPr>
        <w:t xml:space="preserve"> which is considered sufficient for this purpose.</w:t>
      </w:r>
    </w:p>
    <w:bookmarkEnd w:id="63"/>
    <w:p w14:paraId="33F114B9" w14:textId="77777777" w:rsidR="00255965" w:rsidRPr="00D948C1" w:rsidRDefault="00255965" w:rsidP="006C0086">
      <w:pPr>
        <w:spacing w:line="276" w:lineRule="auto"/>
        <w:rPr>
          <w:szCs w:val="24"/>
        </w:rPr>
      </w:pPr>
    </w:p>
    <w:p w14:paraId="2BF31854" w14:textId="64E91AE4" w:rsidR="00D90216" w:rsidRPr="00D948C1" w:rsidRDefault="00D90216" w:rsidP="006C0086">
      <w:pPr>
        <w:spacing w:line="276" w:lineRule="auto"/>
        <w:ind w:left="709"/>
        <w:rPr>
          <w:szCs w:val="24"/>
        </w:rPr>
      </w:pPr>
      <w:r w:rsidRPr="00D948C1">
        <w:rPr>
          <w:szCs w:val="24"/>
        </w:rPr>
        <w:t xml:space="preserve">The past due amount can be analysed by age as follows: </w:t>
      </w:r>
    </w:p>
    <w:p w14:paraId="700296A9" w14:textId="77777777" w:rsidR="00746F3D" w:rsidRPr="00D948C1" w:rsidRDefault="00746F3D" w:rsidP="006C0086">
      <w:pPr>
        <w:spacing w:line="276" w:lineRule="auto"/>
        <w:ind w:left="709"/>
        <w:rPr>
          <w:szCs w:val="24"/>
        </w:rPr>
      </w:pPr>
    </w:p>
    <w:tbl>
      <w:tblPr>
        <w:tblW w:w="637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01"/>
        <w:gridCol w:w="1560"/>
      </w:tblGrid>
      <w:tr w:rsidR="0010066C" w:rsidRPr="00D948C1" w14:paraId="32309BC2" w14:textId="77777777" w:rsidTr="00611673">
        <w:tc>
          <w:tcPr>
            <w:tcW w:w="3118" w:type="dxa"/>
            <w:shd w:val="clear" w:color="auto" w:fill="BD2716"/>
          </w:tcPr>
          <w:p w14:paraId="27F927C2" w14:textId="765DBF02" w:rsidR="0010066C" w:rsidRPr="00D948C1" w:rsidRDefault="0010066C" w:rsidP="006C0086">
            <w:pPr>
              <w:spacing w:line="276" w:lineRule="auto"/>
              <w:rPr>
                <w:color w:val="FFFFFF" w:themeColor="background1"/>
                <w:szCs w:val="24"/>
              </w:rPr>
            </w:pPr>
          </w:p>
        </w:tc>
        <w:tc>
          <w:tcPr>
            <w:tcW w:w="1701" w:type="dxa"/>
            <w:shd w:val="clear" w:color="auto" w:fill="BD2716"/>
            <w:vAlign w:val="center"/>
          </w:tcPr>
          <w:p w14:paraId="02E8A827"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2023/24</w:t>
            </w:r>
          </w:p>
          <w:p w14:paraId="1C76FDC4" w14:textId="32879931"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c>
          <w:tcPr>
            <w:tcW w:w="1560" w:type="dxa"/>
            <w:shd w:val="clear" w:color="auto" w:fill="BD2716"/>
            <w:vAlign w:val="center"/>
          </w:tcPr>
          <w:p w14:paraId="5BBDFD56" w14:textId="77777777" w:rsidR="0010066C" w:rsidRPr="00D948C1" w:rsidRDefault="0010066C" w:rsidP="006C0086">
            <w:pPr>
              <w:spacing w:line="276" w:lineRule="auto"/>
              <w:jc w:val="right"/>
              <w:rPr>
                <w:color w:val="FFFFFF" w:themeColor="background1"/>
                <w:szCs w:val="24"/>
              </w:rPr>
            </w:pPr>
            <w:r w:rsidRPr="00D948C1">
              <w:rPr>
                <w:color w:val="FFFFFF" w:themeColor="background1"/>
                <w:szCs w:val="24"/>
              </w:rPr>
              <w:t>2022/23</w:t>
            </w:r>
          </w:p>
          <w:p w14:paraId="18D7E6D2" w14:textId="22ACAD20" w:rsidR="0010066C" w:rsidRPr="00D948C1" w:rsidRDefault="0010066C" w:rsidP="006C0086">
            <w:pPr>
              <w:spacing w:line="276" w:lineRule="auto"/>
              <w:jc w:val="right"/>
              <w:rPr>
                <w:color w:val="FFFFFF" w:themeColor="background1"/>
                <w:szCs w:val="24"/>
              </w:rPr>
            </w:pPr>
            <w:r w:rsidRPr="00D948C1">
              <w:rPr>
                <w:color w:val="FFFFFF" w:themeColor="background1"/>
                <w:szCs w:val="24"/>
              </w:rPr>
              <w:t>£000</w:t>
            </w:r>
          </w:p>
        </w:tc>
      </w:tr>
      <w:tr w:rsidR="0010066C" w:rsidRPr="00D948C1" w14:paraId="0A9698DC" w14:textId="77777777" w:rsidTr="003572E5">
        <w:trPr>
          <w:trHeight w:val="278"/>
        </w:trPr>
        <w:tc>
          <w:tcPr>
            <w:tcW w:w="3118" w:type="dxa"/>
            <w:shd w:val="clear" w:color="auto" w:fill="auto"/>
          </w:tcPr>
          <w:p w14:paraId="1585BF46" w14:textId="6A7066DC" w:rsidR="0010066C" w:rsidRPr="00D948C1" w:rsidRDefault="0010066C" w:rsidP="006C0086">
            <w:pPr>
              <w:spacing w:line="276" w:lineRule="auto"/>
              <w:ind w:left="34"/>
              <w:rPr>
                <w:szCs w:val="24"/>
              </w:rPr>
            </w:pPr>
            <w:r w:rsidRPr="00D948C1">
              <w:rPr>
                <w:szCs w:val="24"/>
              </w:rPr>
              <w:t>0 to 30 days</w:t>
            </w:r>
          </w:p>
        </w:tc>
        <w:tc>
          <w:tcPr>
            <w:tcW w:w="1701" w:type="dxa"/>
            <w:shd w:val="clear" w:color="auto" w:fill="auto"/>
            <w:vAlign w:val="center"/>
          </w:tcPr>
          <w:p w14:paraId="4707AD62" w14:textId="4C5402B5" w:rsidR="0010066C" w:rsidRPr="00D948C1" w:rsidRDefault="00BA618C" w:rsidP="006C0086">
            <w:pPr>
              <w:spacing w:line="276" w:lineRule="auto"/>
              <w:jc w:val="right"/>
              <w:rPr>
                <w:szCs w:val="24"/>
              </w:rPr>
            </w:pPr>
            <w:r w:rsidRPr="00D948C1">
              <w:rPr>
                <w:szCs w:val="24"/>
              </w:rPr>
              <w:t>201</w:t>
            </w:r>
          </w:p>
        </w:tc>
        <w:tc>
          <w:tcPr>
            <w:tcW w:w="1560" w:type="dxa"/>
            <w:vAlign w:val="center"/>
          </w:tcPr>
          <w:p w14:paraId="43F1A014" w14:textId="3DA17D60" w:rsidR="0010066C" w:rsidRPr="00D948C1" w:rsidRDefault="0010066C" w:rsidP="006C0086">
            <w:pPr>
              <w:spacing w:line="276" w:lineRule="auto"/>
              <w:jc w:val="right"/>
              <w:rPr>
                <w:szCs w:val="24"/>
              </w:rPr>
            </w:pPr>
            <w:r w:rsidRPr="00D948C1">
              <w:rPr>
                <w:szCs w:val="24"/>
              </w:rPr>
              <w:t>298</w:t>
            </w:r>
          </w:p>
        </w:tc>
      </w:tr>
      <w:tr w:rsidR="0010066C" w:rsidRPr="00D948C1" w14:paraId="72D42E6A" w14:textId="77777777" w:rsidTr="003572E5">
        <w:trPr>
          <w:trHeight w:val="278"/>
        </w:trPr>
        <w:tc>
          <w:tcPr>
            <w:tcW w:w="3118" w:type="dxa"/>
            <w:shd w:val="clear" w:color="auto" w:fill="auto"/>
          </w:tcPr>
          <w:p w14:paraId="4E72E412" w14:textId="70C40003" w:rsidR="0010066C" w:rsidRPr="00D948C1" w:rsidRDefault="0010066C" w:rsidP="006C0086">
            <w:pPr>
              <w:spacing w:line="276" w:lineRule="auto"/>
              <w:ind w:left="34"/>
              <w:rPr>
                <w:szCs w:val="24"/>
              </w:rPr>
            </w:pPr>
            <w:r w:rsidRPr="00D948C1">
              <w:rPr>
                <w:szCs w:val="24"/>
              </w:rPr>
              <w:t>31 to 60 days</w:t>
            </w:r>
          </w:p>
        </w:tc>
        <w:tc>
          <w:tcPr>
            <w:tcW w:w="1701" w:type="dxa"/>
            <w:shd w:val="clear" w:color="auto" w:fill="auto"/>
            <w:vAlign w:val="center"/>
          </w:tcPr>
          <w:p w14:paraId="28A47090" w14:textId="4C086696" w:rsidR="0010066C" w:rsidRPr="00D948C1" w:rsidRDefault="00BA618C" w:rsidP="006C0086">
            <w:pPr>
              <w:spacing w:line="276" w:lineRule="auto"/>
              <w:jc w:val="right"/>
              <w:rPr>
                <w:szCs w:val="24"/>
              </w:rPr>
            </w:pPr>
            <w:r w:rsidRPr="00D948C1">
              <w:rPr>
                <w:szCs w:val="24"/>
              </w:rPr>
              <w:t>170</w:t>
            </w:r>
          </w:p>
        </w:tc>
        <w:tc>
          <w:tcPr>
            <w:tcW w:w="1560" w:type="dxa"/>
            <w:vAlign w:val="center"/>
          </w:tcPr>
          <w:p w14:paraId="65C293C6" w14:textId="5D1AC565" w:rsidR="0010066C" w:rsidRPr="00D948C1" w:rsidRDefault="0010066C" w:rsidP="006C0086">
            <w:pPr>
              <w:spacing w:line="276" w:lineRule="auto"/>
              <w:jc w:val="right"/>
              <w:rPr>
                <w:szCs w:val="24"/>
              </w:rPr>
            </w:pPr>
            <w:r w:rsidRPr="00D948C1">
              <w:rPr>
                <w:szCs w:val="24"/>
              </w:rPr>
              <w:t>23</w:t>
            </w:r>
          </w:p>
        </w:tc>
      </w:tr>
      <w:tr w:rsidR="0010066C" w:rsidRPr="00D948C1" w14:paraId="6A166314" w14:textId="77777777" w:rsidTr="003572E5">
        <w:trPr>
          <w:trHeight w:val="278"/>
        </w:trPr>
        <w:tc>
          <w:tcPr>
            <w:tcW w:w="3118" w:type="dxa"/>
            <w:shd w:val="clear" w:color="auto" w:fill="auto"/>
          </w:tcPr>
          <w:p w14:paraId="5105914B" w14:textId="766E77F4" w:rsidR="0010066C" w:rsidRPr="00D948C1" w:rsidRDefault="0010066C" w:rsidP="006C0086">
            <w:pPr>
              <w:spacing w:line="276" w:lineRule="auto"/>
              <w:ind w:left="34"/>
              <w:rPr>
                <w:szCs w:val="24"/>
              </w:rPr>
            </w:pPr>
            <w:r w:rsidRPr="00D948C1">
              <w:rPr>
                <w:szCs w:val="24"/>
              </w:rPr>
              <w:t>61 to 90 days</w:t>
            </w:r>
          </w:p>
        </w:tc>
        <w:tc>
          <w:tcPr>
            <w:tcW w:w="1701" w:type="dxa"/>
            <w:shd w:val="clear" w:color="auto" w:fill="auto"/>
            <w:vAlign w:val="center"/>
          </w:tcPr>
          <w:p w14:paraId="5DA3BC97" w14:textId="7954578A" w:rsidR="0010066C" w:rsidRPr="00D948C1" w:rsidRDefault="00BA618C" w:rsidP="006C0086">
            <w:pPr>
              <w:spacing w:line="276" w:lineRule="auto"/>
              <w:jc w:val="right"/>
              <w:rPr>
                <w:szCs w:val="24"/>
              </w:rPr>
            </w:pPr>
            <w:r w:rsidRPr="00D948C1">
              <w:rPr>
                <w:szCs w:val="24"/>
              </w:rPr>
              <w:t>1</w:t>
            </w:r>
          </w:p>
        </w:tc>
        <w:tc>
          <w:tcPr>
            <w:tcW w:w="1560" w:type="dxa"/>
            <w:vAlign w:val="center"/>
          </w:tcPr>
          <w:p w14:paraId="03030F1B" w14:textId="76DB4D09" w:rsidR="0010066C" w:rsidRPr="00D948C1" w:rsidRDefault="0010066C" w:rsidP="006C0086">
            <w:pPr>
              <w:spacing w:line="276" w:lineRule="auto"/>
              <w:jc w:val="right"/>
              <w:rPr>
                <w:szCs w:val="24"/>
              </w:rPr>
            </w:pPr>
            <w:r w:rsidRPr="00D948C1">
              <w:rPr>
                <w:szCs w:val="24"/>
              </w:rPr>
              <w:t>154</w:t>
            </w:r>
          </w:p>
        </w:tc>
      </w:tr>
      <w:tr w:rsidR="0010066C" w:rsidRPr="00D948C1" w14:paraId="36C24F3A" w14:textId="77777777" w:rsidTr="003572E5">
        <w:trPr>
          <w:trHeight w:val="278"/>
        </w:trPr>
        <w:tc>
          <w:tcPr>
            <w:tcW w:w="3118" w:type="dxa"/>
            <w:shd w:val="clear" w:color="auto" w:fill="auto"/>
          </w:tcPr>
          <w:p w14:paraId="77E3EBD3" w14:textId="6E58FD8F" w:rsidR="0010066C" w:rsidRPr="00D948C1" w:rsidRDefault="0010066C" w:rsidP="006C0086">
            <w:pPr>
              <w:spacing w:line="276" w:lineRule="auto"/>
              <w:ind w:left="34"/>
              <w:rPr>
                <w:szCs w:val="24"/>
              </w:rPr>
            </w:pPr>
            <w:r w:rsidRPr="00D948C1">
              <w:rPr>
                <w:szCs w:val="24"/>
              </w:rPr>
              <w:t>91 to 180 days</w:t>
            </w:r>
          </w:p>
        </w:tc>
        <w:tc>
          <w:tcPr>
            <w:tcW w:w="1701" w:type="dxa"/>
            <w:shd w:val="clear" w:color="auto" w:fill="auto"/>
            <w:vAlign w:val="center"/>
          </w:tcPr>
          <w:p w14:paraId="7DDAFDA0" w14:textId="33AF3B2D" w:rsidR="0010066C" w:rsidRPr="00D948C1" w:rsidRDefault="00BA618C" w:rsidP="006C0086">
            <w:pPr>
              <w:spacing w:line="276" w:lineRule="auto"/>
              <w:jc w:val="right"/>
              <w:rPr>
                <w:szCs w:val="24"/>
              </w:rPr>
            </w:pPr>
            <w:r w:rsidRPr="00D948C1">
              <w:rPr>
                <w:szCs w:val="24"/>
              </w:rPr>
              <w:t>0</w:t>
            </w:r>
          </w:p>
        </w:tc>
        <w:tc>
          <w:tcPr>
            <w:tcW w:w="1560" w:type="dxa"/>
            <w:vAlign w:val="center"/>
          </w:tcPr>
          <w:p w14:paraId="3A7189AE" w14:textId="3EC46FFF" w:rsidR="0010066C" w:rsidRPr="00D948C1" w:rsidRDefault="0010066C" w:rsidP="006C0086">
            <w:pPr>
              <w:spacing w:line="276" w:lineRule="auto"/>
              <w:jc w:val="right"/>
              <w:rPr>
                <w:szCs w:val="24"/>
              </w:rPr>
            </w:pPr>
            <w:r w:rsidRPr="00D948C1">
              <w:rPr>
                <w:szCs w:val="24"/>
              </w:rPr>
              <w:t>1</w:t>
            </w:r>
          </w:p>
        </w:tc>
      </w:tr>
      <w:tr w:rsidR="0010066C" w:rsidRPr="00D948C1" w14:paraId="60A15989" w14:textId="77777777" w:rsidTr="003572E5">
        <w:trPr>
          <w:trHeight w:val="278"/>
        </w:trPr>
        <w:tc>
          <w:tcPr>
            <w:tcW w:w="3118" w:type="dxa"/>
            <w:shd w:val="clear" w:color="auto" w:fill="auto"/>
          </w:tcPr>
          <w:p w14:paraId="57663824" w14:textId="782B207C" w:rsidR="0010066C" w:rsidRPr="00D948C1" w:rsidRDefault="0010066C" w:rsidP="006C0086">
            <w:pPr>
              <w:spacing w:line="276" w:lineRule="auto"/>
              <w:ind w:left="34"/>
              <w:rPr>
                <w:szCs w:val="24"/>
              </w:rPr>
            </w:pPr>
            <w:r w:rsidRPr="00D948C1">
              <w:rPr>
                <w:szCs w:val="24"/>
              </w:rPr>
              <w:t>Over 180 days</w:t>
            </w:r>
          </w:p>
        </w:tc>
        <w:tc>
          <w:tcPr>
            <w:tcW w:w="1701" w:type="dxa"/>
            <w:shd w:val="clear" w:color="auto" w:fill="auto"/>
            <w:vAlign w:val="center"/>
          </w:tcPr>
          <w:p w14:paraId="07848F47" w14:textId="647DF281" w:rsidR="0010066C" w:rsidRPr="00D948C1" w:rsidRDefault="00BA618C" w:rsidP="006C0086">
            <w:pPr>
              <w:spacing w:line="276" w:lineRule="auto"/>
              <w:jc w:val="right"/>
              <w:rPr>
                <w:szCs w:val="24"/>
              </w:rPr>
            </w:pPr>
            <w:r w:rsidRPr="00D948C1">
              <w:rPr>
                <w:szCs w:val="24"/>
              </w:rPr>
              <w:t>3</w:t>
            </w:r>
          </w:p>
        </w:tc>
        <w:tc>
          <w:tcPr>
            <w:tcW w:w="1560" w:type="dxa"/>
            <w:vAlign w:val="center"/>
          </w:tcPr>
          <w:p w14:paraId="2C204918" w14:textId="2EFAFF59" w:rsidR="0010066C" w:rsidRPr="00D948C1" w:rsidRDefault="0010066C" w:rsidP="006C0086">
            <w:pPr>
              <w:spacing w:line="276" w:lineRule="auto"/>
              <w:jc w:val="right"/>
              <w:rPr>
                <w:szCs w:val="24"/>
              </w:rPr>
            </w:pPr>
            <w:r w:rsidRPr="00D948C1">
              <w:rPr>
                <w:szCs w:val="24"/>
              </w:rPr>
              <w:t>231</w:t>
            </w:r>
          </w:p>
        </w:tc>
      </w:tr>
      <w:tr w:rsidR="0010066C" w:rsidRPr="00D948C1" w14:paraId="44372571" w14:textId="77777777" w:rsidTr="003572E5">
        <w:trPr>
          <w:trHeight w:val="278"/>
        </w:trPr>
        <w:tc>
          <w:tcPr>
            <w:tcW w:w="3118" w:type="dxa"/>
            <w:shd w:val="clear" w:color="auto" w:fill="auto"/>
          </w:tcPr>
          <w:p w14:paraId="28F4D182" w14:textId="2090F462" w:rsidR="0010066C" w:rsidRPr="00D948C1" w:rsidRDefault="0010066C" w:rsidP="006C0086">
            <w:pPr>
              <w:spacing w:line="276" w:lineRule="auto"/>
              <w:ind w:left="34"/>
              <w:rPr>
                <w:szCs w:val="24"/>
              </w:rPr>
            </w:pPr>
            <w:r w:rsidRPr="00D948C1">
              <w:rPr>
                <w:szCs w:val="24"/>
              </w:rPr>
              <w:t>Total</w:t>
            </w:r>
          </w:p>
        </w:tc>
        <w:tc>
          <w:tcPr>
            <w:tcW w:w="1701" w:type="dxa"/>
            <w:shd w:val="clear" w:color="auto" w:fill="auto"/>
            <w:vAlign w:val="center"/>
          </w:tcPr>
          <w:p w14:paraId="531641EA" w14:textId="608A6793" w:rsidR="0010066C" w:rsidRPr="00D948C1" w:rsidRDefault="00BA618C" w:rsidP="006C0086">
            <w:pPr>
              <w:spacing w:line="276" w:lineRule="auto"/>
              <w:jc w:val="right"/>
              <w:rPr>
                <w:szCs w:val="24"/>
              </w:rPr>
            </w:pPr>
            <w:r w:rsidRPr="00D948C1">
              <w:rPr>
                <w:szCs w:val="24"/>
              </w:rPr>
              <w:t>375</w:t>
            </w:r>
          </w:p>
        </w:tc>
        <w:tc>
          <w:tcPr>
            <w:tcW w:w="1560" w:type="dxa"/>
            <w:vAlign w:val="center"/>
          </w:tcPr>
          <w:p w14:paraId="50E1B62B" w14:textId="488AB67A" w:rsidR="0010066C" w:rsidRPr="00D948C1" w:rsidRDefault="0010066C" w:rsidP="006C0086">
            <w:pPr>
              <w:spacing w:line="276" w:lineRule="auto"/>
              <w:jc w:val="right"/>
              <w:rPr>
                <w:szCs w:val="24"/>
              </w:rPr>
            </w:pPr>
            <w:r w:rsidRPr="00D948C1">
              <w:rPr>
                <w:szCs w:val="24"/>
              </w:rPr>
              <w:t>707</w:t>
            </w:r>
          </w:p>
        </w:tc>
      </w:tr>
    </w:tbl>
    <w:p w14:paraId="34877DF5" w14:textId="77777777" w:rsidR="008216A1" w:rsidRPr="00D948C1" w:rsidRDefault="008216A1" w:rsidP="006C0086">
      <w:pPr>
        <w:spacing w:line="276" w:lineRule="auto"/>
        <w:ind w:firstLine="720"/>
        <w:jc w:val="both"/>
        <w:rPr>
          <w:b/>
          <w:sz w:val="22"/>
          <w:szCs w:val="22"/>
        </w:rPr>
      </w:pPr>
    </w:p>
    <w:p w14:paraId="4CF7DD85" w14:textId="77777777" w:rsidR="00D90216" w:rsidRPr="00D948C1" w:rsidRDefault="00D90216" w:rsidP="006C0086">
      <w:pPr>
        <w:spacing w:line="276" w:lineRule="auto"/>
        <w:ind w:firstLine="720"/>
        <w:rPr>
          <w:b/>
          <w:szCs w:val="24"/>
        </w:rPr>
      </w:pPr>
      <w:r w:rsidRPr="00D948C1">
        <w:rPr>
          <w:b/>
          <w:szCs w:val="24"/>
        </w:rPr>
        <w:lastRenderedPageBreak/>
        <w:t>Liquidity Risk</w:t>
      </w:r>
    </w:p>
    <w:p w14:paraId="5BFA1606" w14:textId="77777777" w:rsidR="00D90216" w:rsidRPr="00D948C1" w:rsidRDefault="00D90216" w:rsidP="006C0086">
      <w:pPr>
        <w:spacing w:line="276" w:lineRule="auto"/>
        <w:ind w:firstLine="720"/>
        <w:rPr>
          <w:b/>
          <w:szCs w:val="24"/>
        </w:rPr>
      </w:pPr>
    </w:p>
    <w:p w14:paraId="242BD4CD" w14:textId="4F8CDABD" w:rsidR="00D90216" w:rsidRPr="00D948C1" w:rsidRDefault="00D90216" w:rsidP="006C0086">
      <w:pPr>
        <w:spacing w:line="276" w:lineRule="auto"/>
        <w:ind w:left="720"/>
        <w:rPr>
          <w:szCs w:val="24"/>
        </w:rPr>
      </w:pPr>
      <w:r w:rsidRPr="00D948C1">
        <w:rPr>
          <w:szCs w:val="24"/>
        </w:rPr>
        <w:t>The Authority has a comprehensive cash flow management system (administered by Lancashire County Council’s Treasury Management Team) that seeks to ensure that cash is available as needed. If unexpected movements happen, the Authority has ready access to borrowings from Lancashire County Council at current market rates.</w:t>
      </w:r>
      <w:r w:rsidR="0066777B" w:rsidRPr="00D948C1">
        <w:rPr>
          <w:szCs w:val="24"/>
        </w:rPr>
        <w:t xml:space="preserve"> </w:t>
      </w:r>
      <w:r w:rsidRPr="00D948C1">
        <w:rPr>
          <w:szCs w:val="24"/>
        </w:rPr>
        <w:t>There is no significant risk that it will be unable to raise finance to meet its commitments under financial instruments.</w:t>
      </w:r>
    </w:p>
    <w:p w14:paraId="2F90F153" w14:textId="77777777" w:rsidR="00F96C8B" w:rsidRPr="00D948C1" w:rsidRDefault="00F96C8B" w:rsidP="006C0086">
      <w:pPr>
        <w:spacing w:line="276" w:lineRule="auto"/>
        <w:ind w:left="720"/>
        <w:rPr>
          <w:szCs w:val="24"/>
        </w:rPr>
      </w:pPr>
    </w:p>
    <w:p w14:paraId="408F702C" w14:textId="5CB53A78" w:rsidR="00D90216" w:rsidRPr="00D948C1" w:rsidRDefault="00D90216" w:rsidP="006C0086">
      <w:pPr>
        <w:spacing w:line="276" w:lineRule="auto"/>
        <w:ind w:left="720"/>
        <w:rPr>
          <w:szCs w:val="24"/>
        </w:rPr>
      </w:pPr>
      <w:r w:rsidRPr="00D948C1">
        <w:rPr>
          <w:szCs w:val="24"/>
        </w:rPr>
        <w:t xml:space="preserve">The maturity profile of our </w:t>
      </w:r>
      <w:r w:rsidR="002D74C1" w:rsidRPr="00D948C1">
        <w:rPr>
          <w:szCs w:val="24"/>
        </w:rPr>
        <w:t xml:space="preserve">remaining </w:t>
      </w:r>
      <w:r w:rsidRPr="00D948C1">
        <w:rPr>
          <w:szCs w:val="24"/>
        </w:rPr>
        <w:t xml:space="preserve">debt is shown in the table below. </w:t>
      </w:r>
    </w:p>
    <w:p w14:paraId="34052ED9" w14:textId="77777777" w:rsidR="00AB47D7" w:rsidRPr="00D948C1" w:rsidRDefault="00AB47D7" w:rsidP="006C0086">
      <w:pPr>
        <w:spacing w:line="276" w:lineRule="auto"/>
        <w:ind w:left="720"/>
        <w:rPr>
          <w:szCs w:val="24"/>
        </w:rPr>
      </w:pPr>
    </w:p>
    <w:p w14:paraId="59CF2E8F" w14:textId="6D39F7E7" w:rsidR="00D90216" w:rsidRPr="00D948C1" w:rsidRDefault="007461FD" w:rsidP="006C0086">
      <w:pPr>
        <w:spacing w:line="276" w:lineRule="auto"/>
        <w:ind w:left="180" w:firstLine="540"/>
        <w:rPr>
          <w:szCs w:val="24"/>
        </w:rPr>
      </w:pPr>
      <w:r w:rsidRPr="00D948C1">
        <w:rPr>
          <w:szCs w:val="24"/>
        </w:rPr>
        <w:t>Value of PWLB loans maturing in future years</w:t>
      </w:r>
      <w:r w:rsidR="00665819" w:rsidRPr="00D948C1">
        <w:rPr>
          <w:szCs w:val="24"/>
        </w:rPr>
        <w:t xml:space="preserve"> as </w:t>
      </w:r>
      <w:proofErr w:type="gramStart"/>
      <w:r w:rsidR="00665819" w:rsidRPr="00D948C1">
        <w:rPr>
          <w:szCs w:val="24"/>
        </w:rPr>
        <w:t>at</w:t>
      </w:r>
      <w:proofErr w:type="gramEnd"/>
      <w:r w:rsidR="00665819" w:rsidRPr="00D948C1">
        <w:rPr>
          <w:szCs w:val="24"/>
        </w:rPr>
        <w:t xml:space="preserve"> 31 March 202</w:t>
      </w:r>
      <w:r w:rsidR="0010066C" w:rsidRPr="00D948C1">
        <w:rPr>
          <w:szCs w:val="24"/>
        </w:rPr>
        <w:t>4:</w:t>
      </w:r>
    </w:p>
    <w:p w14:paraId="190490EB" w14:textId="77777777" w:rsidR="00665819" w:rsidRPr="00D948C1" w:rsidRDefault="00665819" w:rsidP="006C0086">
      <w:pPr>
        <w:spacing w:line="276" w:lineRule="auto"/>
        <w:ind w:left="180" w:firstLine="540"/>
        <w:rPr>
          <w:szCs w:val="24"/>
        </w:rPr>
      </w:pPr>
    </w:p>
    <w:tbl>
      <w:tblPr>
        <w:tblStyle w:val="TableGrid"/>
        <w:tblW w:w="0" w:type="auto"/>
        <w:tblInd w:w="763" w:type="dxa"/>
        <w:tblLook w:val="04A0" w:firstRow="1" w:lastRow="0" w:firstColumn="1" w:lastColumn="0" w:noHBand="0" w:noVBand="1"/>
      </w:tblPr>
      <w:tblGrid>
        <w:gridCol w:w="1505"/>
        <w:gridCol w:w="1472"/>
      </w:tblGrid>
      <w:tr w:rsidR="00665819" w:rsidRPr="00D948C1" w14:paraId="38495402" w14:textId="77777777" w:rsidTr="00611673">
        <w:tc>
          <w:tcPr>
            <w:tcW w:w="1505" w:type="dxa"/>
            <w:shd w:val="clear" w:color="auto" w:fill="BD2716"/>
            <w:vAlign w:val="center"/>
          </w:tcPr>
          <w:p w14:paraId="65FFFB71" w14:textId="27CC4379" w:rsidR="00665819" w:rsidRPr="00D948C1" w:rsidRDefault="00665819" w:rsidP="006C0086">
            <w:pPr>
              <w:spacing w:line="276" w:lineRule="auto"/>
              <w:rPr>
                <w:color w:val="FFFFFF" w:themeColor="background1"/>
                <w:szCs w:val="24"/>
              </w:rPr>
            </w:pPr>
            <w:r w:rsidRPr="00D948C1">
              <w:rPr>
                <w:color w:val="FFFFFF" w:themeColor="background1"/>
                <w:szCs w:val="24"/>
              </w:rPr>
              <w:t>Year</w:t>
            </w:r>
          </w:p>
        </w:tc>
        <w:tc>
          <w:tcPr>
            <w:tcW w:w="1472" w:type="dxa"/>
            <w:shd w:val="clear" w:color="auto" w:fill="BD2716"/>
            <w:vAlign w:val="center"/>
          </w:tcPr>
          <w:p w14:paraId="285DF9EA" w14:textId="432EF527" w:rsidR="00665819" w:rsidRPr="00D948C1" w:rsidRDefault="00665819" w:rsidP="006C0086">
            <w:pPr>
              <w:spacing w:line="276" w:lineRule="auto"/>
              <w:jc w:val="right"/>
              <w:rPr>
                <w:color w:val="FFFFFF" w:themeColor="background1"/>
                <w:szCs w:val="24"/>
              </w:rPr>
            </w:pPr>
            <w:r w:rsidRPr="00D948C1">
              <w:rPr>
                <w:color w:val="FFFFFF" w:themeColor="background1"/>
                <w:szCs w:val="24"/>
              </w:rPr>
              <w:t>Loan Value (</w:t>
            </w:r>
            <w:r w:rsidR="00F2325E" w:rsidRPr="00D948C1">
              <w:rPr>
                <w:color w:val="FFFFFF" w:themeColor="background1"/>
                <w:szCs w:val="24"/>
              </w:rPr>
              <w:t>£000</w:t>
            </w:r>
            <w:r w:rsidRPr="00D948C1">
              <w:rPr>
                <w:color w:val="FFFFFF" w:themeColor="background1"/>
                <w:szCs w:val="24"/>
              </w:rPr>
              <w:t>)</w:t>
            </w:r>
          </w:p>
        </w:tc>
      </w:tr>
      <w:tr w:rsidR="00665819" w:rsidRPr="00D948C1" w14:paraId="653F22E0" w14:textId="77777777" w:rsidTr="003572E5">
        <w:trPr>
          <w:trHeight w:val="278"/>
        </w:trPr>
        <w:tc>
          <w:tcPr>
            <w:tcW w:w="1505" w:type="dxa"/>
          </w:tcPr>
          <w:p w14:paraId="7028ADEF" w14:textId="20DD55F4" w:rsidR="00665819" w:rsidRPr="00D948C1" w:rsidRDefault="00665819" w:rsidP="006C0086">
            <w:pPr>
              <w:spacing w:line="276" w:lineRule="auto"/>
              <w:rPr>
                <w:szCs w:val="24"/>
              </w:rPr>
            </w:pPr>
            <w:r w:rsidRPr="00D948C1">
              <w:rPr>
                <w:szCs w:val="24"/>
              </w:rPr>
              <w:t>2035</w:t>
            </w:r>
          </w:p>
        </w:tc>
        <w:tc>
          <w:tcPr>
            <w:tcW w:w="1472" w:type="dxa"/>
            <w:vAlign w:val="center"/>
          </w:tcPr>
          <w:p w14:paraId="63A5A887" w14:textId="33A3DBAE" w:rsidR="00665819" w:rsidRPr="00D948C1" w:rsidRDefault="00665819" w:rsidP="006C0086">
            <w:pPr>
              <w:spacing w:line="276" w:lineRule="auto"/>
              <w:jc w:val="right"/>
              <w:rPr>
                <w:szCs w:val="24"/>
              </w:rPr>
            </w:pPr>
            <w:r w:rsidRPr="00D948C1">
              <w:rPr>
                <w:szCs w:val="24"/>
              </w:rPr>
              <w:t>650</w:t>
            </w:r>
          </w:p>
        </w:tc>
      </w:tr>
      <w:tr w:rsidR="00665819" w:rsidRPr="00D948C1" w14:paraId="0D186C3D" w14:textId="77777777" w:rsidTr="003572E5">
        <w:trPr>
          <w:trHeight w:val="278"/>
        </w:trPr>
        <w:tc>
          <w:tcPr>
            <w:tcW w:w="1505" w:type="dxa"/>
          </w:tcPr>
          <w:p w14:paraId="4229D16D" w14:textId="332981B5" w:rsidR="00665819" w:rsidRPr="00D948C1" w:rsidRDefault="00665819" w:rsidP="006C0086">
            <w:pPr>
              <w:spacing w:line="276" w:lineRule="auto"/>
              <w:rPr>
                <w:szCs w:val="24"/>
              </w:rPr>
            </w:pPr>
            <w:r w:rsidRPr="00D948C1">
              <w:rPr>
                <w:szCs w:val="24"/>
              </w:rPr>
              <w:t>2036</w:t>
            </w:r>
          </w:p>
        </w:tc>
        <w:tc>
          <w:tcPr>
            <w:tcW w:w="1472" w:type="dxa"/>
            <w:vAlign w:val="center"/>
          </w:tcPr>
          <w:p w14:paraId="59542B92" w14:textId="735AA245" w:rsidR="00665819" w:rsidRPr="00D948C1" w:rsidRDefault="00665819" w:rsidP="006C0086">
            <w:pPr>
              <w:spacing w:line="276" w:lineRule="auto"/>
              <w:jc w:val="right"/>
              <w:rPr>
                <w:szCs w:val="24"/>
              </w:rPr>
            </w:pPr>
            <w:r w:rsidRPr="00D948C1">
              <w:rPr>
                <w:szCs w:val="24"/>
              </w:rPr>
              <w:t>650</w:t>
            </w:r>
          </w:p>
        </w:tc>
      </w:tr>
      <w:tr w:rsidR="00665819" w:rsidRPr="00D948C1" w14:paraId="665A86D2" w14:textId="77777777" w:rsidTr="003572E5">
        <w:trPr>
          <w:trHeight w:val="278"/>
        </w:trPr>
        <w:tc>
          <w:tcPr>
            <w:tcW w:w="1505" w:type="dxa"/>
          </w:tcPr>
          <w:p w14:paraId="7CFD1EB9" w14:textId="0DE85DEB" w:rsidR="00665819" w:rsidRPr="00D948C1" w:rsidRDefault="00665819" w:rsidP="006C0086">
            <w:pPr>
              <w:spacing w:line="276" w:lineRule="auto"/>
              <w:rPr>
                <w:szCs w:val="24"/>
              </w:rPr>
            </w:pPr>
            <w:r w:rsidRPr="00D948C1">
              <w:rPr>
                <w:szCs w:val="24"/>
              </w:rPr>
              <w:t>2037</w:t>
            </w:r>
          </w:p>
        </w:tc>
        <w:tc>
          <w:tcPr>
            <w:tcW w:w="1472" w:type="dxa"/>
            <w:vAlign w:val="center"/>
          </w:tcPr>
          <w:p w14:paraId="159092C0" w14:textId="1C1A5817" w:rsidR="00665819" w:rsidRPr="00D948C1" w:rsidRDefault="00665819" w:rsidP="006C0086">
            <w:pPr>
              <w:spacing w:line="276" w:lineRule="auto"/>
              <w:jc w:val="right"/>
              <w:rPr>
                <w:szCs w:val="24"/>
              </w:rPr>
            </w:pPr>
            <w:r w:rsidRPr="00D948C1">
              <w:rPr>
                <w:szCs w:val="24"/>
              </w:rPr>
              <w:t>700</w:t>
            </w:r>
          </w:p>
        </w:tc>
      </w:tr>
      <w:tr w:rsidR="00665819" w:rsidRPr="00D948C1" w14:paraId="0B942578" w14:textId="77777777" w:rsidTr="003572E5">
        <w:trPr>
          <w:trHeight w:val="278"/>
        </w:trPr>
        <w:tc>
          <w:tcPr>
            <w:tcW w:w="1505" w:type="dxa"/>
          </w:tcPr>
          <w:p w14:paraId="39F31389" w14:textId="279D218D" w:rsidR="00665819" w:rsidRPr="00D948C1" w:rsidRDefault="00665819" w:rsidP="006C0086">
            <w:pPr>
              <w:spacing w:line="276" w:lineRule="auto"/>
              <w:rPr>
                <w:szCs w:val="24"/>
              </w:rPr>
            </w:pPr>
            <w:r w:rsidRPr="00D948C1">
              <w:rPr>
                <w:szCs w:val="24"/>
              </w:rPr>
              <w:t>Total</w:t>
            </w:r>
          </w:p>
        </w:tc>
        <w:tc>
          <w:tcPr>
            <w:tcW w:w="1472" w:type="dxa"/>
            <w:vAlign w:val="center"/>
          </w:tcPr>
          <w:p w14:paraId="3D41422A" w14:textId="1C15E3B0" w:rsidR="00665819" w:rsidRPr="00D948C1" w:rsidRDefault="00665819" w:rsidP="006C0086">
            <w:pPr>
              <w:spacing w:line="276" w:lineRule="auto"/>
              <w:jc w:val="right"/>
              <w:rPr>
                <w:szCs w:val="24"/>
              </w:rPr>
            </w:pPr>
            <w:r w:rsidRPr="00D948C1">
              <w:rPr>
                <w:szCs w:val="24"/>
              </w:rPr>
              <w:t>2,000</w:t>
            </w:r>
          </w:p>
        </w:tc>
      </w:tr>
    </w:tbl>
    <w:p w14:paraId="01078925" w14:textId="77777777" w:rsidR="001543B8" w:rsidRPr="00D948C1" w:rsidRDefault="001543B8" w:rsidP="006C0086">
      <w:pPr>
        <w:spacing w:line="276" w:lineRule="auto"/>
        <w:jc w:val="both"/>
        <w:rPr>
          <w:b/>
          <w:szCs w:val="24"/>
        </w:rPr>
      </w:pPr>
    </w:p>
    <w:p w14:paraId="192513BB" w14:textId="0FE4A69C" w:rsidR="00D90216" w:rsidRPr="00D948C1" w:rsidRDefault="00D90216" w:rsidP="006C0086">
      <w:pPr>
        <w:spacing w:line="276" w:lineRule="auto"/>
        <w:ind w:left="720"/>
        <w:rPr>
          <w:b/>
          <w:szCs w:val="24"/>
        </w:rPr>
      </w:pPr>
      <w:r w:rsidRPr="00D948C1">
        <w:rPr>
          <w:b/>
          <w:szCs w:val="24"/>
        </w:rPr>
        <w:t>Market risk</w:t>
      </w:r>
    </w:p>
    <w:p w14:paraId="3E72B321" w14:textId="77777777" w:rsidR="00D90216" w:rsidRPr="00D948C1" w:rsidRDefault="00D90216" w:rsidP="006C0086">
      <w:pPr>
        <w:spacing w:line="276" w:lineRule="auto"/>
        <w:ind w:left="720"/>
        <w:rPr>
          <w:b/>
          <w:szCs w:val="24"/>
        </w:rPr>
      </w:pPr>
    </w:p>
    <w:p w14:paraId="514ECF01" w14:textId="789C1802" w:rsidR="00D90216" w:rsidRPr="00D948C1" w:rsidRDefault="00D90216" w:rsidP="006C0086">
      <w:pPr>
        <w:spacing w:line="276" w:lineRule="auto"/>
        <w:ind w:left="720"/>
        <w:rPr>
          <w:szCs w:val="24"/>
        </w:rPr>
      </w:pPr>
      <w:r w:rsidRPr="00D948C1">
        <w:rPr>
          <w:szCs w:val="24"/>
        </w:rPr>
        <w:t>The Authority is exposed to risk in terms of its exposure to interest rate movements on its borrowings and investments.</w:t>
      </w:r>
      <w:r w:rsidR="0066777B" w:rsidRPr="00D948C1">
        <w:rPr>
          <w:szCs w:val="24"/>
        </w:rPr>
        <w:t xml:space="preserve"> </w:t>
      </w:r>
      <w:r w:rsidRPr="00D948C1">
        <w:rPr>
          <w:szCs w:val="24"/>
        </w:rPr>
        <w:t>Movements in interest rates have a complex impact on the Authority. For instance, a rise in interest rate movements would have the following effects:</w:t>
      </w:r>
    </w:p>
    <w:p w14:paraId="57684748" w14:textId="1B4B4D47" w:rsidR="00D90216" w:rsidRPr="00D948C1" w:rsidRDefault="00D90216" w:rsidP="006C0086">
      <w:pPr>
        <w:numPr>
          <w:ilvl w:val="0"/>
          <w:numId w:val="18"/>
        </w:numPr>
        <w:spacing w:line="276" w:lineRule="auto"/>
        <w:rPr>
          <w:szCs w:val="24"/>
        </w:rPr>
      </w:pPr>
      <w:r w:rsidRPr="00D948C1">
        <w:rPr>
          <w:szCs w:val="24"/>
        </w:rPr>
        <w:t>Borrowings at fixed rates – the fair value of the liabilities borrowings will fall</w:t>
      </w:r>
      <w:r w:rsidR="00470E44" w:rsidRPr="00D948C1">
        <w:rPr>
          <w:szCs w:val="24"/>
        </w:rPr>
        <w:t>.</w:t>
      </w:r>
    </w:p>
    <w:p w14:paraId="568380E7" w14:textId="32E06001" w:rsidR="00D90216" w:rsidRPr="00D948C1" w:rsidRDefault="00D90216" w:rsidP="006C0086">
      <w:pPr>
        <w:numPr>
          <w:ilvl w:val="0"/>
          <w:numId w:val="18"/>
        </w:numPr>
        <w:spacing w:line="276" w:lineRule="auto"/>
        <w:rPr>
          <w:szCs w:val="24"/>
        </w:rPr>
      </w:pPr>
      <w:r w:rsidRPr="00D948C1">
        <w:rPr>
          <w:szCs w:val="24"/>
        </w:rPr>
        <w:t>Investments at variable rates – the interest income credited to the deficit on the provision of services will rise</w:t>
      </w:r>
      <w:r w:rsidR="00470E44" w:rsidRPr="00D948C1">
        <w:rPr>
          <w:szCs w:val="24"/>
        </w:rPr>
        <w:t>.</w:t>
      </w:r>
    </w:p>
    <w:p w14:paraId="0DF4FF67" w14:textId="3B315AB4" w:rsidR="00D90216" w:rsidRPr="00D948C1" w:rsidRDefault="00D90216" w:rsidP="006C0086">
      <w:pPr>
        <w:spacing w:line="276" w:lineRule="auto"/>
        <w:ind w:left="720"/>
        <w:rPr>
          <w:szCs w:val="24"/>
        </w:rPr>
      </w:pPr>
      <w:r w:rsidRPr="00D948C1">
        <w:rPr>
          <w:szCs w:val="24"/>
        </w:rPr>
        <w:t xml:space="preserve">We hold fixed rate financial liabilities </w:t>
      </w:r>
      <w:r w:rsidR="004D6EE3" w:rsidRPr="00D948C1">
        <w:rPr>
          <w:szCs w:val="24"/>
        </w:rPr>
        <w:t xml:space="preserve">(borrowings) </w:t>
      </w:r>
      <w:r w:rsidRPr="00D948C1">
        <w:rPr>
          <w:szCs w:val="24"/>
        </w:rPr>
        <w:t>and variable rate financial assets</w:t>
      </w:r>
      <w:r w:rsidR="004D6EE3" w:rsidRPr="00D948C1">
        <w:rPr>
          <w:szCs w:val="24"/>
        </w:rPr>
        <w:t xml:space="preserve"> (investments)</w:t>
      </w:r>
      <w:r w:rsidRPr="00D948C1">
        <w:rPr>
          <w:szCs w:val="24"/>
        </w:rPr>
        <w:t>.</w:t>
      </w:r>
    </w:p>
    <w:p w14:paraId="0AF6D1F6" w14:textId="71F13004" w:rsidR="00D90216" w:rsidRPr="00D948C1" w:rsidRDefault="00D90216" w:rsidP="006C0086">
      <w:pPr>
        <w:spacing w:line="276" w:lineRule="auto"/>
        <w:ind w:left="720"/>
        <w:rPr>
          <w:szCs w:val="24"/>
        </w:rPr>
      </w:pPr>
      <w:r w:rsidRPr="00D948C1">
        <w:rPr>
          <w:szCs w:val="24"/>
        </w:rPr>
        <w:t>Borrowings are not carried at fair value, so nominal gains and losses on fixed rate loans would not impact on the Deficit on the Provision of Services or Other Comprehensive Income and Expenditure. Instead, the effect of changes in market interest rates is to change the fair value of the liabilities reported in the notes to the balance sheet. Fair values represent the amount due if debt is repaid before its maturity date. When the loans finally mature, they will be repayable at their nominal values.</w:t>
      </w:r>
    </w:p>
    <w:p w14:paraId="39E17F0B" w14:textId="18553588" w:rsidR="00D90216" w:rsidRPr="00D948C1" w:rsidRDefault="00D90216" w:rsidP="006C0086">
      <w:pPr>
        <w:spacing w:line="276" w:lineRule="auto"/>
        <w:ind w:left="720"/>
        <w:rPr>
          <w:szCs w:val="24"/>
        </w:rPr>
      </w:pPr>
      <w:r w:rsidRPr="00D948C1">
        <w:rPr>
          <w:szCs w:val="24"/>
        </w:rPr>
        <w:t xml:space="preserve">Our financial assets are the cash deposits </w:t>
      </w:r>
      <w:r w:rsidR="004D6EE3" w:rsidRPr="00D948C1">
        <w:rPr>
          <w:szCs w:val="24"/>
        </w:rPr>
        <w:t>placed in a call account with</w:t>
      </w:r>
      <w:r w:rsidRPr="00D948C1">
        <w:rPr>
          <w:szCs w:val="24"/>
        </w:rPr>
        <w:t xml:space="preserve"> </w:t>
      </w:r>
      <w:r w:rsidR="004D6EE3" w:rsidRPr="00D948C1">
        <w:rPr>
          <w:szCs w:val="24"/>
        </w:rPr>
        <w:t>Lancashire County Council</w:t>
      </w:r>
      <w:r w:rsidRPr="00D948C1">
        <w:rPr>
          <w:szCs w:val="24"/>
        </w:rPr>
        <w:t xml:space="preserve">. Interest received on them is linked to the </w:t>
      </w:r>
      <w:r w:rsidR="004D6EE3" w:rsidRPr="00D948C1">
        <w:rPr>
          <w:szCs w:val="24"/>
        </w:rPr>
        <w:t>base rate</w:t>
      </w:r>
      <w:r w:rsidRPr="00D948C1">
        <w:rPr>
          <w:szCs w:val="24"/>
        </w:rPr>
        <w:t xml:space="preserve">. </w:t>
      </w:r>
      <w:r w:rsidR="00C45FE5" w:rsidRPr="00D948C1">
        <w:rPr>
          <w:szCs w:val="24"/>
        </w:rPr>
        <w:t xml:space="preserve">Each working day the balance on the Authority's Call Account is invested to ensure that the interest received on surplus balances is maximised. The average balance within this account throughout the year was </w:t>
      </w:r>
      <w:r w:rsidR="008C3052" w:rsidRPr="00D948C1">
        <w:rPr>
          <w:szCs w:val="24"/>
        </w:rPr>
        <w:t>£</w:t>
      </w:r>
      <w:r w:rsidR="00BA618C" w:rsidRPr="00D948C1">
        <w:rPr>
          <w:szCs w:val="24"/>
        </w:rPr>
        <w:t>17.7</w:t>
      </w:r>
      <w:r w:rsidR="00C45FE5" w:rsidRPr="00D948C1">
        <w:rPr>
          <w:szCs w:val="24"/>
        </w:rPr>
        <w:t xml:space="preserve"> million </w:t>
      </w:r>
      <w:r w:rsidRPr="00D948C1">
        <w:rPr>
          <w:szCs w:val="24"/>
        </w:rPr>
        <w:t>and, with no change in that level of balances, a 1% increase in the market rate of interest, if sustained over the whole year would give rise to additional interest earned of £</w:t>
      </w:r>
      <w:r w:rsidR="00BA618C" w:rsidRPr="00D948C1">
        <w:rPr>
          <w:szCs w:val="24"/>
        </w:rPr>
        <w:t>177</w:t>
      </w:r>
      <w:r w:rsidRPr="00D948C1">
        <w:rPr>
          <w:szCs w:val="24"/>
        </w:rPr>
        <w:t>,</w:t>
      </w:r>
      <w:r w:rsidR="005D6A60" w:rsidRPr="00D948C1">
        <w:rPr>
          <w:szCs w:val="24"/>
        </w:rPr>
        <w:t>000</w:t>
      </w:r>
      <w:r w:rsidRPr="00D948C1">
        <w:rPr>
          <w:szCs w:val="24"/>
        </w:rPr>
        <w:t xml:space="preserve"> and a 1% fall would give a reduction of the same amount. </w:t>
      </w:r>
    </w:p>
    <w:p w14:paraId="1AD39713" w14:textId="271E34CF" w:rsidR="00D90216" w:rsidRPr="00D948C1" w:rsidRDefault="001C592E" w:rsidP="006C0086">
      <w:pPr>
        <w:pStyle w:val="Heading2"/>
        <w:spacing w:line="276" w:lineRule="auto"/>
        <w:jc w:val="left"/>
        <w:rPr>
          <w:sz w:val="24"/>
          <w:szCs w:val="24"/>
          <w:lang w:val="en-US"/>
        </w:rPr>
      </w:pPr>
      <w:bookmarkStart w:id="64" w:name="_Toc171068806"/>
      <w:r w:rsidRPr="00D948C1">
        <w:rPr>
          <w:sz w:val="24"/>
          <w:szCs w:val="24"/>
          <w:lang w:val="en-US"/>
        </w:rPr>
        <w:t>2</w:t>
      </w:r>
      <w:r w:rsidR="00535820" w:rsidRPr="00D948C1">
        <w:rPr>
          <w:sz w:val="24"/>
          <w:szCs w:val="24"/>
          <w:lang w:val="en-US"/>
        </w:rPr>
        <w:t>2</w:t>
      </w:r>
      <w:r w:rsidR="00D90216" w:rsidRPr="00D948C1">
        <w:rPr>
          <w:sz w:val="24"/>
          <w:szCs w:val="24"/>
          <w:lang w:val="en-US"/>
        </w:rPr>
        <w:tab/>
      </w:r>
      <w:bookmarkStart w:id="65" w:name="N22"/>
      <w:bookmarkStart w:id="66" w:name="_Hlk140222307"/>
      <w:bookmarkEnd w:id="65"/>
      <w:r w:rsidR="00D90216" w:rsidRPr="00D948C1">
        <w:rPr>
          <w:sz w:val="24"/>
          <w:szCs w:val="24"/>
          <w:lang w:val="en-US"/>
        </w:rPr>
        <w:t>Local Autho</w:t>
      </w:r>
      <w:r w:rsidR="00B86715" w:rsidRPr="00D948C1">
        <w:rPr>
          <w:sz w:val="24"/>
          <w:szCs w:val="24"/>
          <w:lang w:val="en-US"/>
        </w:rPr>
        <w:t xml:space="preserve">rity Controlled Company – NW </w:t>
      </w:r>
      <w:proofErr w:type="spellStart"/>
      <w:r w:rsidR="00B86715" w:rsidRPr="00D948C1">
        <w:rPr>
          <w:sz w:val="24"/>
          <w:szCs w:val="24"/>
          <w:lang w:val="en-US"/>
        </w:rPr>
        <w:t>Fir</w:t>
      </w:r>
      <w:r w:rsidR="00D90216" w:rsidRPr="00D948C1">
        <w:rPr>
          <w:sz w:val="24"/>
          <w:szCs w:val="24"/>
          <w:lang w:val="en-US"/>
        </w:rPr>
        <w:t>eControl</w:t>
      </w:r>
      <w:proofErr w:type="spellEnd"/>
      <w:r w:rsidR="00D90216" w:rsidRPr="00D948C1">
        <w:rPr>
          <w:sz w:val="24"/>
          <w:szCs w:val="24"/>
          <w:lang w:val="en-US"/>
        </w:rPr>
        <w:t xml:space="preserve"> L</w:t>
      </w:r>
      <w:r w:rsidR="00B86715" w:rsidRPr="00D948C1">
        <w:rPr>
          <w:sz w:val="24"/>
          <w:szCs w:val="24"/>
          <w:lang w:val="en-US"/>
        </w:rPr>
        <w:t>imi</w:t>
      </w:r>
      <w:r w:rsidR="00D90216" w:rsidRPr="00D948C1">
        <w:rPr>
          <w:sz w:val="24"/>
          <w:szCs w:val="24"/>
          <w:lang w:val="en-US"/>
        </w:rPr>
        <w:t>t</w:t>
      </w:r>
      <w:r w:rsidR="00B86715" w:rsidRPr="00D948C1">
        <w:rPr>
          <w:sz w:val="24"/>
          <w:szCs w:val="24"/>
          <w:lang w:val="en-US"/>
        </w:rPr>
        <w:t>e</w:t>
      </w:r>
      <w:r w:rsidR="00D90216" w:rsidRPr="00D948C1">
        <w:rPr>
          <w:sz w:val="24"/>
          <w:szCs w:val="24"/>
          <w:lang w:val="en-US"/>
        </w:rPr>
        <w:t>d</w:t>
      </w:r>
      <w:bookmarkEnd w:id="64"/>
    </w:p>
    <w:p w14:paraId="425771B8" w14:textId="77777777" w:rsidR="00B86715" w:rsidRPr="00D948C1" w:rsidRDefault="00B86715" w:rsidP="006C0086">
      <w:pPr>
        <w:spacing w:line="276" w:lineRule="auto"/>
        <w:rPr>
          <w:rFonts w:cs="Arial"/>
          <w:b/>
          <w:szCs w:val="24"/>
          <w:u w:val="single"/>
          <w:lang w:eastAsia="en-GB"/>
        </w:rPr>
      </w:pPr>
    </w:p>
    <w:p w14:paraId="2FB27411" w14:textId="25CC77C2" w:rsidR="00B86715" w:rsidRPr="00D948C1" w:rsidRDefault="00AF76C8" w:rsidP="006C0086">
      <w:pPr>
        <w:spacing w:line="276" w:lineRule="auto"/>
        <w:ind w:left="720"/>
        <w:rPr>
          <w:rFonts w:cs="Arial"/>
          <w:szCs w:val="24"/>
          <w:lang w:eastAsia="en-GB"/>
        </w:rPr>
      </w:pPr>
      <w:r w:rsidRPr="00D948C1">
        <w:rPr>
          <w:rFonts w:cs="Arial"/>
          <w:szCs w:val="24"/>
          <w:lang w:eastAsia="en-GB"/>
        </w:rPr>
        <w:lastRenderedPageBreak/>
        <w:t xml:space="preserve">NW </w:t>
      </w:r>
      <w:proofErr w:type="spellStart"/>
      <w:r w:rsidRPr="00D948C1">
        <w:rPr>
          <w:rFonts w:cs="Arial"/>
          <w:szCs w:val="24"/>
          <w:lang w:eastAsia="en-GB"/>
        </w:rPr>
        <w:t>Fire</w:t>
      </w:r>
      <w:r w:rsidR="00B86715" w:rsidRPr="00D948C1">
        <w:rPr>
          <w:rFonts w:cs="Arial"/>
          <w:szCs w:val="24"/>
          <w:lang w:eastAsia="en-GB"/>
        </w:rPr>
        <w:t>Control</w:t>
      </w:r>
      <w:proofErr w:type="spellEnd"/>
      <w:r w:rsidR="00B86715" w:rsidRPr="00D948C1">
        <w:rPr>
          <w:rFonts w:cs="Arial"/>
          <w:szCs w:val="24"/>
          <w:lang w:eastAsia="en-GB"/>
        </w:rPr>
        <w:t xml:space="preserve"> Limited is a company limited by guarantee with the responsibility for Fire and Rescue Service mobilisation for the </w:t>
      </w:r>
      <w:proofErr w:type="gramStart"/>
      <w:r w:rsidR="00B86715" w:rsidRPr="00D948C1">
        <w:rPr>
          <w:rFonts w:cs="Arial"/>
          <w:szCs w:val="24"/>
          <w:lang w:eastAsia="en-GB"/>
        </w:rPr>
        <w:t>North West</w:t>
      </w:r>
      <w:proofErr w:type="gramEnd"/>
      <w:r w:rsidR="00B86715" w:rsidRPr="00D948C1">
        <w:rPr>
          <w:rFonts w:cs="Arial"/>
          <w:szCs w:val="24"/>
          <w:lang w:eastAsia="en-GB"/>
        </w:rPr>
        <w:t xml:space="preserve"> region. The Company has four members which are Cheshire, </w:t>
      </w:r>
      <w:r w:rsidR="00B86715" w:rsidRPr="00D948C1">
        <w:rPr>
          <w:rFonts w:cs="Arial"/>
          <w:szCs w:val="24"/>
        </w:rPr>
        <w:t>Cumbria</w:t>
      </w:r>
      <w:r w:rsidR="00B86715" w:rsidRPr="00D948C1">
        <w:rPr>
          <w:rFonts w:cs="Arial"/>
          <w:szCs w:val="24"/>
          <w:lang w:eastAsia="en-GB"/>
        </w:rPr>
        <w:t xml:space="preserve">, Greater </w:t>
      </w:r>
      <w:r w:rsidR="0094180B" w:rsidRPr="00D948C1">
        <w:rPr>
          <w:rFonts w:cs="Arial"/>
          <w:szCs w:val="24"/>
          <w:lang w:eastAsia="en-GB"/>
        </w:rPr>
        <w:t>Manchester,</w:t>
      </w:r>
      <w:r w:rsidR="00B86715" w:rsidRPr="00D948C1">
        <w:rPr>
          <w:rFonts w:cs="Arial"/>
          <w:szCs w:val="24"/>
          <w:lang w:eastAsia="en-GB"/>
        </w:rPr>
        <w:t xml:space="preserve"> and Lancashire Fire &amp; Rescue Authorities (FRAs). The liability of each member in the event of the company being wound up is limited and shall not exceed £1. Each member of the company has the right to appoint 2 directors, who are Councillors appointed to their respective FRAs. All directors have equal voting rights.</w:t>
      </w:r>
    </w:p>
    <w:p w14:paraId="6C1B69F1" w14:textId="77777777" w:rsidR="009B6312" w:rsidRPr="00D948C1" w:rsidRDefault="009B6312" w:rsidP="006C0086">
      <w:pPr>
        <w:spacing w:line="276" w:lineRule="auto"/>
        <w:ind w:left="720"/>
        <w:rPr>
          <w:rFonts w:cs="Arial"/>
          <w:szCs w:val="24"/>
          <w:lang w:eastAsia="en-GB"/>
        </w:rPr>
      </w:pPr>
      <w:r w:rsidRPr="00D948C1">
        <w:rPr>
          <w:rFonts w:cs="Arial"/>
          <w:szCs w:val="24"/>
          <w:lang w:eastAsia="en-GB"/>
        </w:rPr>
        <w:t>During May 2014 all four services transferred their Control Room functions into the regionali</w:t>
      </w:r>
      <w:r w:rsidR="00E87D8D" w:rsidRPr="00D948C1">
        <w:rPr>
          <w:rFonts w:cs="Arial"/>
          <w:szCs w:val="24"/>
          <w:lang w:eastAsia="en-GB"/>
        </w:rPr>
        <w:t xml:space="preserve">sed service provided by NW </w:t>
      </w:r>
      <w:proofErr w:type="spellStart"/>
      <w:r w:rsidR="00E87D8D" w:rsidRPr="00D948C1">
        <w:rPr>
          <w:rFonts w:cs="Arial"/>
          <w:szCs w:val="24"/>
          <w:lang w:eastAsia="en-GB"/>
        </w:rPr>
        <w:t>Fire</w:t>
      </w:r>
      <w:r w:rsidRPr="00D948C1">
        <w:rPr>
          <w:rFonts w:cs="Arial"/>
          <w:szCs w:val="24"/>
          <w:lang w:eastAsia="en-GB"/>
        </w:rPr>
        <w:t>Control</w:t>
      </w:r>
      <w:proofErr w:type="spellEnd"/>
      <w:r w:rsidRPr="00D948C1">
        <w:rPr>
          <w:rFonts w:cs="Arial"/>
          <w:szCs w:val="24"/>
          <w:lang w:eastAsia="en-GB"/>
        </w:rPr>
        <w:t xml:space="preserve"> </w:t>
      </w:r>
      <w:r w:rsidR="002B520D" w:rsidRPr="00D948C1">
        <w:rPr>
          <w:rFonts w:cs="Arial"/>
          <w:szCs w:val="24"/>
          <w:lang w:eastAsia="en-GB"/>
        </w:rPr>
        <w:t>Limited</w:t>
      </w:r>
      <w:r w:rsidRPr="00D948C1">
        <w:rPr>
          <w:rFonts w:cs="Arial"/>
          <w:szCs w:val="24"/>
          <w:lang w:eastAsia="en-GB"/>
        </w:rPr>
        <w:t xml:space="preserve">. The cost of the service is charged out to the four FRAs on an agreed pro rata basis agreed by a Service Level Agreement. The implementation phase continued to be funded by a section 31 grant from the Department for Communities and Local Government plus an ongoing grant to fund 66% of the lease costs for the building. The grant is paid to Greater Manchester Fire &amp; Rescue Authority as lead authority for the </w:t>
      </w:r>
      <w:proofErr w:type="gramStart"/>
      <w:r w:rsidRPr="00D948C1">
        <w:rPr>
          <w:rFonts w:cs="Arial"/>
          <w:szCs w:val="24"/>
          <w:lang w:eastAsia="en-GB"/>
        </w:rPr>
        <w:t>North West</w:t>
      </w:r>
      <w:proofErr w:type="gramEnd"/>
      <w:r w:rsidRPr="00D948C1">
        <w:rPr>
          <w:rFonts w:cs="Arial"/>
          <w:szCs w:val="24"/>
          <w:lang w:eastAsia="en-GB"/>
        </w:rPr>
        <w:t xml:space="preserve"> region and released to the company as required. </w:t>
      </w:r>
      <w:r w:rsidR="00011E3D" w:rsidRPr="00D948C1">
        <w:rPr>
          <w:rFonts w:cs="Arial"/>
          <w:szCs w:val="24"/>
          <w:lang w:eastAsia="en-GB"/>
        </w:rPr>
        <w:t>From 8th May 2017 Greater Manchester Fire and Rescue Service transferred into the Greater Manchester Combined Authori</w:t>
      </w:r>
      <w:r w:rsidR="0037293D" w:rsidRPr="00D948C1">
        <w:rPr>
          <w:rFonts w:cs="Arial"/>
          <w:szCs w:val="24"/>
          <w:lang w:eastAsia="en-GB"/>
        </w:rPr>
        <w:t xml:space="preserve">ty and the ownership of NW </w:t>
      </w:r>
      <w:proofErr w:type="spellStart"/>
      <w:r w:rsidR="0037293D" w:rsidRPr="00D948C1">
        <w:rPr>
          <w:rFonts w:cs="Arial"/>
          <w:szCs w:val="24"/>
          <w:lang w:eastAsia="en-GB"/>
        </w:rPr>
        <w:t>Fire</w:t>
      </w:r>
      <w:r w:rsidR="00011E3D" w:rsidRPr="00D948C1">
        <w:rPr>
          <w:rFonts w:cs="Arial"/>
          <w:szCs w:val="24"/>
          <w:lang w:eastAsia="en-GB"/>
        </w:rPr>
        <w:t>Control</w:t>
      </w:r>
      <w:proofErr w:type="spellEnd"/>
      <w:r w:rsidR="00011E3D" w:rsidRPr="00D948C1">
        <w:rPr>
          <w:rFonts w:cs="Arial"/>
          <w:szCs w:val="24"/>
          <w:lang w:eastAsia="en-GB"/>
        </w:rPr>
        <w:t xml:space="preserve"> </w:t>
      </w:r>
      <w:r w:rsidR="002B520D" w:rsidRPr="00D948C1">
        <w:rPr>
          <w:rFonts w:cs="Arial"/>
          <w:szCs w:val="24"/>
          <w:lang w:eastAsia="en-GB"/>
        </w:rPr>
        <w:t xml:space="preserve">Limited </w:t>
      </w:r>
      <w:r w:rsidR="00011E3D" w:rsidRPr="00D948C1">
        <w:rPr>
          <w:rFonts w:cs="Arial"/>
          <w:szCs w:val="24"/>
          <w:lang w:eastAsia="en-GB"/>
        </w:rPr>
        <w:t>therefore also transfers.</w:t>
      </w:r>
    </w:p>
    <w:p w14:paraId="72BC4479" w14:textId="219805C1" w:rsidR="009B6312" w:rsidRPr="00D948C1" w:rsidRDefault="009B6312" w:rsidP="006C0086">
      <w:pPr>
        <w:spacing w:line="276" w:lineRule="auto"/>
        <w:ind w:left="720"/>
        <w:rPr>
          <w:rFonts w:cs="Arial"/>
          <w:szCs w:val="24"/>
          <w:lang w:eastAsia="en-GB"/>
        </w:rPr>
      </w:pPr>
      <w:bookmarkStart w:id="67" w:name="_Hlk81904470"/>
      <w:r w:rsidRPr="00D948C1">
        <w:rPr>
          <w:rFonts w:cs="Arial"/>
          <w:szCs w:val="24"/>
          <w:lang w:eastAsia="en-GB"/>
        </w:rPr>
        <w:t>A</w:t>
      </w:r>
      <w:r w:rsidR="00051F06" w:rsidRPr="00D948C1">
        <w:rPr>
          <w:rFonts w:cs="Arial"/>
          <w:szCs w:val="24"/>
          <w:lang w:eastAsia="en-GB"/>
        </w:rPr>
        <w:t>n</w:t>
      </w:r>
      <w:r w:rsidRPr="00D948C1">
        <w:rPr>
          <w:rFonts w:cs="Arial"/>
          <w:szCs w:val="24"/>
          <w:lang w:eastAsia="en-GB"/>
        </w:rPr>
        <w:t xml:space="preserve"> assessment for Group Accounting requirements has taken place during 20</w:t>
      </w:r>
      <w:r w:rsidR="0064196C" w:rsidRPr="00D948C1">
        <w:rPr>
          <w:rFonts w:cs="Arial"/>
          <w:szCs w:val="24"/>
          <w:lang w:eastAsia="en-GB"/>
        </w:rPr>
        <w:t>2</w:t>
      </w:r>
      <w:r w:rsidR="002823FC" w:rsidRPr="00D948C1">
        <w:rPr>
          <w:rFonts w:cs="Arial"/>
          <w:szCs w:val="24"/>
          <w:lang w:eastAsia="en-GB"/>
        </w:rPr>
        <w:t>3</w:t>
      </w:r>
      <w:r w:rsidR="005529ED" w:rsidRPr="00D948C1">
        <w:rPr>
          <w:rFonts w:cs="Arial"/>
          <w:szCs w:val="24"/>
          <w:lang w:eastAsia="en-GB"/>
        </w:rPr>
        <w:t>/2</w:t>
      </w:r>
      <w:r w:rsidR="002823FC" w:rsidRPr="00D948C1">
        <w:rPr>
          <w:rFonts w:cs="Arial"/>
          <w:szCs w:val="24"/>
          <w:lang w:eastAsia="en-GB"/>
        </w:rPr>
        <w:t>4</w:t>
      </w:r>
      <w:r w:rsidR="0037293D" w:rsidRPr="00D948C1">
        <w:rPr>
          <w:rFonts w:cs="Arial"/>
          <w:szCs w:val="24"/>
          <w:lang w:eastAsia="en-GB"/>
        </w:rPr>
        <w:t xml:space="preserve"> in respect of NW </w:t>
      </w:r>
      <w:proofErr w:type="spellStart"/>
      <w:r w:rsidR="0037293D" w:rsidRPr="00D948C1">
        <w:rPr>
          <w:rFonts w:cs="Arial"/>
          <w:szCs w:val="24"/>
          <w:lang w:eastAsia="en-GB"/>
        </w:rPr>
        <w:t>Fire</w:t>
      </w:r>
      <w:r w:rsidRPr="00D948C1">
        <w:rPr>
          <w:rFonts w:cs="Arial"/>
          <w:szCs w:val="24"/>
          <w:lang w:eastAsia="en-GB"/>
        </w:rPr>
        <w:t>Control</w:t>
      </w:r>
      <w:proofErr w:type="spellEnd"/>
      <w:r w:rsidRPr="00D948C1">
        <w:rPr>
          <w:rFonts w:cs="Arial"/>
          <w:szCs w:val="24"/>
          <w:lang w:eastAsia="en-GB"/>
        </w:rPr>
        <w:t xml:space="preserve"> </w:t>
      </w:r>
      <w:r w:rsidR="002B520D" w:rsidRPr="00D948C1">
        <w:rPr>
          <w:rFonts w:cs="Arial"/>
          <w:szCs w:val="24"/>
          <w:lang w:eastAsia="en-GB"/>
        </w:rPr>
        <w:t>Limited</w:t>
      </w:r>
      <w:r w:rsidRPr="00D948C1">
        <w:rPr>
          <w:rFonts w:cs="Arial"/>
          <w:szCs w:val="24"/>
          <w:lang w:eastAsia="en-GB"/>
        </w:rPr>
        <w:t>. This is in accordance with the Code of Practice on Local Authority Accounting in the United Kingdom Based on International Financial Reporting Standards (</w:t>
      </w:r>
      <w:r w:rsidR="00760249" w:rsidRPr="00D948C1">
        <w:rPr>
          <w:szCs w:val="24"/>
        </w:rPr>
        <w:t xml:space="preserve">International Financial Reporting Standards </w:t>
      </w:r>
      <w:r w:rsidRPr="00D948C1">
        <w:rPr>
          <w:rFonts w:cs="Arial"/>
          <w:szCs w:val="24"/>
          <w:lang w:eastAsia="en-GB"/>
        </w:rPr>
        <w:t>10, 11 &amp; 12).</w:t>
      </w:r>
      <w:r w:rsidR="005E1E00" w:rsidRPr="00D948C1">
        <w:rPr>
          <w:rFonts w:cs="Arial"/>
          <w:szCs w:val="24"/>
          <w:lang w:eastAsia="en-GB"/>
        </w:rPr>
        <w:t xml:space="preserve"> </w:t>
      </w:r>
    </w:p>
    <w:p w14:paraId="4382D27D" w14:textId="198D1E28" w:rsidR="00ED21C2" w:rsidRPr="00D948C1" w:rsidRDefault="009B6312" w:rsidP="006C0086">
      <w:pPr>
        <w:spacing w:line="276" w:lineRule="auto"/>
        <w:ind w:left="720"/>
        <w:rPr>
          <w:rFonts w:cs="Arial"/>
          <w:szCs w:val="24"/>
          <w:lang w:eastAsia="en-GB"/>
        </w:rPr>
      </w:pPr>
      <w:r w:rsidRPr="00D948C1">
        <w:rPr>
          <w:rFonts w:cs="Arial"/>
          <w:szCs w:val="24"/>
          <w:lang w:eastAsia="en-GB"/>
        </w:rPr>
        <w:t xml:space="preserve">It has been determined that the company is governed by Joint Control </w:t>
      </w:r>
      <w:r w:rsidR="001C3A52" w:rsidRPr="00D948C1">
        <w:rPr>
          <w:rFonts w:cs="Arial"/>
          <w:szCs w:val="24"/>
          <w:lang w:eastAsia="en-GB"/>
        </w:rPr>
        <w:t>since</w:t>
      </w:r>
      <w:r w:rsidRPr="00D948C1">
        <w:rPr>
          <w:rFonts w:cs="Arial"/>
          <w:szCs w:val="24"/>
          <w:lang w:eastAsia="en-GB"/>
        </w:rPr>
        <w:t xml:space="preserve"> unanimous consent exists for key decisions and each Authority has equal voting rights. This joint arrangement has been deemed to be a Joint Operation as the parties have rights to the assets, and obligations for the liabilities relating to the arrangement</w:t>
      </w:r>
      <w:r w:rsidR="00F93F5A" w:rsidRPr="00D948C1">
        <w:rPr>
          <w:rFonts w:cs="Arial"/>
          <w:szCs w:val="24"/>
          <w:lang w:eastAsia="en-GB"/>
        </w:rPr>
        <w:t xml:space="preserve">, and on this basis, the Authority’s 25% share of the transactions and balances of NW </w:t>
      </w:r>
      <w:proofErr w:type="spellStart"/>
      <w:r w:rsidR="00F93F5A" w:rsidRPr="00D948C1">
        <w:rPr>
          <w:rFonts w:cs="Arial"/>
          <w:szCs w:val="24"/>
          <w:lang w:eastAsia="en-GB"/>
        </w:rPr>
        <w:t>FireControl</w:t>
      </w:r>
      <w:proofErr w:type="spellEnd"/>
      <w:r w:rsidR="00F93F5A" w:rsidRPr="00D948C1">
        <w:rPr>
          <w:rFonts w:cs="Arial"/>
          <w:szCs w:val="24"/>
          <w:lang w:eastAsia="en-GB"/>
        </w:rPr>
        <w:t xml:space="preserve"> Limited have been recognised within the accounts.</w:t>
      </w:r>
      <w:r w:rsidR="005E1E00" w:rsidRPr="00D948C1">
        <w:rPr>
          <w:rFonts w:cs="Arial"/>
          <w:szCs w:val="24"/>
          <w:lang w:eastAsia="en-GB"/>
        </w:rPr>
        <w:t xml:space="preserve"> See </w:t>
      </w:r>
      <w:hyperlink w:anchor="N28" w:history="1">
        <w:r w:rsidR="005E1E00" w:rsidRPr="00D948C1">
          <w:rPr>
            <w:rStyle w:val="Hyperlink"/>
            <w:rFonts w:cs="Arial"/>
            <w:szCs w:val="24"/>
            <w:lang w:eastAsia="en-GB"/>
          </w:rPr>
          <w:t>note 28</w:t>
        </w:r>
      </w:hyperlink>
      <w:r w:rsidR="005E1E00" w:rsidRPr="00D948C1">
        <w:rPr>
          <w:rFonts w:cs="Arial"/>
          <w:szCs w:val="24"/>
          <w:lang w:eastAsia="en-GB"/>
        </w:rPr>
        <w:t xml:space="preserve"> Critical judgements.</w:t>
      </w:r>
      <w:bookmarkEnd w:id="67"/>
    </w:p>
    <w:p w14:paraId="617F39AF" w14:textId="2CD005FF" w:rsidR="00F06F0B" w:rsidRPr="00D948C1" w:rsidRDefault="00F06F0B" w:rsidP="006C0086">
      <w:pPr>
        <w:spacing w:line="276" w:lineRule="auto"/>
        <w:ind w:left="720"/>
        <w:rPr>
          <w:rFonts w:cs="Arial"/>
          <w:szCs w:val="24"/>
        </w:rPr>
      </w:pPr>
      <w:r w:rsidRPr="00D948C1">
        <w:rPr>
          <w:rFonts w:cs="Arial"/>
          <w:szCs w:val="24"/>
        </w:rPr>
        <w:t xml:space="preserve">Below shows the key Information from the Draft </w:t>
      </w:r>
      <w:r w:rsidR="0037293D" w:rsidRPr="00D948C1">
        <w:rPr>
          <w:rFonts w:cs="Arial"/>
          <w:szCs w:val="24"/>
        </w:rPr>
        <w:t xml:space="preserve">Financial Statements of NW </w:t>
      </w:r>
      <w:proofErr w:type="spellStart"/>
      <w:r w:rsidR="0037293D" w:rsidRPr="00D948C1">
        <w:rPr>
          <w:rFonts w:cs="Arial"/>
          <w:szCs w:val="24"/>
        </w:rPr>
        <w:t>Fire</w:t>
      </w:r>
      <w:r w:rsidRPr="00D948C1">
        <w:rPr>
          <w:rFonts w:cs="Arial"/>
          <w:szCs w:val="24"/>
        </w:rPr>
        <w:t>Control</w:t>
      </w:r>
      <w:proofErr w:type="spellEnd"/>
      <w:r w:rsidRPr="00D948C1">
        <w:rPr>
          <w:rFonts w:cs="Arial"/>
          <w:szCs w:val="24"/>
        </w:rPr>
        <w:t xml:space="preserve"> </w:t>
      </w:r>
      <w:r w:rsidR="002B520D" w:rsidRPr="00D948C1">
        <w:rPr>
          <w:rFonts w:cs="Arial"/>
          <w:szCs w:val="24"/>
          <w:lang w:eastAsia="en-GB"/>
        </w:rPr>
        <w:t>Limited</w:t>
      </w:r>
      <w:r w:rsidRPr="00D948C1">
        <w:rPr>
          <w:rFonts w:cs="Arial"/>
          <w:szCs w:val="24"/>
        </w:rPr>
        <w:t>:</w:t>
      </w:r>
    </w:p>
    <w:p w14:paraId="68D4D90C" w14:textId="77777777" w:rsidR="00F800C7" w:rsidRPr="00D948C1" w:rsidRDefault="00F800C7" w:rsidP="006C0086">
      <w:pPr>
        <w:spacing w:line="276" w:lineRule="auto"/>
        <w:rPr>
          <w:rFonts w:cs="Arial"/>
          <w:sz w:val="22"/>
          <w:szCs w:val="22"/>
        </w:rPr>
      </w:pPr>
    </w:p>
    <w:tbl>
      <w:tblPr>
        <w:tblW w:w="8386"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149"/>
        <w:gridCol w:w="2410"/>
      </w:tblGrid>
      <w:tr w:rsidR="003D2C98" w:rsidRPr="00D948C1" w14:paraId="15A134F2" w14:textId="77777777" w:rsidTr="00611673">
        <w:tc>
          <w:tcPr>
            <w:tcW w:w="3827" w:type="dxa"/>
            <w:shd w:val="clear" w:color="auto" w:fill="BD2716"/>
            <w:vAlign w:val="center"/>
          </w:tcPr>
          <w:p w14:paraId="48977F78" w14:textId="77777777" w:rsidR="003D2C98" w:rsidRPr="00D948C1" w:rsidRDefault="003D2C98" w:rsidP="006C0086">
            <w:pPr>
              <w:spacing w:line="276" w:lineRule="auto"/>
              <w:rPr>
                <w:rFonts w:cs="Arial"/>
                <w:color w:val="FFFFFF" w:themeColor="background1"/>
                <w:szCs w:val="24"/>
              </w:rPr>
            </w:pPr>
            <w:r w:rsidRPr="00D948C1">
              <w:rPr>
                <w:rFonts w:cs="Arial"/>
                <w:color w:val="FFFFFF" w:themeColor="background1"/>
                <w:szCs w:val="24"/>
              </w:rPr>
              <w:t>Key Information</w:t>
            </w:r>
          </w:p>
        </w:tc>
        <w:tc>
          <w:tcPr>
            <w:tcW w:w="2149" w:type="dxa"/>
            <w:shd w:val="clear" w:color="auto" w:fill="BD2716"/>
            <w:vAlign w:val="center"/>
          </w:tcPr>
          <w:p w14:paraId="7701FDD3" w14:textId="77777777" w:rsidR="003D2C98" w:rsidRPr="00D948C1" w:rsidRDefault="003D2C98" w:rsidP="006C0086">
            <w:pPr>
              <w:spacing w:line="276" w:lineRule="auto"/>
              <w:jc w:val="right"/>
              <w:rPr>
                <w:rFonts w:cs="Arial"/>
                <w:color w:val="FFFFFF" w:themeColor="background1"/>
                <w:szCs w:val="24"/>
              </w:rPr>
            </w:pPr>
            <w:r w:rsidRPr="00D948C1">
              <w:rPr>
                <w:rFonts w:cs="Arial"/>
                <w:color w:val="FFFFFF" w:themeColor="background1"/>
                <w:szCs w:val="24"/>
              </w:rPr>
              <w:t>Year ended</w:t>
            </w:r>
          </w:p>
          <w:p w14:paraId="535F13CE" w14:textId="195530BB" w:rsidR="00021F7E" w:rsidRPr="00D948C1" w:rsidRDefault="003D2C98" w:rsidP="006C0086">
            <w:pPr>
              <w:spacing w:line="276" w:lineRule="auto"/>
              <w:jc w:val="right"/>
              <w:rPr>
                <w:rFonts w:cs="Arial"/>
                <w:color w:val="FFFFFF" w:themeColor="background1"/>
                <w:szCs w:val="24"/>
              </w:rPr>
            </w:pPr>
            <w:r w:rsidRPr="00D948C1">
              <w:rPr>
                <w:rFonts w:cs="Arial"/>
                <w:color w:val="FFFFFF" w:themeColor="background1"/>
                <w:szCs w:val="24"/>
              </w:rPr>
              <w:t>31 March 202</w:t>
            </w:r>
            <w:r w:rsidR="002823FC" w:rsidRPr="00D948C1">
              <w:rPr>
                <w:rFonts w:cs="Arial"/>
                <w:color w:val="FFFFFF" w:themeColor="background1"/>
                <w:szCs w:val="24"/>
              </w:rPr>
              <w:t>4</w:t>
            </w:r>
          </w:p>
          <w:p w14:paraId="4469574E" w14:textId="1DB567E2" w:rsidR="003D2C98" w:rsidRPr="00D948C1" w:rsidRDefault="00F2325E"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2410" w:type="dxa"/>
            <w:shd w:val="clear" w:color="auto" w:fill="BD2716"/>
            <w:vAlign w:val="center"/>
          </w:tcPr>
          <w:p w14:paraId="404AD81C" w14:textId="77777777" w:rsidR="003D2C98" w:rsidRPr="00D948C1" w:rsidRDefault="003D2C98" w:rsidP="006C0086">
            <w:pPr>
              <w:spacing w:line="276" w:lineRule="auto"/>
              <w:jc w:val="right"/>
              <w:rPr>
                <w:rFonts w:cs="Arial"/>
                <w:color w:val="FFFFFF" w:themeColor="background1"/>
                <w:szCs w:val="24"/>
              </w:rPr>
            </w:pPr>
            <w:r w:rsidRPr="00D948C1">
              <w:rPr>
                <w:rFonts w:cs="Arial"/>
                <w:color w:val="FFFFFF" w:themeColor="background1"/>
                <w:szCs w:val="24"/>
              </w:rPr>
              <w:t>Year ended</w:t>
            </w:r>
          </w:p>
          <w:p w14:paraId="125171A8" w14:textId="336137E4" w:rsidR="003D2C98" w:rsidRPr="00D948C1" w:rsidRDefault="003D2C98" w:rsidP="006C0086">
            <w:pPr>
              <w:spacing w:line="276" w:lineRule="auto"/>
              <w:jc w:val="right"/>
              <w:rPr>
                <w:rFonts w:cs="Arial"/>
                <w:color w:val="FFFFFF" w:themeColor="background1"/>
                <w:szCs w:val="24"/>
              </w:rPr>
            </w:pPr>
            <w:r w:rsidRPr="00D948C1">
              <w:rPr>
                <w:rFonts w:cs="Arial"/>
                <w:color w:val="FFFFFF" w:themeColor="background1"/>
                <w:szCs w:val="24"/>
              </w:rPr>
              <w:t>31 March 202</w:t>
            </w:r>
            <w:r w:rsidR="002823FC" w:rsidRPr="00D948C1">
              <w:rPr>
                <w:rFonts w:cs="Arial"/>
                <w:color w:val="FFFFFF" w:themeColor="background1"/>
                <w:szCs w:val="24"/>
              </w:rPr>
              <w:t>3</w:t>
            </w:r>
          </w:p>
          <w:p w14:paraId="77446622" w14:textId="3293FAD3" w:rsidR="003D2C98" w:rsidRPr="00D948C1" w:rsidRDefault="00F2325E"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2823FC" w:rsidRPr="00D948C1" w14:paraId="1D566167" w14:textId="77777777" w:rsidTr="00746F3D">
        <w:tc>
          <w:tcPr>
            <w:tcW w:w="3827" w:type="dxa"/>
            <w:shd w:val="clear" w:color="auto" w:fill="auto"/>
          </w:tcPr>
          <w:p w14:paraId="6478F7C9" w14:textId="77777777" w:rsidR="002823FC" w:rsidRPr="00D948C1" w:rsidRDefault="002823FC" w:rsidP="006C0086">
            <w:pPr>
              <w:spacing w:line="276" w:lineRule="auto"/>
              <w:rPr>
                <w:rFonts w:cs="Arial"/>
                <w:szCs w:val="24"/>
              </w:rPr>
            </w:pPr>
            <w:r w:rsidRPr="00D948C1">
              <w:rPr>
                <w:rFonts w:cs="Arial"/>
                <w:szCs w:val="24"/>
              </w:rPr>
              <w:t>Total assets less Current Liabilities</w:t>
            </w:r>
          </w:p>
        </w:tc>
        <w:tc>
          <w:tcPr>
            <w:tcW w:w="2149" w:type="dxa"/>
            <w:shd w:val="clear" w:color="auto" w:fill="auto"/>
            <w:vAlign w:val="center"/>
          </w:tcPr>
          <w:p w14:paraId="0FC6CBFD" w14:textId="37CB8951" w:rsidR="002823FC" w:rsidRPr="00D948C1" w:rsidRDefault="002823FC" w:rsidP="006C0086">
            <w:pPr>
              <w:spacing w:line="276" w:lineRule="auto"/>
              <w:jc w:val="right"/>
              <w:rPr>
                <w:rFonts w:cs="Arial"/>
                <w:szCs w:val="24"/>
              </w:rPr>
            </w:pPr>
            <w:r w:rsidRPr="00D948C1">
              <w:rPr>
                <w:rFonts w:cs="Arial"/>
                <w:szCs w:val="24"/>
              </w:rPr>
              <w:t>35</w:t>
            </w:r>
            <w:r w:rsidR="005A5FC0" w:rsidRPr="00D948C1">
              <w:rPr>
                <w:rFonts w:cs="Arial"/>
                <w:szCs w:val="24"/>
              </w:rPr>
              <w:t>6</w:t>
            </w:r>
          </w:p>
        </w:tc>
        <w:tc>
          <w:tcPr>
            <w:tcW w:w="2410" w:type="dxa"/>
            <w:vAlign w:val="center"/>
          </w:tcPr>
          <w:p w14:paraId="5A3EF5AF" w14:textId="1EC915F7" w:rsidR="002823FC" w:rsidRPr="00D948C1" w:rsidRDefault="002823FC" w:rsidP="006C0086">
            <w:pPr>
              <w:spacing w:line="276" w:lineRule="auto"/>
              <w:jc w:val="right"/>
              <w:rPr>
                <w:rFonts w:cs="Arial"/>
                <w:szCs w:val="24"/>
              </w:rPr>
            </w:pPr>
            <w:r w:rsidRPr="00D948C1">
              <w:rPr>
                <w:rFonts w:cs="Arial"/>
                <w:szCs w:val="24"/>
              </w:rPr>
              <w:t>351</w:t>
            </w:r>
          </w:p>
        </w:tc>
      </w:tr>
      <w:tr w:rsidR="002823FC" w:rsidRPr="00D948C1" w14:paraId="39C30A77" w14:textId="77777777" w:rsidTr="003572E5">
        <w:trPr>
          <w:trHeight w:val="278"/>
        </w:trPr>
        <w:tc>
          <w:tcPr>
            <w:tcW w:w="3827" w:type="dxa"/>
            <w:shd w:val="clear" w:color="auto" w:fill="auto"/>
          </w:tcPr>
          <w:p w14:paraId="15E38031" w14:textId="526BE87B" w:rsidR="002823FC" w:rsidRPr="00D948C1" w:rsidRDefault="002823FC" w:rsidP="006C0086">
            <w:pPr>
              <w:spacing w:line="276" w:lineRule="auto"/>
              <w:rPr>
                <w:rFonts w:cs="Arial"/>
                <w:szCs w:val="24"/>
              </w:rPr>
            </w:pPr>
            <w:r w:rsidRPr="00D948C1">
              <w:rPr>
                <w:rFonts w:cs="Arial"/>
                <w:szCs w:val="24"/>
              </w:rPr>
              <w:t>Net assets*</w:t>
            </w:r>
          </w:p>
        </w:tc>
        <w:tc>
          <w:tcPr>
            <w:tcW w:w="2149" w:type="dxa"/>
            <w:shd w:val="clear" w:color="auto" w:fill="auto"/>
            <w:vAlign w:val="center"/>
          </w:tcPr>
          <w:p w14:paraId="53B98E1F" w14:textId="6285743B" w:rsidR="002823FC" w:rsidRPr="00D948C1" w:rsidRDefault="005A5FC0" w:rsidP="006C0086">
            <w:pPr>
              <w:spacing w:line="276" w:lineRule="auto"/>
              <w:jc w:val="right"/>
              <w:rPr>
                <w:rFonts w:cs="Arial"/>
                <w:szCs w:val="24"/>
              </w:rPr>
            </w:pPr>
            <w:r w:rsidRPr="00D948C1">
              <w:rPr>
                <w:rFonts w:cs="Arial"/>
                <w:szCs w:val="24"/>
              </w:rPr>
              <w:t>356</w:t>
            </w:r>
          </w:p>
        </w:tc>
        <w:tc>
          <w:tcPr>
            <w:tcW w:w="2410" w:type="dxa"/>
            <w:vAlign w:val="center"/>
          </w:tcPr>
          <w:p w14:paraId="699D7394" w14:textId="29E72CF6" w:rsidR="002823FC" w:rsidRPr="00D948C1" w:rsidRDefault="002823FC" w:rsidP="006C0086">
            <w:pPr>
              <w:spacing w:line="276" w:lineRule="auto"/>
              <w:jc w:val="right"/>
              <w:rPr>
                <w:rFonts w:cs="Arial"/>
                <w:szCs w:val="24"/>
              </w:rPr>
            </w:pPr>
            <w:r w:rsidRPr="00D948C1">
              <w:rPr>
                <w:rFonts w:cs="Arial"/>
                <w:szCs w:val="24"/>
              </w:rPr>
              <w:t>638</w:t>
            </w:r>
          </w:p>
        </w:tc>
      </w:tr>
      <w:tr w:rsidR="002823FC" w:rsidRPr="00D948C1" w14:paraId="4F12D80C" w14:textId="77777777" w:rsidTr="003572E5">
        <w:trPr>
          <w:trHeight w:val="278"/>
        </w:trPr>
        <w:tc>
          <w:tcPr>
            <w:tcW w:w="3827" w:type="dxa"/>
            <w:shd w:val="clear" w:color="auto" w:fill="auto"/>
          </w:tcPr>
          <w:p w14:paraId="0A7553B2" w14:textId="1F8BDE08" w:rsidR="002823FC" w:rsidRPr="00D948C1" w:rsidRDefault="005A5FC0" w:rsidP="006C0086">
            <w:pPr>
              <w:spacing w:line="276" w:lineRule="auto"/>
              <w:rPr>
                <w:rFonts w:cs="Arial"/>
                <w:szCs w:val="24"/>
              </w:rPr>
            </w:pPr>
            <w:r w:rsidRPr="00D948C1">
              <w:rPr>
                <w:rFonts w:cs="Arial"/>
                <w:szCs w:val="24"/>
              </w:rPr>
              <w:t>Surplus/</w:t>
            </w:r>
            <w:r w:rsidR="002823FC" w:rsidRPr="00D948C1">
              <w:rPr>
                <w:rFonts w:cs="Arial"/>
                <w:szCs w:val="24"/>
              </w:rPr>
              <w:t>(</w:t>
            </w:r>
            <w:r w:rsidRPr="00D948C1">
              <w:rPr>
                <w:rFonts w:cs="Arial"/>
                <w:szCs w:val="24"/>
              </w:rPr>
              <w:t>deficit</w:t>
            </w:r>
            <w:r w:rsidR="002823FC" w:rsidRPr="00D948C1">
              <w:rPr>
                <w:rFonts w:cs="Arial"/>
                <w:szCs w:val="24"/>
              </w:rPr>
              <w:t>) Before Taxation</w:t>
            </w:r>
          </w:p>
        </w:tc>
        <w:tc>
          <w:tcPr>
            <w:tcW w:w="2149" w:type="dxa"/>
            <w:shd w:val="clear" w:color="auto" w:fill="auto"/>
            <w:vAlign w:val="center"/>
          </w:tcPr>
          <w:p w14:paraId="52188CAF" w14:textId="0623AB3F" w:rsidR="002823FC" w:rsidRPr="00D948C1" w:rsidRDefault="005A5FC0" w:rsidP="006C0086">
            <w:pPr>
              <w:spacing w:line="276" w:lineRule="auto"/>
              <w:jc w:val="right"/>
              <w:rPr>
                <w:rFonts w:cs="Arial"/>
                <w:szCs w:val="24"/>
              </w:rPr>
            </w:pPr>
            <w:r w:rsidRPr="00D948C1">
              <w:rPr>
                <w:rFonts w:cs="Arial"/>
                <w:szCs w:val="24"/>
              </w:rPr>
              <w:t>85</w:t>
            </w:r>
          </w:p>
        </w:tc>
        <w:tc>
          <w:tcPr>
            <w:tcW w:w="2410" w:type="dxa"/>
            <w:vAlign w:val="center"/>
          </w:tcPr>
          <w:p w14:paraId="24CF1B0E" w14:textId="3FC53289" w:rsidR="002823FC" w:rsidRPr="00D948C1" w:rsidRDefault="002823FC" w:rsidP="006C0086">
            <w:pPr>
              <w:spacing w:line="276" w:lineRule="auto"/>
              <w:jc w:val="right"/>
              <w:rPr>
                <w:rFonts w:cs="Arial"/>
                <w:szCs w:val="24"/>
              </w:rPr>
            </w:pPr>
            <w:r w:rsidRPr="00D948C1">
              <w:rPr>
                <w:rFonts w:cs="Arial"/>
                <w:szCs w:val="24"/>
              </w:rPr>
              <w:t>(627)</w:t>
            </w:r>
          </w:p>
        </w:tc>
      </w:tr>
      <w:tr w:rsidR="002823FC" w:rsidRPr="00D948C1" w14:paraId="17B90632" w14:textId="77777777" w:rsidTr="003572E5">
        <w:trPr>
          <w:trHeight w:val="278"/>
        </w:trPr>
        <w:tc>
          <w:tcPr>
            <w:tcW w:w="3827" w:type="dxa"/>
            <w:shd w:val="clear" w:color="auto" w:fill="auto"/>
          </w:tcPr>
          <w:p w14:paraId="20F72E4F" w14:textId="7987E9A6" w:rsidR="002823FC" w:rsidRPr="00D948C1" w:rsidRDefault="005A5FC0" w:rsidP="006C0086">
            <w:pPr>
              <w:spacing w:line="276" w:lineRule="auto"/>
              <w:rPr>
                <w:rFonts w:cs="Arial"/>
                <w:szCs w:val="24"/>
              </w:rPr>
            </w:pPr>
            <w:r w:rsidRPr="00D948C1">
              <w:rPr>
                <w:rFonts w:cs="Arial"/>
                <w:szCs w:val="24"/>
              </w:rPr>
              <w:t>Surplus/(deficit)</w:t>
            </w:r>
            <w:r w:rsidR="002823FC" w:rsidRPr="00D948C1">
              <w:rPr>
                <w:rFonts w:cs="Arial"/>
                <w:szCs w:val="24"/>
              </w:rPr>
              <w:t xml:space="preserve"> After Taxation</w:t>
            </w:r>
          </w:p>
        </w:tc>
        <w:tc>
          <w:tcPr>
            <w:tcW w:w="2149" w:type="dxa"/>
            <w:shd w:val="clear" w:color="auto" w:fill="auto"/>
            <w:vAlign w:val="center"/>
          </w:tcPr>
          <w:p w14:paraId="45B86065" w14:textId="5F8C4FC0" w:rsidR="002823FC" w:rsidRPr="00D948C1" w:rsidRDefault="005A5FC0" w:rsidP="006C0086">
            <w:pPr>
              <w:spacing w:line="276" w:lineRule="auto"/>
              <w:jc w:val="right"/>
              <w:rPr>
                <w:rFonts w:cs="Arial"/>
                <w:szCs w:val="24"/>
              </w:rPr>
            </w:pPr>
            <w:r w:rsidRPr="00D948C1">
              <w:rPr>
                <w:rFonts w:cs="Arial"/>
                <w:szCs w:val="24"/>
              </w:rPr>
              <w:t>84</w:t>
            </w:r>
          </w:p>
        </w:tc>
        <w:tc>
          <w:tcPr>
            <w:tcW w:w="2410" w:type="dxa"/>
            <w:vAlign w:val="center"/>
          </w:tcPr>
          <w:p w14:paraId="1818A9AA" w14:textId="5ECAC3F7" w:rsidR="002823FC" w:rsidRPr="00D948C1" w:rsidRDefault="002823FC" w:rsidP="006C0086">
            <w:pPr>
              <w:spacing w:line="276" w:lineRule="auto"/>
              <w:jc w:val="right"/>
              <w:rPr>
                <w:rFonts w:cs="Arial"/>
                <w:szCs w:val="24"/>
              </w:rPr>
            </w:pPr>
            <w:r w:rsidRPr="00D948C1">
              <w:rPr>
                <w:rFonts w:cs="Arial"/>
                <w:szCs w:val="24"/>
              </w:rPr>
              <w:t>(634)</w:t>
            </w:r>
          </w:p>
        </w:tc>
      </w:tr>
      <w:tr w:rsidR="002823FC" w:rsidRPr="00D948C1" w14:paraId="1F319F0F" w14:textId="77777777" w:rsidTr="003572E5">
        <w:trPr>
          <w:trHeight w:val="278"/>
        </w:trPr>
        <w:tc>
          <w:tcPr>
            <w:tcW w:w="3827" w:type="dxa"/>
            <w:shd w:val="clear" w:color="auto" w:fill="auto"/>
          </w:tcPr>
          <w:p w14:paraId="302F5BAB" w14:textId="36C8B601" w:rsidR="002823FC" w:rsidRPr="00D948C1" w:rsidRDefault="002823FC" w:rsidP="006C0086">
            <w:pPr>
              <w:spacing w:line="276" w:lineRule="auto"/>
              <w:rPr>
                <w:rFonts w:cs="Arial"/>
                <w:szCs w:val="24"/>
              </w:rPr>
            </w:pPr>
            <w:r w:rsidRPr="00D948C1">
              <w:rPr>
                <w:rFonts w:cs="Arial"/>
                <w:szCs w:val="24"/>
              </w:rPr>
              <w:t xml:space="preserve">Debtor Balance </w:t>
            </w:r>
            <w:r w:rsidR="001B32C9">
              <w:rPr>
                <w:szCs w:val="24"/>
                <w:lang w:eastAsia="en-GB"/>
              </w:rPr>
              <w:t>Lancashire Fire and Rescue Service</w:t>
            </w:r>
          </w:p>
        </w:tc>
        <w:tc>
          <w:tcPr>
            <w:tcW w:w="2149" w:type="dxa"/>
            <w:shd w:val="clear" w:color="auto" w:fill="auto"/>
            <w:vAlign w:val="center"/>
          </w:tcPr>
          <w:p w14:paraId="23DC8F1B" w14:textId="2183E8DA" w:rsidR="002823FC" w:rsidRPr="00D948C1" w:rsidRDefault="005A5FC0" w:rsidP="006C0086">
            <w:pPr>
              <w:spacing w:line="276" w:lineRule="auto"/>
              <w:jc w:val="right"/>
              <w:rPr>
                <w:rFonts w:cs="Arial"/>
                <w:szCs w:val="24"/>
              </w:rPr>
            </w:pPr>
            <w:r w:rsidRPr="00D948C1">
              <w:rPr>
                <w:rFonts w:cs="Arial"/>
                <w:szCs w:val="24"/>
              </w:rPr>
              <w:t>-</w:t>
            </w:r>
          </w:p>
        </w:tc>
        <w:tc>
          <w:tcPr>
            <w:tcW w:w="2410" w:type="dxa"/>
            <w:vAlign w:val="center"/>
          </w:tcPr>
          <w:p w14:paraId="59C6B957" w14:textId="01D8B874" w:rsidR="002823FC" w:rsidRPr="00D948C1" w:rsidRDefault="002823FC" w:rsidP="006C0086">
            <w:pPr>
              <w:spacing w:line="276" w:lineRule="auto"/>
              <w:jc w:val="right"/>
              <w:rPr>
                <w:rFonts w:cs="Arial"/>
                <w:szCs w:val="24"/>
              </w:rPr>
            </w:pPr>
            <w:r w:rsidRPr="00D948C1">
              <w:rPr>
                <w:rFonts w:cs="Arial"/>
                <w:szCs w:val="24"/>
              </w:rPr>
              <w:t>10</w:t>
            </w:r>
          </w:p>
        </w:tc>
      </w:tr>
      <w:tr w:rsidR="002823FC" w:rsidRPr="00D948C1" w14:paraId="7817D4EE" w14:textId="77777777" w:rsidTr="003572E5">
        <w:trPr>
          <w:trHeight w:val="278"/>
        </w:trPr>
        <w:tc>
          <w:tcPr>
            <w:tcW w:w="3827" w:type="dxa"/>
            <w:shd w:val="clear" w:color="auto" w:fill="auto"/>
          </w:tcPr>
          <w:p w14:paraId="4DAFC908" w14:textId="411352E6" w:rsidR="002823FC" w:rsidRPr="00D948C1" w:rsidRDefault="002823FC" w:rsidP="006C0086">
            <w:pPr>
              <w:spacing w:line="276" w:lineRule="auto"/>
              <w:rPr>
                <w:rFonts w:cs="Arial"/>
                <w:szCs w:val="24"/>
              </w:rPr>
            </w:pPr>
            <w:r w:rsidRPr="00D948C1">
              <w:rPr>
                <w:rFonts w:cs="Arial"/>
                <w:szCs w:val="24"/>
              </w:rPr>
              <w:t xml:space="preserve">Creditor Balance </w:t>
            </w:r>
            <w:r w:rsidR="001B32C9">
              <w:rPr>
                <w:szCs w:val="24"/>
                <w:lang w:eastAsia="en-GB"/>
              </w:rPr>
              <w:t>Lancashire Fire and Rescue Service</w:t>
            </w:r>
          </w:p>
        </w:tc>
        <w:tc>
          <w:tcPr>
            <w:tcW w:w="2149" w:type="dxa"/>
            <w:shd w:val="clear" w:color="auto" w:fill="auto"/>
            <w:vAlign w:val="center"/>
          </w:tcPr>
          <w:p w14:paraId="6BC015CA" w14:textId="3237BF54" w:rsidR="002823FC" w:rsidRPr="00D948C1" w:rsidRDefault="002823FC" w:rsidP="006C0086">
            <w:pPr>
              <w:spacing w:line="276" w:lineRule="auto"/>
              <w:jc w:val="right"/>
              <w:rPr>
                <w:rFonts w:cs="Arial"/>
                <w:szCs w:val="24"/>
              </w:rPr>
            </w:pPr>
            <w:r w:rsidRPr="00D948C1">
              <w:rPr>
                <w:rFonts w:cs="Arial"/>
                <w:szCs w:val="24"/>
              </w:rPr>
              <w:t>-</w:t>
            </w:r>
          </w:p>
        </w:tc>
        <w:tc>
          <w:tcPr>
            <w:tcW w:w="2410" w:type="dxa"/>
            <w:vAlign w:val="center"/>
          </w:tcPr>
          <w:p w14:paraId="052446FB" w14:textId="265621E7" w:rsidR="002823FC" w:rsidRPr="00D948C1" w:rsidRDefault="002823FC" w:rsidP="006C0086">
            <w:pPr>
              <w:spacing w:line="276" w:lineRule="auto"/>
              <w:jc w:val="right"/>
              <w:rPr>
                <w:rFonts w:cs="Arial"/>
                <w:szCs w:val="24"/>
              </w:rPr>
            </w:pPr>
            <w:r w:rsidRPr="00D948C1">
              <w:rPr>
                <w:rFonts w:cs="Arial"/>
                <w:szCs w:val="24"/>
              </w:rPr>
              <w:t>-</w:t>
            </w:r>
          </w:p>
        </w:tc>
      </w:tr>
      <w:tr w:rsidR="002823FC" w:rsidRPr="00D948C1" w14:paraId="7F285004" w14:textId="77777777" w:rsidTr="00746F3D">
        <w:tc>
          <w:tcPr>
            <w:tcW w:w="3827" w:type="dxa"/>
            <w:shd w:val="clear" w:color="auto" w:fill="auto"/>
          </w:tcPr>
          <w:p w14:paraId="4550B748" w14:textId="7DC4DEAA" w:rsidR="002823FC" w:rsidRPr="00D948C1" w:rsidRDefault="002823FC" w:rsidP="006C0086">
            <w:pPr>
              <w:spacing w:line="276" w:lineRule="auto"/>
              <w:rPr>
                <w:rFonts w:cs="Arial"/>
                <w:szCs w:val="24"/>
              </w:rPr>
            </w:pPr>
            <w:r w:rsidRPr="00D948C1">
              <w:rPr>
                <w:rFonts w:cs="Arial"/>
                <w:szCs w:val="24"/>
              </w:rPr>
              <w:t xml:space="preserve">Invoices raised by NW </w:t>
            </w:r>
            <w:proofErr w:type="spellStart"/>
            <w:r w:rsidRPr="00D948C1">
              <w:rPr>
                <w:rFonts w:cs="Arial"/>
                <w:szCs w:val="24"/>
              </w:rPr>
              <w:t>FireControl</w:t>
            </w:r>
            <w:proofErr w:type="spellEnd"/>
            <w:r w:rsidRPr="00D948C1">
              <w:rPr>
                <w:rFonts w:cs="Arial"/>
                <w:szCs w:val="24"/>
              </w:rPr>
              <w:t xml:space="preserve"> to </w:t>
            </w:r>
            <w:r w:rsidR="001B32C9">
              <w:rPr>
                <w:szCs w:val="24"/>
                <w:lang w:eastAsia="en-GB"/>
              </w:rPr>
              <w:t>Lancashire Fire and Rescue Service</w:t>
            </w:r>
          </w:p>
        </w:tc>
        <w:tc>
          <w:tcPr>
            <w:tcW w:w="2149" w:type="dxa"/>
            <w:shd w:val="clear" w:color="auto" w:fill="auto"/>
            <w:vAlign w:val="center"/>
          </w:tcPr>
          <w:p w14:paraId="449412B5" w14:textId="522B8582" w:rsidR="002823FC" w:rsidRPr="00D948C1" w:rsidRDefault="005A5FC0" w:rsidP="006C0086">
            <w:pPr>
              <w:spacing w:line="276" w:lineRule="auto"/>
              <w:jc w:val="right"/>
              <w:rPr>
                <w:rFonts w:cs="Arial"/>
                <w:szCs w:val="24"/>
              </w:rPr>
            </w:pPr>
            <w:r w:rsidRPr="00D948C1">
              <w:rPr>
                <w:rFonts w:cs="Arial"/>
                <w:szCs w:val="24"/>
              </w:rPr>
              <w:t>1,649</w:t>
            </w:r>
          </w:p>
        </w:tc>
        <w:tc>
          <w:tcPr>
            <w:tcW w:w="2410" w:type="dxa"/>
            <w:vAlign w:val="center"/>
          </w:tcPr>
          <w:p w14:paraId="7CD2A974" w14:textId="54A4D871" w:rsidR="002823FC" w:rsidRPr="00D948C1" w:rsidRDefault="002823FC" w:rsidP="006C0086">
            <w:pPr>
              <w:spacing w:line="276" w:lineRule="auto"/>
              <w:jc w:val="right"/>
              <w:rPr>
                <w:rFonts w:cs="Arial"/>
                <w:szCs w:val="24"/>
              </w:rPr>
            </w:pPr>
            <w:r w:rsidRPr="00D948C1">
              <w:rPr>
                <w:rFonts w:cs="Arial"/>
                <w:szCs w:val="24"/>
              </w:rPr>
              <w:t>1,424</w:t>
            </w:r>
          </w:p>
        </w:tc>
      </w:tr>
      <w:tr w:rsidR="002823FC" w:rsidRPr="00D948C1" w14:paraId="1E3BDFEA" w14:textId="77777777" w:rsidTr="00746F3D">
        <w:tc>
          <w:tcPr>
            <w:tcW w:w="3827" w:type="dxa"/>
            <w:shd w:val="clear" w:color="auto" w:fill="auto"/>
          </w:tcPr>
          <w:p w14:paraId="4892AD67" w14:textId="04F7B9AA" w:rsidR="002823FC" w:rsidRPr="00D948C1" w:rsidRDefault="002823FC" w:rsidP="006C0086">
            <w:pPr>
              <w:spacing w:line="276" w:lineRule="auto"/>
              <w:rPr>
                <w:rFonts w:cs="Arial"/>
                <w:szCs w:val="24"/>
              </w:rPr>
            </w:pPr>
            <w:r w:rsidRPr="00D948C1">
              <w:rPr>
                <w:rFonts w:cs="Arial"/>
                <w:szCs w:val="24"/>
              </w:rPr>
              <w:lastRenderedPageBreak/>
              <w:t xml:space="preserve">Invoices raised by </w:t>
            </w:r>
            <w:r w:rsidR="001B32C9">
              <w:rPr>
                <w:szCs w:val="24"/>
                <w:lang w:eastAsia="en-GB"/>
              </w:rPr>
              <w:t>Lancashire Fire and Rescue Service</w:t>
            </w:r>
            <w:r w:rsidRPr="00D948C1">
              <w:rPr>
                <w:rFonts w:cs="Arial"/>
                <w:szCs w:val="24"/>
              </w:rPr>
              <w:t xml:space="preserve"> to NW </w:t>
            </w:r>
            <w:proofErr w:type="spellStart"/>
            <w:r w:rsidRPr="00D948C1">
              <w:rPr>
                <w:rFonts w:cs="Arial"/>
                <w:szCs w:val="24"/>
              </w:rPr>
              <w:t>FireControl</w:t>
            </w:r>
            <w:proofErr w:type="spellEnd"/>
          </w:p>
        </w:tc>
        <w:tc>
          <w:tcPr>
            <w:tcW w:w="2149" w:type="dxa"/>
            <w:shd w:val="clear" w:color="auto" w:fill="auto"/>
            <w:vAlign w:val="center"/>
          </w:tcPr>
          <w:p w14:paraId="3E131D50" w14:textId="77777777" w:rsidR="002823FC" w:rsidRPr="00D948C1" w:rsidRDefault="002823FC" w:rsidP="006C0086">
            <w:pPr>
              <w:spacing w:line="276" w:lineRule="auto"/>
              <w:jc w:val="right"/>
              <w:rPr>
                <w:rFonts w:cs="Arial"/>
                <w:szCs w:val="24"/>
              </w:rPr>
            </w:pPr>
            <w:r w:rsidRPr="00D948C1">
              <w:rPr>
                <w:rFonts w:cs="Arial"/>
                <w:szCs w:val="24"/>
              </w:rPr>
              <w:t>-</w:t>
            </w:r>
          </w:p>
        </w:tc>
        <w:tc>
          <w:tcPr>
            <w:tcW w:w="2410" w:type="dxa"/>
            <w:vAlign w:val="center"/>
          </w:tcPr>
          <w:p w14:paraId="18315D67" w14:textId="349899D7" w:rsidR="002823FC" w:rsidRPr="00D948C1" w:rsidRDefault="002823FC" w:rsidP="006C0086">
            <w:pPr>
              <w:spacing w:line="276" w:lineRule="auto"/>
              <w:jc w:val="right"/>
              <w:rPr>
                <w:rFonts w:cs="Arial"/>
                <w:szCs w:val="24"/>
              </w:rPr>
            </w:pPr>
            <w:r w:rsidRPr="00D948C1">
              <w:rPr>
                <w:rFonts w:cs="Arial"/>
                <w:szCs w:val="24"/>
              </w:rPr>
              <w:t>-</w:t>
            </w:r>
          </w:p>
        </w:tc>
      </w:tr>
    </w:tbl>
    <w:p w14:paraId="7A09C994" w14:textId="77777777" w:rsidR="009B6312" w:rsidRPr="00D948C1" w:rsidRDefault="009B6312" w:rsidP="006C0086">
      <w:pPr>
        <w:spacing w:line="276" w:lineRule="auto"/>
        <w:ind w:left="709"/>
        <w:jc w:val="both"/>
        <w:rPr>
          <w:rFonts w:cs="Arial"/>
          <w:sz w:val="22"/>
          <w:szCs w:val="22"/>
        </w:rPr>
      </w:pPr>
    </w:p>
    <w:p w14:paraId="64872E18" w14:textId="39701D79" w:rsidR="009B6312" w:rsidRPr="00D948C1" w:rsidRDefault="009B6312" w:rsidP="006C0086">
      <w:pPr>
        <w:pStyle w:val="NoSpacing"/>
        <w:spacing w:line="276" w:lineRule="auto"/>
        <w:ind w:left="709"/>
        <w:rPr>
          <w:szCs w:val="24"/>
          <w:lang w:eastAsia="en-GB"/>
        </w:rPr>
      </w:pPr>
      <w:r w:rsidRPr="00D948C1">
        <w:rPr>
          <w:szCs w:val="24"/>
          <w:lang w:eastAsia="en-GB"/>
        </w:rPr>
        <w:t xml:space="preserve">*Net </w:t>
      </w:r>
      <w:r w:rsidR="003C5E02" w:rsidRPr="00D948C1">
        <w:rPr>
          <w:szCs w:val="24"/>
          <w:lang w:eastAsia="en-GB"/>
        </w:rPr>
        <w:t>assets</w:t>
      </w:r>
      <w:r w:rsidRPr="00D948C1">
        <w:rPr>
          <w:szCs w:val="24"/>
          <w:lang w:eastAsia="en-GB"/>
        </w:rPr>
        <w:t xml:space="preserve"> </w:t>
      </w:r>
      <w:proofErr w:type="gramStart"/>
      <w:r w:rsidRPr="00D948C1">
        <w:rPr>
          <w:szCs w:val="24"/>
          <w:lang w:eastAsia="en-GB"/>
        </w:rPr>
        <w:t>includes</w:t>
      </w:r>
      <w:proofErr w:type="gramEnd"/>
      <w:r w:rsidRPr="00D948C1">
        <w:rPr>
          <w:szCs w:val="24"/>
          <w:lang w:eastAsia="en-GB"/>
        </w:rPr>
        <w:t xml:space="preserve"> the future pension liabilities under </w:t>
      </w:r>
      <w:r w:rsidR="00AD0F73" w:rsidRPr="00D948C1">
        <w:rPr>
          <w:szCs w:val="24"/>
          <w:lang w:eastAsia="en-GB"/>
        </w:rPr>
        <w:t>IAS19</w:t>
      </w:r>
      <w:r w:rsidRPr="00D948C1">
        <w:rPr>
          <w:szCs w:val="24"/>
          <w:lang w:eastAsia="en-GB"/>
        </w:rPr>
        <w:t xml:space="preserve"> reported by the Cheshire Pension Fund actuaries.</w:t>
      </w:r>
    </w:p>
    <w:p w14:paraId="31004E53" w14:textId="77777777" w:rsidR="009B6312" w:rsidRPr="00D948C1" w:rsidRDefault="009B6312" w:rsidP="006C0086">
      <w:pPr>
        <w:pStyle w:val="NoSpacing"/>
        <w:spacing w:line="276" w:lineRule="auto"/>
        <w:ind w:left="709"/>
        <w:rPr>
          <w:szCs w:val="24"/>
          <w:lang w:eastAsia="en-GB"/>
        </w:rPr>
      </w:pPr>
      <w:r w:rsidRPr="00D948C1">
        <w:rPr>
          <w:szCs w:val="24"/>
          <w:lang w:eastAsia="en-GB"/>
        </w:rPr>
        <w:t>All figures are shown net of VAT.</w:t>
      </w:r>
    </w:p>
    <w:p w14:paraId="73C98670" w14:textId="4A290D21" w:rsidR="009B6312" w:rsidRPr="00D948C1" w:rsidRDefault="009B6312" w:rsidP="006C0086">
      <w:pPr>
        <w:pStyle w:val="NoSpacing"/>
        <w:spacing w:line="276" w:lineRule="auto"/>
        <w:ind w:left="709"/>
        <w:rPr>
          <w:szCs w:val="24"/>
          <w:lang w:eastAsia="en-GB"/>
        </w:rPr>
      </w:pPr>
      <w:r w:rsidRPr="00D948C1">
        <w:rPr>
          <w:szCs w:val="24"/>
          <w:lang w:eastAsia="en-GB"/>
        </w:rPr>
        <w:t xml:space="preserve">Transactions between </w:t>
      </w:r>
      <w:r w:rsidR="001B32C9">
        <w:rPr>
          <w:szCs w:val="24"/>
          <w:lang w:eastAsia="en-GB"/>
        </w:rPr>
        <w:t xml:space="preserve">Lancashire Fire and Rescue Service </w:t>
      </w:r>
      <w:r w:rsidR="0037293D" w:rsidRPr="00D948C1">
        <w:rPr>
          <w:szCs w:val="24"/>
          <w:lang w:eastAsia="en-GB"/>
        </w:rPr>
        <w:t xml:space="preserve">and NW </w:t>
      </w:r>
      <w:proofErr w:type="spellStart"/>
      <w:r w:rsidR="0037293D" w:rsidRPr="00D948C1">
        <w:rPr>
          <w:szCs w:val="24"/>
          <w:lang w:eastAsia="en-GB"/>
        </w:rPr>
        <w:t>Fire</w:t>
      </w:r>
      <w:r w:rsidRPr="00D948C1">
        <w:rPr>
          <w:szCs w:val="24"/>
          <w:lang w:eastAsia="en-GB"/>
        </w:rPr>
        <w:t>Control</w:t>
      </w:r>
      <w:proofErr w:type="spellEnd"/>
      <w:r w:rsidRPr="00D948C1">
        <w:rPr>
          <w:szCs w:val="24"/>
          <w:lang w:eastAsia="en-GB"/>
        </w:rPr>
        <w:t xml:space="preserve"> </w:t>
      </w:r>
      <w:r w:rsidR="002B520D" w:rsidRPr="00D948C1">
        <w:rPr>
          <w:rFonts w:cs="Arial"/>
          <w:szCs w:val="24"/>
          <w:lang w:eastAsia="en-GB"/>
        </w:rPr>
        <w:t>Limited</w:t>
      </w:r>
      <w:r w:rsidR="002B520D" w:rsidRPr="00D948C1">
        <w:rPr>
          <w:szCs w:val="24"/>
          <w:lang w:eastAsia="en-GB"/>
        </w:rPr>
        <w:t xml:space="preserve"> </w:t>
      </w:r>
      <w:r w:rsidRPr="00D948C1">
        <w:rPr>
          <w:szCs w:val="24"/>
          <w:lang w:eastAsia="en-GB"/>
        </w:rPr>
        <w:t>inc</w:t>
      </w:r>
      <w:r w:rsidR="0037293D" w:rsidRPr="00D948C1">
        <w:rPr>
          <w:szCs w:val="24"/>
          <w:lang w:eastAsia="en-GB"/>
        </w:rPr>
        <w:t>lude Invoices Raised by N</w:t>
      </w:r>
      <w:r w:rsidR="006C0086">
        <w:rPr>
          <w:szCs w:val="24"/>
          <w:lang w:eastAsia="en-GB"/>
        </w:rPr>
        <w:t xml:space="preserve">orth </w:t>
      </w:r>
      <w:proofErr w:type="gramStart"/>
      <w:r w:rsidR="0037293D" w:rsidRPr="00D948C1">
        <w:rPr>
          <w:szCs w:val="24"/>
          <w:lang w:eastAsia="en-GB"/>
        </w:rPr>
        <w:t>W</w:t>
      </w:r>
      <w:r w:rsidR="006C0086">
        <w:rPr>
          <w:szCs w:val="24"/>
          <w:lang w:eastAsia="en-GB"/>
        </w:rPr>
        <w:t xml:space="preserve">est </w:t>
      </w:r>
      <w:r w:rsidR="0037293D" w:rsidRPr="00D948C1">
        <w:rPr>
          <w:szCs w:val="24"/>
          <w:lang w:eastAsia="en-GB"/>
        </w:rPr>
        <w:t xml:space="preserve"> </w:t>
      </w:r>
      <w:proofErr w:type="spellStart"/>
      <w:r w:rsidR="0037293D" w:rsidRPr="00D948C1">
        <w:rPr>
          <w:szCs w:val="24"/>
          <w:lang w:eastAsia="en-GB"/>
        </w:rPr>
        <w:t>Fire</w:t>
      </w:r>
      <w:r w:rsidRPr="00D948C1">
        <w:rPr>
          <w:szCs w:val="24"/>
          <w:lang w:eastAsia="en-GB"/>
        </w:rPr>
        <w:t>Control</w:t>
      </w:r>
      <w:proofErr w:type="spellEnd"/>
      <w:proofErr w:type="gramEnd"/>
      <w:r w:rsidRPr="00D948C1">
        <w:rPr>
          <w:szCs w:val="24"/>
          <w:lang w:eastAsia="en-GB"/>
        </w:rPr>
        <w:t xml:space="preserve"> </w:t>
      </w:r>
      <w:r w:rsidR="001B32C9">
        <w:rPr>
          <w:szCs w:val="24"/>
          <w:lang w:eastAsia="en-GB"/>
        </w:rPr>
        <w:t xml:space="preserve">Lancashire Fire and Rescue Service </w:t>
      </w:r>
      <w:r w:rsidRPr="00D948C1">
        <w:rPr>
          <w:szCs w:val="24"/>
          <w:lang w:eastAsia="en-GB"/>
        </w:rPr>
        <w:t>for t</w:t>
      </w:r>
      <w:r w:rsidR="00A1232B" w:rsidRPr="00D948C1">
        <w:rPr>
          <w:szCs w:val="24"/>
          <w:lang w:eastAsia="en-GB"/>
        </w:rPr>
        <w:t xml:space="preserve">he Control Room service </w:t>
      </w:r>
      <w:r w:rsidRPr="00D948C1">
        <w:rPr>
          <w:szCs w:val="24"/>
          <w:lang w:eastAsia="en-GB"/>
        </w:rPr>
        <w:t>and use of facilities in the building.</w:t>
      </w:r>
    </w:p>
    <w:p w14:paraId="1537710C" w14:textId="0E303472" w:rsidR="00D90216" w:rsidRPr="00D948C1" w:rsidRDefault="009B6312" w:rsidP="006C0086">
      <w:pPr>
        <w:pStyle w:val="NoSpacing"/>
        <w:spacing w:line="276" w:lineRule="auto"/>
        <w:ind w:left="709"/>
        <w:rPr>
          <w:szCs w:val="24"/>
          <w:lang w:eastAsia="en-GB"/>
        </w:rPr>
      </w:pPr>
      <w:r w:rsidRPr="00D948C1">
        <w:rPr>
          <w:szCs w:val="24"/>
          <w:lang w:eastAsia="en-GB"/>
        </w:rPr>
        <w:t xml:space="preserve">The </w:t>
      </w:r>
      <w:r w:rsidR="00680265" w:rsidRPr="00D948C1">
        <w:rPr>
          <w:szCs w:val="24"/>
          <w:lang w:eastAsia="en-GB"/>
        </w:rPr>
        <w:t>Company’s</w:t>
      </w:r>
      <w:r w:rsidRPr="00D948C1">
        <w:rPr>
          <w:szCs w:val="24"/>
          <w:lang w:eastAsia="en-GB"/>
        </w:rPr>
        <w:t xml:space="preserve"> Financial Statements can be obtained from Companies House with the deadline for submission as 31/12/20</w:t>
      </w:r>
      <w:r w:rsidR="003A7ED4" w:rsidRPr="00D948C1">
        <w:rPr>
          <w:szCs w:val="24"/>
          <w:lang w:eastAsia="en-GB"/>
        </w:rPr>
        <w:t>2</w:t>
      </w:r>
      <w:r w:rsidR="002823FC" w:rsidRPr="00D948C1">
        <w:rPr>
          <w:szCs w:val="24"/>
          <w:lang w:eastAsia="en-GB"/>
        </w:rPr>
        <w:t>4</w:t>
      </w:r>
      <w:r w:rsidR="002C0DE5" w:rsidRPr="00D948C1">
        <w:rPr>
          <w:szCs w:val="24"/>
          <w:lang w:eastAsia="en-GB"/>
        </w:rPr>
        <w:t xml:space="preserve"> </w:t>
      </w:r>
      <w:r w:rsidRPr="00D948C1">
        <w:rPr>
          <w:szCs w:val="24"/>
          <w:lang w:eastAsia="en-GB"/>
        </w:rPr>
        <w:t>for the final audited 20</w:t>
      </w:r>
      <w:r w:rsidR="00C52475" w:rsidRPr="00D948C1">
        <w:rPr>
          <w:szCs w:val="24"/>
          <w:lang w:eastAsia="en-GB"/>
        </w:rPr>
        <w:t>2</w:t>
      </w:r>
      <w:r w:rsidR="002823FC" w:rsidRPr="00D948C1">
        <w:rPr>
          <w:szCs w:val="24"/>
          <w:lang w:eastAsia="en-GB"/>
        </w:rPr>
        <w:t>3</w:t>
      </w:r>
      <w:r w:rsidR="006B2155" w:rsidRPr="00D948C1">
        <w:rPr>
          <w:szCs w:val="24"/>
          <w:lang w:eastAsia="en-GB"/>
        </w:rPr>
        <w:t>/2</w:t>
      </w:r>
      <w:r w:rsidR="002823FC" w:rsidRPr="00D948C1">
        <w:rPr>
          <w:szCs w:val="24"/>
          <w:lang w:eastAsia="en-GB"/>
        </w:rPr>
        <w:t>4</w:t>
      </w:r>
      <w:r w:rsidRPr="00D948C1">
        <w:rPr>
          <w:szCs w:val="24"/>
          <w:lang w:eastAsia="en-GB"/>
        </w:rPr>
        <w:t xml:space="preserve"> accounts.</w:t>
      </w:r>
    </w:p>
    <w:bookmarkEnd w:id="66"/>
    <w:p w14:paraId="43DE6B4D" w14:textId="38E74E8B" w:rsidR="00885872" w:rsidRPr="00D948C1" w:rsidRDefault="00885872" w:rsidP="006C0086">
      <w:pPr>
        <w:spacing w:line="276" w:lineRule="auto"/>
        <w:rPr>
          <w:b/>
          <w:sz w:val="22"/>
        </w:rPr>
      </w:pPr>
    </w:p>
    <w:p w14:paraId="7FD1D649" w14:textId="683D8605" w:rsidR="0083182E" w:rsidRPr="00D948C1" w:rsidRDefault="001C592E" w:rsidP="006C0086">
      <w:pPr>
        <w:pStyle w:val="Heading2"/>
        <w:spacing w:line="276" w:lineRule="auto"/>
        <w:jc w:val="left"/>
        <w:rPr>
          <w:sz w:val="24"/>
          <w:szCs w:val="24"/>
        </w:rPr>
      </w:pPr>
      <w:bookmarkStart w:id="68" w:name="_Toc171068807"/>
      <w:r w:rsidRPr="00D948C1">
        <w:rPr>
          <w:sz w:val="24"/>
          <w:szCs w:val="24"/>
        </w:rPr>
        <w:t>2</w:t>
      </w:r>
      <w:r w:rsidR="00535820" w:rsidRPr="00D948C1">
        <w:rPr>
          <w:sz w:val="24"/>
          <w:szCs w:val="24"/>
        </w:rPr>
        <w:t>3</w:t>
      </w:r>
      <w:r w:rsidR="00D90216" w:rsidRPr="00D948C1">
        <w:rPr>
          <w:sz w:val="24"/>
          <w:szCs w:val="24"/>
        </w:rPr>
        <w:tab/>
      </w:r>
      <w:bookmarkStart w:id="69" w:name="N23"/>
      <w:bookmarkEnd w:id="69"/>
      <w:r w:rsidR="0083182E" w:rsidRPr="00D948C1">
        <w:rPr>
          <w:sz w:val="24"/>
          <w:szCs w:val="24"/>
        </w:rPr>
        <w:t xml:space="preserve">Adjust net surplus/(deficit) on the provision of services for </w:t>
      </w:r>
      <w:r w:rsidR="00470E44" w:rsidRPr="00D948C1">
        <w:rPr>
          <w:sz w:val="24"/>
          <w:szCs w:val="24"/>
        </w:rPr>
        <w:t>non-cash</w:t>
      </w:r>
      <w:r w:rsidR="0083182E" w:rsidRPr="00D948C1">
        <w:rPr>
          <w:sz w:val="24"/>
          <w:szCs w:val="24"/>
        </w:rPr>
        <w:t xml:space="preserve"> movements</w:t>
      </w:r>
      <w:bookmarkEnd w:id="68"/>
    </w:p>
    <w:p w14:paraId="3016A821" w14:textId="77777777" w:rsidR="0083182E" w:rsidRPr="00D948C1" w:rsidRDefault="0083182E" w:rsidP="006C0086">
      <w:pPr>
        <w:spacing w:line="276" w:lineRule="auto"/>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2823FC" w:rsidRPr="00D948C1" w14:paraId="4ACD6A35" w14:textId="77777777" w:rsidTr="00611673">
        <w:trPr>
          <w:trHeight w:hRule="exact" w:val="564"/>
          <w:tblHeader/>
        </w:trPr>
        <w:tc>
          <w:tcPr>
            <w:tcW w:w="4680" w:type="dxa"/>
            <w:shd w:val="clear" w:color="auto" w:fill="BD2716"/>
          </w:tcPr>
          <w:p w14:paraId="703CCC55" w14:textId="77777777" w:rsidR="002823FC" w:rsidRPr="00D948C1" w:rsidRDefault="002823FC" w:rsidP="006C0086">
            <w:pPr>
              <w:tabs>
                <w:tab w:val="left" w:pos="720"/>
                <w:tab w:val="center" w:pos="6930"/>
              </w:tabs>
              <w:spacing w:line="276" w:lineRule="auto"/>
              <w:rPr>
                <w:color w:val="FFFFFF" w:themeColor="background1"/>
                <w:szCs w:val="24"/>
              </w:rPr>
            </w:pPr>
          </w:p>
        </w:tc>
        <w:tc>
          <w:tcPr>
            <w:tcW w:w="1867" w:type="dxa"/>
            <w:shd w:val="clear" w:color="auto" w:fill="BD2716"/>
            <w:vAlign w:val="center"/>
          </w:tcPr>
          <w:p w14:paraId="0F673C9E" w14:textId="77777777" w:rsidR="002823FC" w:rsidRPr="00D948C1" w:rsidRDefault="002823FC" w:rsidP="006C0086">
            <w:pPr>
              <w:spacing w:line="276" w:lineRule="auto"/>
              <w:jc w:val="right"/>
              <w:rPr>
                <w:color w:val="FFFFFF" w:themeColor="background1"/>
                <w:szCs w:val="24"/>
              </w:rPr>
            </w:pPr>
            <w:r w:rsidRPr="00D948C1">
              <w:rPr>
                <w:color w:val="FFFFFF" w:themeColor="background1"/>
                <w:szCs w:val="24"/>
              </w:rPr>
              <w:t>2023/24</w:t>
            </w:r>
          </w:p>
          <w:p w14:paraId="6777CA9E" w14:textId="068D42C2" w:rsidR="002823FC" w:rsidRPr="00D948C1" w:rsidRDefault="002823FC" w:rsidP="006C0086">
            <w:pPr>
              <w:spacing w:line="276" w:lineRule="auto"/>
              <w:jc w:val="right"/>
              <w:rPr>
                <w:color w:val="FFFFFF" w:themeColor="background1"/>
                <w:szCs w:val="24"/>
              </w:rPr>
            </w:pPr>
            <w:r w:rsidRPr="00D948C1">
              <w:rPr>
                <w:color w:val="FFFFFF" w:themeColor="background1"/>
                <w:szCs w:val="24"/>
              </w:rPr>
              <w:t>£000</w:t>
            </w:r>
          </w:p>
        </w:tc>
        <w:tc>
          <w:tcPr>
            <w:tcW w:w="1867" w:type="dxa"/>
            <w:shd w:val="clear" w:color="auto" w:fill="BD2716"/>
            <w:vAlign w:val="center"/>
          </w:tcPr>
          <w:p w14:paraId="583EF0D2" w14:textId="77777777" w:rsidR="002823FC" w:rsidRPr="00D948C1" w:rsidRDefault="002823FC" w:rsidP="006C0086">
            <w:pPr>
              <w:spacing w:line="276" w:lineRule="auto"/>
              <w:jc w:val="right"/>
              <w:rPr>
                <w:color w:val="FFFFFF" w:themeColor="background1"/>
                <w:szCs w:val="24"/>
              </w:rPr>
            </w:pPr>
            <w:r w:rsidRPr="00D948C1">
              <w:rPr>
                <w:color w:val="FFFFFF" w:themeColor="background1"/>
                <w:szCs w:val="24"/>
              </w:rPr>
              <w:t>2022/23</w:t>
            </w:r>
          </w:p>
          <w:p w14:paraId="19983810" w14:textId="01A99743" w:rsidR="002823FC" w:rsidRPr="00D948C1" w:rsidRDefault="002823FC" w:rsidP="006C0086">
            <w:pPr>
              <w:spacing w:line="276" w:lineRule="auto"/>
              <w:jc w:val="right"/>
              <w:rPr>
                <w:color w:val="FFFFFF" w:themeColor="background1"/>
                <w:szCs w:val="24"/>
              </w:rPr>
            </w:pPr>
            <w:r w:rsidRPr="00D948C1">
              <w:rPr>
                <w:color w:val="FFFFFF" w:themeColor="background1"/>
                <w:szCs w:val="24"/>
              </w:rPr>
              <w:t>£000</w:t>
            </w:r>
          </w:p>
        </w:tc>
      </w:tr>
      <w:tr w:rsidR="002823FC" w:rsidRPr="00D948C1" w14:paraId="4E13F36E" w14:textId="77777777" w:rsidTr="003572E5">
        <w:trPr>
          <w:trHeight w:val="278"/>
        </w:trPr>
        <w:tc>
          <w:tcPr>
            <w:tcW w:w="4680" w:type="dxa"/>
          </w:tcPr>
          <w:p w14:paraId="26DF27E4" w14:textId="77777777" w:rsidR="002823FC" w:rsidRPr="00D948C1" w:rsidRDefault="002823FC" w:rsidP="006C0086">
            <w:pPr>
              <w:tabs>
                <w:tab w:val="left" w:pos="720"/>
                <w:tab w:val="center" w:pos="6930"/>
              </w:tabs>
              <w:spacing w:line="276" w:lineRule="auto"/>
              <w:rPr>
                <w:szCs w:val="24"/>
              </w:rPr>
            </w:pPr>
            <w:r w:rsidRPr="00D948C1">
              <w:rPr>
                <w:szCs w:val="24"/>
              </w:rPr>
              <w:t>Depreciation</w:t>
            </w:r>
          </w:p>
        </w:tc>
        <w:tc>
          <w:tcPr>
            <w:tcW w:w="1867" w:type="dxa"/>
            <w:vAlign w:val="center"/>
          </w:tcPr>
          <w:p w14:paraId="5A0A0D33" w14:textId="019EFC74" w:rsidR="002823FC" w:rsidRPr="00D948C1" w:rsidRDefault="002823FC" w:rsidP="006C0086">
            <w:pPr>
              <w:tabs>
                <w:tab w:val="decimal" w:pos="1080"/>
              </w:tabs>
              <w:spacing w:line="276" w:lineRule="auto"/>
              <w:jc w:val="right"/>
              <w:rPr>
                <w:szCs w:val="24"/>
              </w:rPr>
            </w:pPr>
            <w:r w:rsidRPr="00D948C1">
              <w:rPr>
                <w:szCs w:val="24"/>
              </w:rPr>
              <w:t>5,</w:t>
            </w:r>
            <w:r w:rsidR="00B61CAB">
              <w:rPr>
                <w:szCs w:val="24"/>
              </w:rPr>
              <w:t>732</w:t>
            </w:r>
          </w:p>
        </w:tc>
        <w:tc>
          <w:tcPr>
            <w:tcW w:w="1867" w:type="dxa"/>
            <w:vAlign w:val="center"/>
          </w:tcPr>
          <w:p w14:paraId="444952F8" w14:textId="030A86C5" w:rsidR="002823FC" w:rsidRPr="00D948C1" w:rsidRDefault="002823FC" w:rsidP="006C0086">
            <w:pPr>
              <w:tabs>
                <w:tab w:val="decimal" w:pos="1080"/>
              </w:tabs>
              <w:spacing w:line="276" w:lineRule="auto"/>
              <w:jc w:val="right"/>
              <w:rPr>
                <w:szCs w:val="24"/>
              </w:rPr>
            </w:pPr>
            <w:r w:rsidRPr="00D948C1">
              <w:rPr>
                <w:szCs w:val="24"/>
              </w:rPr>
              <w:t>5,588</w:t>
            </w:r>
          </w:p>
        </w:tc>
      </w:tr>
      <w:tr w:rsidR="002823FC" w:rsidRPr="00D948C1" w14:paraId="1C1D38C5" w14:textId="77777777" w:rsidTr="003572E5">
        <w:trPr>
          <w:trHeight w:val="278"/>
        </w:trPr>
        <w:tc>
          <w:tcPr>
            <w:tcW w:w="4680" w:type="dxa"/>
          </w:tcPr>
          <w:p w14:paraId="6E6EA4AA" w14:textId="77777777" w:rsidR="002823FC" w:rsidRPr="00D948C1" w:rsidRDefault="002823FC" w:rsidP="006C0086">
            <w:pPr>
              <w:tabs>
                <w:tab w:val="left" w:pos="720"/>
                <w:tab w:val="center" w:pos="6930"/>
              </w:tabs>
              <w:spacing w:line="276" w:lineRule="auto"/>
              <w:rPr>
                <w:szCs w:val="24"/>
              </w:rPr>
            </w:pPr>
            <w:r w:rsidRPr="00D948C1">
              <w:rPr>
                <w:szCs w:val="24"/>
              </w:rPr>
              <w:t>Impairment &amp; downwards valuations</w:t>
            </w:r>
          </w:p>
        </w:tc>
        <w:tc>
          <w:tcPr>
            <w:tcW w:w="1867" w:type="dxa"/>
            <w:vAlign w:val="center"/>
          </w:tcPr>
          <w:p w14:paraId="25B00891" w14:textId="591A5C98" w:rsidR="002823FC" w:rsidRPr="00D948C1" w:rsidRDefault="006F735C" w:rsidP="006C0086">
            <w:pPr>
              <w:tabs>
                <w:tab w:val="decimal" w:pos="1080"/>
              </w:tabs>
              <w:spacing w:line="276" w:lineRule="auto"/>
              <w:jc w:val="right"/>
              <w:rPr>
                <w:szCs w:val="24"/>
              </w:rPr>
            </w:pPr>
            <w:r w:rsidRPr="00D948C1">
              <w:rPr>
                <w:szCs w:val="24"/>
              </w:rPr>
              <w:t>133</w:t>
            </w:r>
          </w:p>
        </w:tc>
        <w:tc>
          <w:tcPr>
            <w:tcW w:w="1867" w:type="dxa"/>
            <w:vAlign w:val="center"/>
          </w:tcPr>
          <w:p w14:paraId="553CA341" w14:textId="5FD5C520" w:rsidR="002823FC" w:rsidRPr="00D948C1" w:rsidRDefault="002823FC" w:rsidP="006C0086">
            <w:pPr>
              <w:tabs>
                <w:tab w:val="decimal" w:pos="1080"/>
              </w:tabs>
              <w:spacing w:line="276" w:lineRule="auto"/>
              <w:jc w:val="right"/>
              <w:rPr>
                <w:szCs w:val="24"/>
              </w:rPr>
            </w:pPr>
            <w:r w:rsidRPr="00D948C1">
              <w:rPr>
                <w:szCs w:val="24"/>
              </w:rPr>
              <w:t>271</w:t>
            </w:r>
          </w:p>
        </w:tc>
      </w:tr>
      <w:tr w:rsidR="002823FC" w:rsidRPr="00D948C1" w14:paraId="5F531D75" w14:textId="77777777" w:rsidTr="003572E5">
        <w:trPr>
          <w:trHeight w:val="278"/>
        </w:trPr>
        <w:tc>
          <w:tcPr>
            <w:tcW w:w="4680" w:type="dxa"/>
          </w:tcPr>
          <w:p w14:paraId="28178CD9" w14:textId="77777777" w:rsidR="002823FC" w:rsidRPr="00D948C1" w:rsidRDefault="002823FC" w:rsidP="006C0086">
            <w:pPr>
              <w:tabs>
                <w:tab w:val="left" w:pos="720"/>
                <w:tab w:val="center" w:pos="6930"/>
              </w:tabs>
              <w:spacing w:line="276" w:lineRule="auto"/>
              <w:rPr>
                <w:szCs w:val="24"/>
              </w:rPr>
            </w:pPr>
            <w:r w:rsidRPr="00D948C1">
              <w:rPr>
                <w:szCs w:val="24"/>
              </w:rPr>
              <w:t>Amortisation</w:t>
            </w:r>
          </w:p>
        </w:tc>
        <w:tc>
          <w:tcPr>
            <w:tcW w:w="1867" w:type="dxa"/>
            <w:vAlign w:val="center"/>
          </w:tcPr>
          <w:p w14:paraId="2A832BE9" w14:textId="32E04B82" w:rsidR="002823FC" w:rsidRPr="00D948C1" w:rsidRDefault="00B61CAB" w:rsidP="006C0086">
            <w:pPr>
              <w:tabs>
                <w:tab w:val="decimal" w:pos="1080"/>
              </w:tabs>
              <w:spacing w:line="276" w:lineRule="auto"/>
              <w:jc w:val="right"/>
              <w:rPr>
                <w:szCs w:val="24"/>
              </w:rPr>
            </w:pPr>
            <w:r>
              <w:rPr>
                <w:szCs w:val="24"/>
              </w:rPr>
              <w:t>188</w:t>
            </w:r>
          </w:p>
        </w:tc>
        <w:tc>
          <w:tcPr>
            <w:tcW w:w="1867" w:type="dxa"/>
            <w:vAlign w:val="center"/>
          </w:tcPr>
          <w:p w14:paraId="1D2E2D1B" w14:textId="1EEBDB43" w:rsidR="002823FC" w:rsidRPr="00D948C1" w:rsidRDefault="002823FC" w:rsidP="006C0086">
            <w:pPr>
              <w:tabs>
                <w:tab w:val="decimal" w:pos="1080"/>
              </w:tabs>
              <w:spacing w:line="276" w:lineRule="auto"/>
              <w:jc w:val="right"/>
              <w:rPr>
                <w:szCs w:val="24"/>
              </w:rPr>
            </w:pPr>
            <w:r w:rsidRPr="00D948C1">
              <w:rPr>
                <w:szCs w:val="24"/>
              </w:rPr>
              <w:t>94</w:t>
            </w:r>
          </w:p>
        </w:tc>
      </w:tr>
      <w:tr w:rsidR="002823FC" w:rsidRPr="00D948C1" w14:paraId="46B3A49D" w14:textId="77777777" w:rsidTr="003572E5">
        <w:trPr>
          <w:trHeight w:val="278"/>
        </w:trPr>
        <w:tc>
          <w:tcPr>
            <w:tcW w:w="4680" w:type="dxa"/>
          </w:tcPr>
          <w:p w14:paraId="129E0905" w14:textId="77777777" w:rsidR="002823FC" w:rsidRPr="00D948C1" w:rsidRDefault="002823FC" w:rsidP="006C0086">
            <w:pPr>
              <w:tabs>
                <w:tab w:val="left" w:pos="720"/>
                <w:tab w:val="center" w:pos="6930"/>
              </w:tabs>
              <w:spacing w:line="276" w:lineRule="auto"/>
              <w:rPr>
                <w:szCs w:val="24"/>
              </w:rPr>
            </w:pPr>
            <w:r w:rsidRPr="00D948C1">
              <w:rPr>
                <w:szCs w:val="24"/>
              </w:rPr>
              <w:t>Increase/(decrease) in provisions</w:t>
            </w:r>
          </w:p>
        </w:tc>
        <w:tc>
          <w:tcPr>
            <w:tcW w:w="1867" w:type="dxa"/>
            <w:vAlign w:val="center"/>
          </w:tcPr>
          <w:p w14:paraId="53CCAD6D" w14:textId="639028A1" w:rsidR="002823FC" w:rsidRPr="00D948C1" w:rsidRDefault="002823FC" w:rsidP="006C0086">
            <w:pPr>
              <w:tabs>
                <w:tab w:val="decimal" w:pos="1080"/>
              </w:tabs>
              <w:spacing w:line="276" w:lineRule="auto"/>
              <w:jc w:val="right"/>
              <w:rPr>
                <w:szCs w:val="24"/>
              </w:rPr>
            </w:pPr>
            <w:r w:rsidRPr="00D948C1">
              <w:rPr>
                <w:szCs w:val="24"/>
              </w:rPr>
              <w:t>(</w:t>
            </w:r>
            <w:r w:rsidR="006F735C" w:rsidRPr="00D948C1">
              <w:rPr>
                <w:szCs w:val="24"/>
              </w:rPr>
              <w:t>10</w:t>
            </w:r>
            <w:r w:rsidRPr="00D948C1">
              <w:rPr>
                <w:szCs w:val="24"/>
              </w:rPr>
              <w:t>)</w:t>
            </w:r>
          </w:p>
        </w:tc>
        <w:tc>
          <w:tcPr>
            <w:tcW w:w="1867" w:type="dxa"/>
            <w:vAlign w:val="center"/>
          </w:tcPr>
          <w:p w14:paraId="00D070E2" w14:textId="21A52538" w:rsidR="002823FC" w:rsidRPr="00D948C1" w:rsidRDefault="002823FC" w:rsidP="006C0086">
            <w:pPr>
              <w:tabs>
                <w:tab w:val="decimal" w:pos="1080"/>
              </w:tabs>
              <w:spacing w:line="276" w:lineRule="auto"/>
              <w:jc w:val="right"/>
              <w:rPr>
                <w:szCs w:val="24"/>
              </w:rPr>
            </w:pPr>
            <w:r w:rsidRPr="00D948C1">
              <w:rPr>
                <w:szCs w:val="24"/>
              </w:rPr>
              <w:t>(207)</w:t>
            </w:r>
          </w:p>
        </w:tc>
      </w:tr>
      <w:tr w:rsidR="002823FC" w:rsidRPr="00D948C1" w14:paraId="7CC9E0E9" w14:textId="77777777" w:rsidTr="003572E5">
        <w:trPr>
          <w:trHeight w:val="278"/>
        </w:trPr>
        <w:tc>
          <w:tcPr>
            <w:tcW w:w="4680" w:type="dxa"/>
          </w:tcPr>
          <w:p w14:paraId="74BEFFA9" w14:textId="77777777" w:rsidR="002823FC" w:rsidRPr="00D948C1" w:rsidRDefault="002823FC" w:rsidP="006C0086">
            <w:pPr>
              <w:tabs>
                <w:tab w:val="left" w:pos="720"/>
                <w:tab w:val="center" w:pos="6930"/>
              </w:tabs>
              <w:spacing w:line="276" w:lineRule="auto"/>
              <w:rPr>
                <w:szCs w:val="24"/>
              </w:rPr>
            </w:pPr>
            <w:r w:rsidRPr="00D948C1">
              <w:rPr>
                <w:szCs w:val="24"/>
              </w:rPr>
              <w:t>Increase/(decrease) in creditors</w:t>
            </w:r>
          </w:p>
        </w:tc>
        <w:tc>
          <w:tcPr>
            <w:tcW w:w="1867" w:type="dxa"/>
            <w:vAlign w:val="center"/>
          </w:tcPr>
          <w:p w14:paraId="5E62F46C" w14:textId="6C15378D" w:rsidR="002823FC" w:rsidRPr="00D948C1" w:rsidRDefault="006F735C" w:rsidP="006C0086">
            <w:pPr>
              <w:tabs>
                <w:tab w:val="decimal" w:pos="1080"/>
              </w:tabs>
              <w:spacing w:line="276" w:lineRule="auto"/>
              <w:jc w:val="right"/>
              <w:rPr>
                <w:szCs w:val="24"/>
              </w:rPr>
            </w:pPr>
            <w:r w:rsidRPr="00D948C1">
              <w:rPr>
                <w:szCs w:val="24"/>
              </w:rPr>
              <w:t>131</w:t>
            </w:r>
          </w:p>
        </w:tc>
        <w:tc>
          <w:tcPr>
            <w:tcW w:w="1867" w:type="dxa"/>
            <w:vAlign w:val="center"/>
          </w:tcPr>
          <w:p w14:paraId="7C614B9F" w14:textId="05A7ED0D" w:rsidR="002823FC" w:rsidRPr="00D948C1" w:rsidRDefault="002823FC" w:rsidP="006C0086">
            <w:pPr>
              <w:tabs>
                <w:tab w:val="decimal" w:pos="1080"/>
              </w:tabs>
              <w:spacing w:line="276" w:lineRule="auto"/>
              <w:jc w:val="right"/>
              <w:rPr>
                <w:szCs w:val="24"/>
              </w:rPr>
            </w:pPr>
            <w:r w:rsidRPr="00D948C1">
              <w:rPr>
                <w:szCs w:val="24"/>
              </w:rPr>
              <w:t>906</w:t>
            </w:r>
          </w:p>
        </w:tc>
      </w:tr>
      <w:tr w:rsidR="002823FC" w:rsidRPr="00D948C1" w14:paraId="630F9869" w14:textId="77777777" w:rsidTr="003572E5">
        <w:trPr>
          <w:trHeight w:val="278"/>
        </w:trPr>
        <w:tc>
          <w:tcPr>
            <w:tcW w:w="4680" w:type="dxa"/>
          </w:tcPr>
          <w:p w14:paraId="67C6527D" w14:textId="77777777" w:rsidR="002823FC" w:rsidRPr="00D948C1" w:rsidRDefault="002823FC" w:rsidP="006C0086">
            <w:pPr>
              <w:tabs>
                <w:tab w:val="left" w:pos="720"/>
                <w:tab w:val="center" w:pos="6930"/>
              </w:tabs>
              <w:spacing w:line="276" w:lineRule="auto"/>
              <w:rPr>
                <w:szCs w:val="24"/>
              </w:rPr>
            </w:pPr>
            <w:r w:rsidRPr="00D948C1">
              <w:rPr>
                <w:szCs w:val="24"/>
              </w:rPr>
              <w:t>(Increase)/decrease in debtors</w:t>
            </w:r>
          </w:p>
        </w:tc>
        <w:tc>
          <w:tcPr>
            <w:tcW w:w="1867" w:type="dxa"/>
            <w:vAlign w:val="center"/>
          </w:tcPr>
          <w:p w14:paraId="3E576B63" w14:textId="59BF05C4" w:rsidR="002823FC" w:rsidRPr="00D948C1" w:rsidRDefault="002823FC" w:rsidP="006C0086">
            <w:pPr>
              <w:tabs>
                <w:tab w:val="decimal" w:pos="1080"/>
              </w:tabs>
              <w:spacing w:line="276" w:lineRule="auto"/>
              <w:jc w:val="right"/>
              <w:rPr>
                <w:szCs w:val="24"/>
              </w:rPr>
            </w:pPr>
            <w:r w:rsidRPr="00D948C1">
              <w:rPr>
                <w:szCs w:val="24"/>
              </w:rPr>
              <w:t>(</w:t>
            </w:r>
            <w:r w:rsidR="006F735C" w:rsidRPr="00D948C1">
              <w:rPr>
                <w:szCs w:val="24"/>
              </w:rPr>
              <w:t>1,840</w:t>
            </w:r>
            <w:r w:rsidRPr="00D948C1">
              <w:rPr>
                <w:szCs w:val="24"/>
              </w:rPr>
              <w:t>)</w:t>
            </w:r>
          </w:p>
        </w:tc>
        <w:tc>
          <w:tcPr>
            <w:tcW w:w="1867" w:type="dxa"/>
            <w:vAlign w:val="center"/>
          </w:tcPr>
          <w:p w14:paraId="6281AA10" w14:textId="5952DF68" w:rsidR="002823FC" w:rsidRPr="00D948C1" w:rsidRDefault="002823FC" w:rsidP="006C0086">
            <w:pPr>
              <w:tabs>
                <w:tab w:val="decimal" w:pos="1080"/>
              </w:tabs>
              <w:spacing w:line="276" w:lineRule="auto"/>
              <w:jc w:val="right"/>
              <w:rPr>
                <w:szCs w:val="24"/>
              </w:rPr>
            </w:pPr>
            <w:r w:rsidRPr="00D948C1">
              <w:rPr>
                <w:szCs w:val="24"/>
              </w:rPr>
              <w:t>(3,783)</w:t>
            </w:r>
          </w:p>
        </w:tc>
      </w:tr>
      <w:tr w:rsidR="002823FC" w:rsidRPr="00D948C1" w14:paraId="1F20EE85" w14:textId="77777777" w:rsidTr="003572E5">
        <w:trPr>
          <w:trHeight w:val="278"/>
        </w:trPr>
        <w:tc>
          <w:tcPr>
            <w:tcW w:w="4680" w:type="dxa"/>
          </w:tcPr>
          <w:p w14:paraId="6856D8B2" w14:textId="77777777" w:rsidR="002823FC" w:rsidRPr="00D948C1" w:rsidRDefault="002823FC" w:rsidP="006C0086">
            <w:pPr>
              <w:tabs>
                <w:tab w:val="left" w:pos="720"/>
                <w:tab w:val="center" w:pos="6930"/>
              </w:tabs>
              <w:spacing w:line="276" w:lineRule="auto"/>
              <w:rPr>
                <w:szCs w:val="24"/>
              </w:rPr>
            </w:pPr>
            <w:r w:rsidRPr="00D948C1">
              <w:rPr>
                <w:szCs w:val="24"/>
              </w:rPr>
              <w:t>(Increase)/decrease in stock</w:t>
            </w:r>
          </w:p>
        </w:tc>
        <w:tc>
          <w:tcPr>
            <w:tcW w:w="1867" w:type="dxa"/>
            <w:vAlign w:val="center"/>
          </w:tcPr>
          <w:p w14:paraId="66C41BB9" w14:textId="76EE9502" w:rsidR="002823FC" w:rsidRPr="00D948C1" w:rsidRDefault="002823FC" w:rsidP="006C0086">
            <w:pPr>
              <w:tabs>
                <w:tab w:val="decimal" w:pos="1080"/>
              </w:tabs>
              <w:spacing w:line="276" w:lineRule="auto"/>
              <w:jc w:val="right"/>
              <w:rPr>
                <w:szCs w:val="24"/>
              </w:rPr>
            </w:pPr>
            <w:r w:rsidRPr="00D948C1">
              <w:rPr>
                <w:szCs w:val="24"/>
              </w:rPr>
              <w:t>(</w:t>
            </w:r>
            <w:r w:rsidR="006F735C" w:rsidRPr="00D948C1">
              <w:rPr>
                <w:szCs w:val="24"/>
              </w:rPr>
              <w:t>2</w:t>
            </w:r>
            <w:r w:rsidRPr="00D948C1">
              <w:rPr>
                <w:szCs w:val="24"/>
              </w:rPr>
              <w:t>3)</w:t>
            </w:r>
          </w:p>
        </w:tc>
        <w:tc>
          <w:tcPr>
            <w:tcW w:w="1867" w:type="dxa"/>
            <w:vAlign w:val="center"/>
          </w:tcPr>
          <w:p w14:paraId="1CDE43E2" w14:textId="5F7BC5DD" w:rsidR="002823FC" w:rsidRPr="00D948C1" w:rsidRDefault="002823FC" w:rsidP="006C0086">
            <w:pPr>
              <w:tabs>
                <w:tab w:val="decimal" w:pos="1080"/>
              </w:tabs>
              <w:spacing w:line="276" w:lineRule="auto"/>
              <w:jc w:val="right"/>
              <w:rPr>
                <w:szCs w:val="24"/>
              </w:rPr>
            </w:pPr>
            <w:r w:rsidRPr="00D948C1">
              <w:rPr>
                <w:szCs w:val="24"/>
              </w:rPr>
              <w:t>(53)</w:t>
            </w:r>
          </w:p>
        </w:tc>
      </w:tr>
      <w:tr w:rsidR="002823FC" w:rsidRPr="00D948C1" w14:paraId="0F97996C" w14:textId="77777777" w:rsidTr="003572E5">
        <w:trPr>
          <w:trHeight w:hRule="exact" w:val="556"/>
        </w:trPr>
        <w:tc>
          <w:tcPr>
            <w:tcW w:w="4680" w:type="dxa"/>
          </w:tcPr>
          <w:p w14:paraId="5038592C" w14:textId="448C0243" w:rsidR="002823FC" w:rsidRPr="00D948C1" w:rsidRDefault="002823FC" w:rsidP="006C0086">
            <w:pPr>
              <w:tabs>
                <w:tab w:val="left" w:pos="720"/>
                <w:tab w:val="center" w:pos="6930"/>
              </w:tabs>
              <w:spacing w:line="276" w:lineRule="auto"/>
              <w:rPr>
                <w:szCs w:val="24"/>
              </w:rPr>
            </w:pPr>
            <w:r w:rsidRPr="00D948C1">
              <w:rPr>
                <w:szCs w:val="24"/>
              </w:rPr>
              <w:t xml:space="preserve">(Increase)/decrease in </w:t>
            </w:r>
            <w:r w:rsidR="000C0FF2" w:rsidRPr="00D948C1">
              <w:rPr>
                <w:szCs w:val="24"/>
              </w:rPr>
              <w:t xml:space="preserve">Local Government Pension Scheme </w:t>
            </w:r>
            <w:r w:rsidRPr="00D948C1">
              <w:rPr>
                <w:szCs w:val="24"/>
              </w:rPr>
              <w:t>pension liability</w:t>
            </w:r>
          </w:p>
        </w:tc>
        <w:tc>
          <w:tcPr>
            <w:tcW w:w="1867" w:type="dxa"/>
            <w:vAlign w:val="center"/>
          </w:tcPr>
          <w:p w14:paraId="1CC1CB06" w14:textId="19534D31" w:rsidR="002823FC" w:rsidRPr="00D948C1" w:rsidRDefault="006F735C" w:rsidP="006C0086">
            <w:pPr>
              <w:tabs>
                <w:tab w:val="decimal" w:pos="1080"/>
              </w:tabs>
              <w:spacing w:line="276" w:lineRule="auto"/>
              <w:jc w:val="right"/>
              <w:rPr>
                <w:szCs w:val="24"/>
              </w:rPr>
            </w:pPr>
            <w:r w:rsidRPr="00D948C1">
              <w:rPr>
                <w:szCs w:val="24"/>
              </w:rPr>
              <w:t>-</w:t>
            </w:r>
          </w:p>
        </w:tc>
        <w:tc>
          <w:tcPr>
            <w:tcW w:w="1867" w:type="dxa"/>
            <w:vAlign w:val="center"/>
          </w:tcPr>
          <w:p w14:paraId="2659073D" w14:textId="216CDFB6" w:rsidR="002823FC" w:rsidRPr="00D948C1" w:rsidRDefault="002823FC" w:rsidP="006C0086">
            <w:pPr>
              <w:tabs>
                <w:tab w:val="decimal" w:pos="1080"/>
              </w:tabs>
              <w:spacing w:line="276" w:lineRule="auto"/>
              <w:jc w:val="right"/>
              <w:rPr>
                <w:szCs w:val="24"/>
              </w:rPr>
            </w:pPr>
            <w:r w:rsidRPr="00D948C1">
              <w:rPr>
                <w:szCs w:val="24"/>
              </w:rPr>
              <w:t>216</w:t>
            </w:r>
          </w:p>
        </w:tc>
      </w:tr>
      <w:tr w:rsidR="002823FC" w:rsidRPr="00D948C1" w14:paraId="7A616F14" w14:textId="77777777" w:rsidTr="003572E5">
        <w:trPr>
          <w:trHeight w:val="278"/>
        </w:trPr>
        <w:tc>
          <w:tcPr>
            <w:tcW w:w="4680" w:type="dxa"/>
          </w:tcPr>
          <w:p w14:paraId="4D6B2B33" w14:textId="77777777" w:rsidR="002823FC" w:rsidRPr="00D948C1" w:rsidRDefault="002823FC" w:rsidP="006C0086">
            <w:pPr>
              <w:tabs>
                <w:tab w:val="left" w:pos="720"/>
                <w:tab w:val="center" w:pos="6930"/>
              </w:tabs>
              <w:spacing w:line="276" w:lineRule="auto"/>
              <w:rPr>
                <w:szCs w:val="24"/>
              </w:rPr>
            </w:pPr>
            <w:r w:rsidRPr="00D948C1">
              <w:rPr>
                <w:szCs w:val="24"/>
              </w:rPr>
              <w:t>Movement in pension liability</w:t>
            </w:r>
          </w:p>
        </w:tc>
        <w:tc>
          <w:tcPr>
            <w:tcW w:w="1867" w:type="dxa"/>
            <w:vAlign w:val="center"/>
          </w:tcPr>
          <w:p w14:paraId="236516ED" w14:textId="51694551" w:rsidR="002823FC" w:rsidRPr="00D948C1" w:rsidRDefault="006F735C" w:rsidP="006C0086">
            <w:pPr>
              <w:tabs>
                <w:tab w:val="decimal" w:pos="1080"/>
              </w:tabs>
              <w:spacing w:line="276" w:lineRule="auto"/>
              <w:jc w:val="right"/>
              <w:rPr>
                <w:szCs w:val="24"/>
              </w:rPr>
            </w:pPr>
            <w:r w:rsidRPr="00D948C1">
              <w:rPr>
                <w:szCs w:val="24"/>
              </w:rPr>
              <w:t>4,554</w:t>
            </w:r>
          </w:p>
        </w:tc>
        <w:tc>
          <w:tcPr>
            <w:tcW w:w="1867" w:type="dxa"/>
            <w:vAlign w:val="center"/>
          </w:tcPr>
          <w:p w14:paraId="407168FB" w14:textId="6C912D47" w:rsidR="002823FC" w:rsidRPr="00D948C1" w:rsidRDefault="002823FC" w:rsidP="006C0086">
            <w:pPr>
              <w:tabs>
                <w:tab w:val="decimal" w:pos="1080"/>
              </w:tabs>
              <w:spacing w:line="276" w:lineRule="auto"/>
              <w:jc w:val="right"/>
              <w:rPr>
                <w:szCs w:val="24"/>
              </w:rPr>
            </w:pPr>
            <w:r w:rsidRPr="00D948C1">
              <w:rPr>
                <w:szCs w:val="24"/>
              </w:rPr>
              <w:t>12,879</w:t>
            </w:r>
          </w:p>
        </w:tc>
      </w:tr>
      <w:tr w:rsidR="002823FC" w:rsidRPr="00D948C1" w14:paraId="5C8F41CE" w14:textId="77777777" w:rsidTr="003572E5">
        <w:trPr>
          <w:trHeight w:val="278"/>
        </w:trPr>
        <w:tc>
          <w:tcPr>
            <w:tcW w:w="4680" w:type="dxa"/>
          </w:tcPr>
          <w:p w14:paraId="175BAAD6" w14:textId="6C645894" w:rsidR="002823FC" w:rsidRPr="00D948C1" w:rsidRDefault="002823FC" w:rsidP="006C0086">
            <w:pPr>
              <w:tabs>
                <w:tab w:val="left" w:pos="720"/>
                <w:tab w:val="center" w:pos="6930"/>
              </w:tabs>
              <w:spacing w:line="276" w:lineRule="auto"/>
              <w:rPr>
                <w:szCs w:val="24"/>
              </w:rPr>
            </w:pPr>
            <w:r w:rsidRPr="00D948C1">
              <w:rPr>
                <w:szCs w:val="24"/>
              </w:rPr>
              <w:t xml:space="preserve">NWFC Capital Grants Unapplied </w:t>
            </w:r>
            <w:proofErr w:type="spellStart"/>
            <w:r w:rsidRPr="00D948C1">
              <w:rPr>
                <w:szCs w:val="24"/>
              </w:rPr>
              <w:t>Adj</w:t>
            </w:r>
            <w:proofErr w:type="spellEnd"/>
          </w:p>
        </w:tc>
        <w:tc>
          <w:tcPr>
            <w:tcW w:w="1867" w:type="dxa"/>
            <w:vAlign w:val="center"/>
          </w:tcPr>
          <w:p w14:paraId="32B59D2C" w14:textId="46E6BD29" w:rsidR="002823FC" w:rsidRPr="00D948C1" w:rsidRDefault="006F735C" w:rsidP="006C0086">
            <w:pPr>
              <w:tabs>
                <w:tab w:val="decimal" w:pos="1080"/>
              </w:tabs>
              <w:spacing w:line="276" w:lineRule="auto"/>
              <w:jc w:val="right"/>
              <w:rPr>
                <w:szCs w:val="24"/>
              </w:rPr>
            </w:pPr>
            <w:r w:rsidRPr="00D948C1">
              <w:rPr>
                <w:szCs w:val="24"/>
              </w:rPr>
              <w:t>-</w:t>
            </w:r>
          </w:p>
        </w:tc>
        <w:tc>
          <w:tcPr>
            <w:tcW w:w="1867" w:type="dxa"/>
            <w:vAlign w:val="center"/>
          </w:tcPr>
          <w:p w14:paraId="7C5B7B1F" w14:textId="7305A1D5" w:rsidR="002823FC" w:rsidRPr="00D948C1" w:rsidRDefault="002823FC" w:rsidP="006C0086">
            <w:pPr>
              <w:tabs>
                <w:tab w:val="decimal" w:pos="1080"/>
              </w:tabs>
              <w:spacing w:line="276" w:lineRule="auto"/>
              <w:jc w:val="right"/>
              <w:rPr>
                <w:szCs w:val="24"/>
              </w:rPr>
            </w:pPr>
            <w:r w:rsidRPr="00D948C1">
              <w:rPr>
                <w:szCs w:val="24"/>
              </w:rPr>
              <w:t>29</w:t>
            </w:r>
          </w:p>
        </w:tc>
      </w:tr>
      <w:tr w:rsidR="006F735C" w:rsidRPr="00D948C1" w14:paraId="569ACD92" w14:textId="77777777" w:rsidTr="003572E5">
        <w:trPr>
          <w:trHeight w:val="278"/>
        </w:trPr>
        <w:tc>
          <w:tcPr>
            <w:tcW w:w="4680" w:type="dxa"/>
          </w:tcPr>
          <w:p w14:paraId="0DFF8239" w14:textId="7CCF713F" w:rsidR="006F735C" w:rsidRPr="00D948C1" w:rsidRDefault="006F735C" w:rsidP="006C0086">
            <w:pPr>
              <w:tabs>
                <w:tab w:val="left" w:pos="720"/>
                <w:tab w:val="center" w:pos="6930"/>
              </w:tabs>
              <w:spacing w:line="276" w:lineRule="auto"/>
              <w:rPr>
                <w:szCs w:val="24"/>
              </w:rPr>
            </w:pPr>
            <w:r w:rsidRPr="00D948C1">
              <w:rPr>
                <w:szCs w:val="24"/>
              </w:rPr>
              <w:t>NBV of fixed assets sold</w:t>
            </w:r>
          </w:p>
        </w:tc>
        <w:tc>
          <w:tcPr>
            <w:tcW w:w="1867" w:type="dxa"/>
            <w:vAlign w:val="center"/>
          </w:tcPr>
          <w:p w14:paraId="1E339050" w14:textId="3A5894F7" w:rsidR="006F735C" w:rsidRPr="00D948C1" w:rsidRDefault="006F735C" w:rsidP="006C0086">
            <w:pPr>
              <w:tabs>
                <w:tab w:val="decimal" w:pos="1080"/>
              </w:tabs>
              <w:spacing w:line="276" w:lineRule="auto"/>
              <w:jc w:val="right"/>
              <w:rPr>
                <w:szCs w:val="24"/>
              </w:rPr>
            </w:pPr>
            <w:r w:rsidRPr="00D948C1">
              <w:rPr>
                <w:szCs w:val="24"/>
              </w:rPr>
              <w:t>48</w:t>
            </w:r>
          </w:p>
        </w:tc>
        <w:tc>
          <w:tcPr>
            <w:tcW w:w="1867" w:type="dxa"/>
            <w:vAlign w:val="center"/>
          </w:tcPr>
          <w:p w14:paraId="3B340B1B" w14:textId="7357A8FC" w:rsidR="006F735C" w:rsidRPr="00D948C1" w:rsidRDefault="006F735C" w:rsidP="006C0086">
            <w:pPr>
              <w:tabs>
                <w:tab w:val="decimal" w:pos="1080"/>
              </w:tabs>
              <w:spacing w:line="276" w:lineRule="auto"/>
              <w:jc w:val="right"/>
              <w:rPr>
                <w:szCs w:val="24"/>
              </w:rPr>
            </w:pPr>
            <w:r w:rsidRPr="00D948C1">
              <w:rPr>
                <w:szCs w:val="24"/>
              </w:rPr>
              <w:t>-</w:t>
            </w:r>
          </w:p>
        </w:tc>
      </w:tr>
      <w:tr w:rsidR="002823FC" w:rsidRPr="00D948C1" w14:paraId="0AFF733D" w14:textId="77777777" w:rsidTr="003572E5">
        <w:trPr>
          <w:trHeight w:val="278"/>
        </w:trPr>
        <w:tc>
          <w:tcPr>
            <w:tcW w:w="4680" w:type="dxa"/>
          </w:tcPr>
          <w:p w14:paraId="06EF4D14" w14:textId="669EBEB8" w:rsidR="002823FC" w:rsidRPr="00D948C1" w:rsidRDefault="002823FC" w:rsidP="006C0086">
            <w:pPr>
              <w:tabs>
                <w:tab w:val="left" w:pos="720"/>
                <w:tab w:val="center" w:pos="6930"/>
              </w:tabs>
              <w:spacing w:line="276" w:lineRule="auto"/>
              <w:rPr>
                <w:szCs w:val="24"/>
              </w:rPr>
            </w:pPr>
            <w:r w:rsidRPr="00D948C1">
              <w:rPr>
                <w:szCs w:val="24"/>
              </w:rPr>
              <w:t>Total</w:t>
            </w:r>
          </w:p>
        </w:tc>
        <w:tc>
          <w:tcPr>
            <w:tcW w:w="1867" w:type="dxa"/>
            <w:vAlign w:val="center"/>
          </w:tcPr>
          <w:p w14:paraId="256CA0A7" w14:textId="784D56D3" w:rsidR="002823FC" w:rsidRPr="00D948C1" w:rsidRDefault="006F735C" w:rsidP="006C0086">
            <w:pPr>
              <w:tabs>
                <w:tab w:val="decimal" w:pos="1080"/>
              </w:tabs>
              <w:spacing w:line="276" w:lineRule="auto"/>
              <w:jc w:val="right"/>
              <w:rPr>
                <w:szCs w:val="24"/>
              </w:rPr>
            </w:pPr>
            <w:r w:rsidRPr="00D948C1">
              <w:rPr>
                <w:szCs w:val="24"/>
              </w:rPr>
              <w:t>8,914</w:t>
            </w:r>
          </w:p>
        </w:tc>
        <w:tc>
          <w:tcPr>
            <w:tcW w:w="1867" w:type="dxa"/>
            <w:vAlign w:val="center"/>
          </w:tcPr>
          <w:p w14:paraId="639509B9" w14:textId="37D63989" w:rsidR="002823FC" w:rsidRPr="00D948C1" w:rsidRDefault="002823FC" w:rsidP="006C0086">
            <w:pPr>
              <w:tabs>
                <w:tab w:val="decimal" w:pos="1080"/>
              </w:tabs>
              <w:spacing w:line="276" w:lineRule="auto"/>
              <w:jc w:val="right"/>
              <w:rPr>
                <w:szCs w:val="24"/>
              </w:rPr>
            </w:pPr>
            <w:r w:rsidRPr="00D948C1">
              <w:rPr>
                <w:szCs w:val="24"/>
              </w:rPr>
              <w:t>15,940</w:t>
            </w:r>
          </w:p>
        </w:tc>
      </w:tr>
    </w:tbl>
    <w:p w14:paraId="04F4A84E" w14:textId="77777777" w:rsidR="0008007D" w:rsidRPr="00D948C1" w:rsidRDefault="0008007D" w:rsidP="006C0086">
      <w:pPr>
        <w:spacing w:line="276" w:lineRule="auto"/>
        <w:rPr>
          <w:b/>
          <w:sz w:val="22"/>
        </w:rPr>
      </w:pPr>
    </w:p>
    <w:p w14:paraId="38E97434" w14:textId="4FBFC0C4" w:rsidR="0083182E" w:rsidRPr="00D948C1" w:rsidRDefault="001C592E" w:rsidP="006C0086">
      <w:pPr>
        <w:pStyle w:val="Heading2"/>
        <w:spacing w:line="276" w:lineRule="auto"/>
        <w:ind w:left="720" w:hanging="720"/>
        <w:jc w:val="left"/>
        <w:rPr>
          <w:sz w:val="24"/>
          <w:szCs w:val="24"/>
        </w:rPr>
      </w:pPr>
      <w:bookmarkStart w:id="70" w:name="_Toc171068808"/>
      <w:r w:rsidRPr="00D948C1">
        <w:rPr>
          <w:sz w:val="24"/>
          <w:szCs w:val="24"/>
        </w:rPr>
        <w:t>2</w:t>
      </w:r>
      <w:r w:rsidR="00535820" w:rsidRPr="00D948C1">
        <w:rPr>
          <w:sz w:val="24"/>
          <w:szCs w:val="24"/>
        </w:rPr>
        <w:t>4</w:t>
      </w:r>
      <w:r w:rsidR="0083182E" w:rsidRPr="00D948C1">
        <w:rPr>
          <w:sz w:val="24"/>
          <w:szCs w:val="24"/>
        </w:rPr>
        <w:tab/>
      </w:r>
      <w:bookmarkStart w:id="71" w:name="N24"/>
      <w:bookmarkEnd w:id="71"/>
      <w:r w:rsidR="0083182E" w:rsidRPr="00D948C1">
        <w:rPr>
          <w:sz w:val="24"/>
          <w:szCs w:val="24"/>
        </w:rPr>
        <w:t>Adjust for items included in the net surplus/(deficit) on the provision of services that are investing and financing activities</w:t>
      </w:r>
      <w:bookmarkEnd w:id="70"/>
    </w:p>
    <w:p w14:paraId="6F1BCDBF" w14:textId="77777777" w:rsidR="00D90216" w:rsidRPr="00D948C1" w:rsidRDefault="00D90216" w:rsidP="006C0086">
      <w:pPr>
        <w:spacing w:line="276" w:lineRule="auto"/>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2823FC" w:rsidRPr="00D948C1" w14:paraId="2B0533FB" w14:textId="77777777" w:rsidTr="00611673">
        <w:trPr>
          <w:trHeight w:hRule="exact" w:val="633"/>
          <w:tblHeader/>
        </w:trPr>
        <w:tc>
          <w:tcPr>
            <w:tcW w:w="4680" w:type="dxa"/>
            <w:shd w:val="clear" w:color="auto" w:fill="BD2716"/>
          </w:tcPr>
          <w:p w14:paraId="18B116F1" w14:textId="77777777" w:rsidR="002823FC" w:rsidRPr="00D948C1" w:rsidRDefault="002823FC" w:rsidP="006C0086">
            <w:pPr>
              <w:tabs>
                <w:tab w:val="left" w:pos="720"/>
                <w:tab w:val="center" w:pos="6930"/>
              </w:tabs>
              <w:spacing w:line="276" w:lineRule="auto"/>
              <w:rPr>
                <w:color w:val="FFFFFF" w:themeColor="background1"/>
                <w:szCs w:val="24"/>
              </w:rPr>
            </w:pPr>
          </w:p>
        </w:tc>
        <w:tc>
          <w:tcPr>
            <w:tcW w:w="1867" w:type="dxa"/>
            <w:shd w:val="clear" w:color="auto" w:fill="BD2716"/>
            <w:vAlign w:val="center"/>
          </w:tcPr>
          <w:p w14:paraId="4E318D16" w14:textId="77777777" w:rsidR="002823FC" w:rsidRPr="00D948C1" w:rsidRDefault="002823FC" w:rsidP="006C0086">
            <w:pPr>
              <w:spacing w:line="276" w:lineRule="auto"/>
              <w:jc w:val="right"/>
              <w:rPr>
                <w:color w:val="FFFFFF" w:themeColor="background1"/>
                <w:szCs w:val="24"/>
              </w:rPr>
            </w:pPr>
            <w:r w:rsidRPr="00D948C1">
              <w:rPr>
                <w:color w:val="FFFFFF" w:themeColor="background1"/>
                <w:szCs w:val="24"/>
              </w:rPr>
              <w:t>2023/24</w:t>
            </w:r>
          </w:p>
          <w:p w14:paraId="5CC9ED72" w14:textId="5DFE6A38" w:rsidR="002823FC" w:rsidRPr="00D948C1" w:rsidRDefault="002823FC" w:rsidP="006C0086">
            <w:pPr>
              <w:spacing w:line="276" w:lineRule="auto"/>
              <w:jc w:val="right"/>
              <w:rPr>
                <w:color w:val="FFFFFF" w:themeColor="background1"/>
                <w:szCs w:val="24"/>
              </w:rPr>
            </w:pPr>
            <w:r w:rsidRPr="00D948C1">
              <w:rPr>
                <w:color w:val="FFFFFF" w:themeColor="background1"/>
                <w:szCs w:val="24"/>
              </w:rPr>
              <w:t>£000</w:t>
            </w:r>
          </w:p>
        </w:tc>
        <w:tc>
          <w:tcPr>
            <w:tcW w:w="1867" w:type="dxa"/>
            <w:shd w:val="clear" w:color="auto" w:fill="BD2716"/>
            <w:vAlign w:val="center"/>
          </w:tcPr>
          <w:p w14:paraId="524A227E" w14:textId="77777777" w:rsidR="002823FC" w:rsidRPr="00D948C1" w:rsidRDefault="002823FC" w:rsidP="006C0086">
            <w:pPr>
              <w:spacing w:line="276" w:lineRule="auto"/>
              <w:jc w:val="right"/>
              <w:rPr>
                <w:color w:val="FFFFFF" w:themeColor="background1"/>
                <w:szCs w:val="24"/>
              </w:rPr>
            </w:pPr>
            <w:r w:rsidRPr="00D948C1">
              <w:rPr>
                <w:color w:val="FFFFFF" w:themeColor="background1"/>
                <w:szCs w:val="24"/>
              </w:rPr>
              <w:t>2022/23</w:t>
            </w:r>
          </w:p>
          <w:p w14:paraId="48CC5AD3" w14:textId="011A1C96" w:rsidR="002823FC" w:rsidRPr="00D948C1" w:rsidRDefault="002823FC" w:rsidP="006C0086">
            <w:pPr>
              <w:spacing w:line="276" w:lineRule="auto"/>
              <w:jc w:val="right"/>
              <w:rPr>
                <w:color w:val="FFFFFF" w:themeColor="background1"/>
                <w:szCs w:val="24"/>
              </w:rPr>
            </w:pPr>
            <w:r w:rsidRPr="00D948C1">
              <w:rPr>
                <w:color w:val="FFFFFF" w:themeColor="background1"/>
                <w:szCs w:val="24"/>
              </w:rPr>
              <w:t>£000</w:t>
            </w:r>
          </w:p>
        </w:tc>
      </w:tr>
      <w:tr w:rsidR="002823FC" w:rsidRPr="00D948C1" w14:paraId="4E9E2D50" w14:textId="77777777" w:rsidTr="003572E5">
        <w:trPr>
          <w:trHeight w:hRule="exact" w:val="278"/>
        </w:trPr>
        <w:tc>
          <w:tcPr>
            <w:tcW w:w="4680" w:type="dxa"/>
          </w:tcPr>
          <w:p w14:paraId="6C76CCF2" w14:textId="77777777" w:rsidR="002823FC" w:rsidRPr="00D948C1" w:rsidRDefault="002823FC" w:rsidP="006C0086">
            <w:pPr>
              <w:tabs>
                <w:tab w:val="left" w:pos="720"/>
                <w:tab w:val="center" w:pos="6930"/>
              </w:tabs>
              <w:spacing w:line="276" w:lineRule="auto"/>
              <w:rPr>
                <w:szCs w:val="24"/>
              </w:rPr>
            </w:pPr>
            <w:r w:rsidRPr="00D948C1">
              <w:rPr>
                <w:szCs w:val="24"/>
              </w:rPr>
              <w:t>Interest received</w:t>
            </w:r>
          </w:p>
        </w:tc>
        <w:tc>
          <w:tcPr>
            <w:tcW w:w="1867" w:type="dxa"/>
            <w:vAlign w:val="center"/>
          </w:tcPr>
          <w:p w14:paraId="24A13FE6" w14:textId="0B29962B" w:rsidR="002823FC" w:rsidRPr="00D948C1" w:rsidRDefault="002823FC" w:rsidP="006C0086">
            <w:pPr>
              <w:tabs>
                <w:tab w:val="decimal" w:pos="1080"/>
              </w:tabs>
              <w:spacing w:line="276" w:lineRule="auto"/>
              <w:jc w:val="right"/>
              <w:rPr>
                <w:szCs w:val="24"/>
              </w:rPr>
            </w:pPr>
            <w:r w:rsidRPr="00D948C1">
              <w:rPr>
                <w:szCs w:val="24"/>
              </w:rPr>
              <w:t>(</w:t>
            </w:r>
            <w:r w:rsidR="006F735C" w:rsidRPr="00D948C1">
              <w:rPr>
                <w:szCs w:val="24"/>
              </w:rPr>
              <w:t>763</w:t>
            </w:r>
            <w:r w:rsidRPr="00D948C1">
              <w:rPr>
                <w:szCs w:val="24"/>
              </w:rPr>
              <w:t>)</w:t>
            </w:r>
          </w:p>
        </w:tc>
        <w:tc>
          <w:tcPr>
            <w:tcW w:w="1867" w:type="dxa"/>
            <w:vAlign w:val="center"/>
          </w:tcPr>
          <w:p w14:paraId="7B291C64" w14:textId="289DC9A8" w:rsidR="002823FC" w:rsidRPr="00D948C1" w:rsidRDefault="002823FC" w:rsidP="006C0086">
            <w:pPr>
              <w:tabs>
                <w:tab w:val="decimal" w:pos="1080"/>
              </w:tabs>
              <w:spacing w:line="276" w:lineRule="auto"/>
              <w:jc w:val="right"/>
              <w:rPr>
                <w:szCs w:val="24"/>
              </w:rPr>
            </w:pPr>
            <w:r w:rsidRPr="00D948C1">
              <w:rPr>
                <w:szCs w:val="24"/>
              </w:rPr>
              <w:t>(667)</w:t>
            </w:r>
          </w:p>
        </w:tc>
      </w:tr>
      <w:tr w:rsidR="002823FC" w:rsidRPr="00D948C1" w14:paraId="40CF4BAA" w14:textId="77777777" w:rsidTr="003572E5">
        <w:trPr>
          <w:trHeight w:hRule="exact" w:val="278"/>
        </w:trPr>
        <w:tc>
          <w:tcPr>
            <w:tcW w:w="4680" w:type="dxa"/>
          </w:tcPr>
          <w:p w14:paraId="253D3EE4" w14:textId="77777777" w:rsidR="002823FC" w:rsidRPr="00D948C1" w:rsidRDefault="002823FC" w:rsidP="006C0086">
            <w:pPr>
              <w:tabs>
                <w:tab w:val="left" w:pos="720"/>
                <w:tab w:val="center" w:pos="6930"/>
              </w:tabs>
              <w:spacing w:line="276" w:lineRule="auto"/>
              <w:rPr>
                <w:szCs w:val="24"/>
              </w:rPr>
            </w:pPr>
            <w:r w:rsidRPr="00D948C1">
              <w:rPr>
                <w:szCs w:val="24"/>
              </w:rPr>
              <w:t>Interest paid</w:t>
            </w:r>
          </w:p>
        </w:tc>
        <w:tc>
          <w:tcPr>
            <w:tcW w:w="1867" w:type="dxa"/>
            <w:vAlign w:val="center"/>
          </w:tcPr>
          <w:p w14:paraId="39A268BA" w14:textId="67DA7720" w:rsidR="002823FC" w:rsidRPr="00D948C1" w:rsidRDefault="002823FC" w:rsidP="006C0086">
            <w:pPr>
              <w:tabs>
                <w:tab w:val="decimal" w:pos="1080"/>
              </w:tabs>
              <w:spacing w:line="276" w:lineRule="auto"/>
              <w:jc w:val="right"/>
              <w:rPr>
                <w:szCs w:val="24"/>
              </w:rPr>
            </w:pPr>
            <w:r w:rsidRPr="00D948C1">
              <w:rPr>
                <w:szCs w:val="24"/>
              </w:rPr>
              <w:t>1,3</w:t>
            </w:r>
            <w:r w:rsidR="006F735C" w:rsidRPr="00D948C1">
              <w:rPr>
                <w:szCs w:val="24"/>
              </w:rPr>
              <w:t>41</w:t>
            </w:r>
            <w:r w:rsidRPr="00D948C1">
              <w:rPr>
                <w:szCs w:val="24"/>
              </w:rPr>
              <w:t xml:space="preserve"> </w:t>
            </w:r>
          </w:p>
        </w:tc>
        <w:tc>
          <w:tcPr>
            <w:tcW w:w="1867" w:type="dxa"/>
            <w:vAlign w:val="center"/>
          </w:tcPr>
          <w:p w14:paraId="09FD79E2" w14:textId="7324D2F6" w:rsidR="002823FC" w:rsidRPr="00D948C1" w:rsidRDefault="002823FC" w:rsidP="006C0086">
            <w:pPr>
              <w:tabs>
                <w:tab w:val="decimal" w:pos="1080"/>
              </w:tabs>
              <w:spacing w:line="276" w:lineRule="auto"/>
              <w:jc w:val="right"/>
              <w:rPr>
                <w:szCs w:val="24"/>
              </w:rPr>
            </w:pPr>
            <w:r w:rsidRPr="00D948C1">
              <w:rPr>
                <w:szCs w:val="24"/>
              </w:rPr>
              <w:t xml:space="preserve">1,366 </w:t>
            </w:r>
          </w:p>
        </w:tc>
      </w:tr>
    </w:tbl>
    <w:p w14:paraId="6B969D16" w14:textId="77777777" w:rsidR="00D90216" w:rsidRPr="00D948C1" w:rsidRDefault="00D90216" w:rsidP="006C0086">
      <w:pPr>
        <w:tabs>
          <w:tab w:val="left" w:pos="720"/>
          <w:tab w:val="right" w:pos="5580"/>
          <w:tab w:val="right" w:pos="7740"/>
        </w:tabs>
        <w:spacing w:line="276" w:lineRule="auto"/>
        <w:rPr>
          <w:sz w:val="16"/>
          <w:szCs w:val="16"/>
        </w:rPr>
      </w:pPr>
    </w:p>
    <w:p w14:paraId="0C153727" w14:textId="145993E8" w:rsidR="003B0AD2" w:rsidRPr="00D948C1" w:rsidRDefault="000B3A5D" w:rsidP="006C0086">
      <w:pPr>
        <w:spacing w:line="276" w:lineRule="auto"/>
        <w:ind w:left="720"/>
        <w:rPr>
          <w:szCs w:val="24"/>
        </w:rPr>
      </w:pPr>
      <w:r w:rsidRPr="00D948C1">
        <w:rPr>
          <w:szCs w:val="24"/>
        </w:rPr>
        <w:t xml:space="preserve">Interest paid includes </w:t>
      </w:r>
      <w:r w:rsidR="0073567B" w:rsidRPr="00D948C1">
        <w:rPr>
          <w:szCs w:val="24"/>
        </w:rPr>
        <w:t xml:space="preserve">interest </w:t>
      </w:r>
      <w:r w:rsidRPr="00D948C1">
        <w:rPr>
          <w:szCs w:val="24"/>
        </w:rPr>
        <w:t>payments in respect of both finance leases and</w:t>
      </w:r>
      <w:r w:rsidR="0076078A">
        <w:rPr>
          <w:szCs w:val="24"/>
        </w:rPr>
        <w:t xml:space="preserve"> Private Finance Initiative</w:t>
      </w:r>
      <w:r w:rsidR="0076078A" w:rsidRPr="00D948C1">
        <w:rPr>
          <w:szCs w:val="24"/>
        </w:rPr>
        <w:t xml:space="preserve"> </w:t>
      </w:r>
      <w:r w:rsidRPr="00D948C1">
        <w:rPr>
          <w:szCs w:val="24"/>
        </w:rPr>
        <w:t xml:space="preserve">schemes (see accounting policy </w:t>
      </w:r>
      <w:hyperlink w:anchor="N29" w:history="1">
        <w:r w:rsidR="00C52475" w:rsidRPr="00D948C1">
          <w:rPr>
            <w:rStyle w:val="Hyperlink"/>
            <w:szCs w:val="24"/>
          </w:rPr>
          <w:t>N</w:t>
        </w:r>
        <w:r w:rsidRPr="00D948C1">
          <w:rPr>
            <w:rStyle w:val="Hyperlink"/>
            <w:szCs w:val="24"/>
          </w:rPr>
          <w:t xml:space="preserve">ote </w:t>
        </w:r>
        <w:r w:rsidR="00AB47D7" w:rsidRPr="00D948C1">
          <w:rPr>
            <w:rStyle w:val="Hyperlink"/>
            <w:szCs w:val="24"/>
          </w:rPr>
          <w:t>29</w:t>
        </w:r>
      </w:hyperlink>
      <w:r w:rsidRPr="00D948C1">
        <w:rPr>
          <w:szCs w:val="24"/>
        </w:rPr>
        <w:t>, sectio</w:t>
      </w:r>
      <w:r w:rsidR="006F6C1D" w:rsidRPr="00D948C1">
        <w:rPr>
          <w:szCs w:val="24"/>
        </w:rPr>
        <w:t>n j</w:t>
      </w:r>
      <w:r w:rsidRPr="00D948C1">
        <w:rPr>
          <w:szCs w:val="24"/>
        </w:rPr>
        <w:t>)</w:t>
      </w:r>
    </w:p>
    <w:p w14:paraId="60823CB7" w14:textId="0CD1F0DC" w:rsidR="00EC0C46" w:rsidRPr="00D948C1" w:rsidRDefault="00EC0C46" w:rsidP="006C0086">
      <w:pPr>
        <w:spacing w:line="276" w:lineRule="auto"/>
        <w:rPr>
          <w:b/>
          <w:sz w:val="22"/>
          <w:szCs w:val="22"/>
        </w:rPr>
      </w:pPr>
    </w:p>
    <w:p w14:paraId="7F60280C" w14:textId="16CEB979" w:rsidR="00925174" w:rsidRPr="00D948C1" w:rsidRDefault="001C592E" w:rsidP="006C0086">
      <w:pPr>
        <w:pStyle w:val="Heading2"/>
        <w:spacing w:line="276" w:lineRule="auto"/>
        <w:jc w:val="left"/>
        <w:rPr>
          <w:sz w:val="24"/>
          <w:szCs w:val="24"/>
        </w:rPr>
      </w:pPr>
      <w:bookmarkStart w:id="72" w:name="_Toc171068809"/>
      <w:r w:rsidRPr="00D948C1">
        <w:rPr>
          <w:sz w:val="24"/>
          <w:szCs w:val="24"/>
        </w:rPr>
        <w:t>2</w:t>
      </w:r>
      <w:r w:rsidR="00535820" w:rsidRPr="00D948C1">
        <w:rPr>
          <w:sz w:val="24"/>
          <w:szCs w:val="24"/>
        </w:rPr>
        <w:t>5</w:t>
      </w:r>
      <w:r w:rsidR="0029602A" w:rsidRPr="00D948C1">
        <w:rPr>
          <w:sz w:val="24"/>
          <w:szCs w:val="24"/>
        </w:rPr>
        <w:tab/>
      </w:r>
      <w:r w:rsidR="00925174" w:rsidRPr="00D948C1">
        <w:rPr>
          <w:sz w:val="24"/>
          <w:szCs w:val="24"/>
        </w:rPr>
        <w:t>Reconciliation of liabilities arising from financing activities</w:t>
      </w:r>
      <w:bookmarkEnd w:id="72"/>
    </w:p>
    <w:p w14:paraId="26ED3FF5" w14:textId="77777777" w:rsidR="00925174" w:rsidRPr="00D948C1" w:rsidRDefault="00925174" w:rsidP="006C0086">
      <w:pPr>
        <w:spacing w:line="276" w:lineRule="auto"/>
        <w:rPr>
          <w:szCs w:val="24"/>
        </w:rPr>
      </w:pPr>
    </w:p>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49343B" w:rsidRPr="00D948C1" w14:paraId="4BD3803D" w14:textId="77777777" w:rsidTr="00611673">
        <w:trPr>
          <w:tblHeader/>
        </w:trPr>
        <w:tc>
          <w:tcPr>
            <w:tcW w:w="2163" w:type="dxa"/>
            <w:shd w:val="clear" w:color="auto" w:fill="BD2716"/>
          </w:tcPr>
          <w:p w14:paraId="76BB6D8C" w14:textId="77777777" w:rsidR="0049343B" w:rsidRPr="00D948C1" w:rsidRDefault="0049343B" w:rsidP="006C0086">
            <w:pPr>
              <w:spacing w:line="276" w:lineRule="auto"/>
              <w:rPr>
                <w:color w:val="FFFFFF" w:themeColor="background1"/>
                <w:szCs w:val="24"/>
              </w:rPr>
            </w:pPr>
          </w:p>
        </w:tc>
        <w:tc>
          <w:tcPr>
            <w:tcW w:w="1972" w:type="dxa"/>
            <w:shd w:val="clear" w:color="auto" w:fill="BD2716"/>
            <w:vAlign w:val="center"/>
          </w:tcPr>
          <w:p w14:paraId="0B49A580" w14:textId="77777777" w:rsidR="0049343B" w:rsidRPr="00D948C1" w:rsidRDefault="0049343B" w:rsidP="006C0086">
            <w:pPr>
              <w:spacing w:line="276" w:lineRule="auto"/>
              <w:jc w:val="right"/>
              <w:rPr>
                <w:rFonts w:cs="Arial"/>
                <w:color w:val="FFFFFF" w:themeColor="background1"/>
                <w:szCs w:val="24"/>
              </w:rPr>
            </w:pPr>
            <w:r w:rsidRPr="00D948C1">
              <w:rPr>
                <w:rFonts w:cs="Arial"/>
                <w:color w:val="FFFFFF" w:themeColor="background1"/>
                <w:szCs w:val="24"/>
              </w:rPr>
              <w:t>Long</w:t>
            </w:r>
            <w:r w:rsidR="00A16368" w:rsidRPr="00D948C1">
              <w:rPr>
                <w:rFonts w:cs="Arial"/>
                <w:color w:val="FFFFFF" w:themeColor="background1"/>
                <w:szCs w:val="24"/>
              </w:rPr>
              <w:t>-</w:t>
            </w:r>
            <w:r w:rsidRPr="00D948C1">
              <w:rPr>
                <w:rFonts w:cs="Arial"/>
                <w:color w:val="FFFFFF" w:themeColor="background1"/>
                <w:szCs w:val="24"/>
              </w:rPr>
              <w:t>Term borrowings</w:t>
            </w:r>
          </w:p>
          <w:p w14:paraId="0F668202" w14:textId="00A2C79C" w:rsidR="001431C3" w:rsidRPr="00D948C1" w:rsidRDefault="001431C3"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1966" w:type="dxa"/>
            <w:shd w:val="clear" w:color="auto" w:fill="BD2716"/>
            <w:vAlign w:val="center"/>
          </w:tcPr>
          <w:p w14:paraId="7A4BEA8A" w14:textId="77777777" w:rsidR="0049343B" w:rsidRPr="00D948C1" w:rsidRDefault="0049343B" w:rsidP="006C0086">
            <w:pPr>
              <w:spacing w:line="276" w:lineRule="auto"/>
              <w:jc w:val="right"/>
              <w:rPr>
                <w:rFonts w:cs="Arial"/>
                <w:color w:val="FFFFFF" w:themeColor="background1"/>
                <w:szCs w:val="24"/>
              </w:rPr>
            </w:pPr>
            <w:r w:rsidRPr="00D948C1">
              <w:rPr>
                <w:rFonts w:cs="Arial"/>
                <w:color w:val="FFFFFF" w:themeColor="background1"/>
                <w:szCs w:val="24"/>
              </w:rPr>
              <w:t>Short</w:t>
            </w:r>
            <w:r w:rsidR="00A16368" w:rsidRPr="00D948C1">
              <w:rPr>
                <w:rFonts w:cs="Arial"/>
                <w:color w:val="FFFFFF" w:themeColor="background1"/>
                <w:szCs w:val="24"/>
              </w:rPr>
              <w:t>-</w:t>
            </w:r>
            <w:r w:rsidRPr="00D948C1">
              <w:rPr>
                <w:rFonts w:cs="Arial"/>
                <w:color w:val="FFFFFF" w:themeColor="background1"/>
                <w:szCs w:val="24"/>
              </w:rPr>
              <w:t>Term borrowings</w:t>
            </w:r>
          </w:p>
          <w:p w14:paraId="6A963ACD" w14:textId="096F1019" w:rsidR="001431C3" w:rsidRPr="00D948C1" w:rsidRDefault="001431C3"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1971" w:type="dxa"/>
            <w:shd w:val="clear" w:color="auto" w:fill="BD2716"/>
            <w:vAlign w:val="center"/>
          </w:tcPr>
          <w:p w14:paraId="35C3B3E0" w14:textId="77777777" w:rsidR="0049343B" w:rsidRPr="00D948C1" w:rsidRDefault="0049343B" w:rsidP="006C0086">
            <w:pPr>
              <w:spacing w:line="276" w:lineRule="auto"/>
              <w:jc w:val="right"/>
              <w:rPr>
                <w:rFonts w:cs="Arial"/>
                <w:color w:val="FFFFFF" w:themeColor="background1"/>
                <w:szCs w:val="24"/>
              </w:rPr>
            </w:pPr>
            <w:r w:rsidRPr="00D948C1">
              <w:rPr>
                <w:rFonts w:cs="Arial"/>
                <w:color w:val="FFFFFF" w:themeColor="background1"/>
                <w:szCs w:val="24"/>
              </w:rPr>
              <w:t>Lease liabilities</w:t>
            </w:r>
          </w:p>
          <w:p w14:paraId="205AAD88" w14:textId="3BAA8962" w:rsidR="001431C3" w:rsidRPr="00D948C1" w:rsidRDefault="001431C3" w:rsidP="006C0086">
            <w:pPr>
              <w:spacing w:line="276" w:lineRule="auto"/>
              <w:jc w:val="right"/>
              <w:rPr>
                <w:rFonts w:cs="Arial"/>
                <w:color w:val="FFFFFF" w:themeColor="background1"/>
                <w:szCs w:val="24"/>
              </w:rPr>
            </w:pPr>
            <w:r w:rsidRPr="00D948C1">
              <w:rPr>
                <w:rFonts w:cs="Arial"/>
                <w:color w:val="FFFFFF" w:themeColor="background1"/>
                <w:szCs w:val="24"/>
              </w:rPr>
              <w:t>£000</w:t>
            </w:r>
          </w:p>
        </w:tc>
        <w:tc>
          <w:tcPr>
            <w:tcW w:w="1971" w:type="dxa"/>
            <w:shd w:val="clear" w:color="auto" w:fill="BD2716"/>
            <w:vAlign w:val="center"/>
          </w:tcPr>
          <w:p w14:paraId="030EA4C0" w14:textId="77777777" w:rsidR="0049343B" w:rsidRPr="00D948C1" w:rsidRDefault="0049343B" w:rsidP="006C0086">
            <w:pPr>
              <w:spacing w:line="276" w:lineRule="auto"/>
              <w:jc w:val="right"/>
              <w:rPr>
                <w:rFonts w:cs="Arial"/>
                <w:color w:val="FFFFFF" w:themeColor="background1"/>
                <w:szCs w:val="24"/>
              </w:rPr>
            </w:pPr>
            <w:r w:rsidRPr="00D948C1">
              <w:rPr>
                <w:rFonts w:cs="Arial"/>
                <w:color w:val="FFFFFF" w:themeColor="background1"/>
                <w:szCs w:val="24"/>
              </w:rPr>
              <w:t>Total</w:t>
            </w:r>
          </w:p>
          <w:p w14:paraId="51BFF2D4" w14:textId="2D875BE9" w:rsidR="001431C3" w:rsidRPr="00D948C1" w:rsidRDefault="001431C3" w:rsidP="006C0086">
            <w:pPr>
              <w:spacing w:line="276" w:lineRule="auto"/>
              <w:jc w:val="right"/>
              <w:rPr>
                <w:rFonts w:cs="Arial"/>
                <w:color w:val="FFFFFF" w:themeColor="background1"/>
                <w:szCs w:val="24"/>
              </w:rPr>
            </w:pPr>
            <w:r w:rsidRPr="00D948C1">
              <w:rPr>
                <w:rFonts w:cs="Arial"/>
                <w:color w:val="FFFFFF" w:themeColor="background1"/>
                <w:szCs w:val="24"/>
              </w:rPr>
              <w:t>£000</w:t>
            </w:r>
          </w:p>
        </w:tc>
      </w:tr>
      <w:tr w:rsidR="002823FC" w:rsidRPr="00D948C1" w14:paraId="2CE1AB02" w14:textId="77777777" w:rsidTr="009C44DD">
        <w:tc>
          <w:tcPr>
            <w:tcW w:w="2163" w:type="dxa"/>
          </w:tcPr>
          <w:p w14:paraId="21FB4E38" w14:textId="7EB9B217" w:rsidR="002823FC" w:rsidRPr="00D948C1" w:rsidRDefault="002823FC" w:rsidP="006C0086">
            <w:pPr>
              <w:spacing w:line="276" w:lineRule="auto"/>
              <w:rPr>
                <w:szCs w:val="24"/>
              </w:rPr>
            </w:pPr>
            <w:r w:rsidRPr="00D948C1">
              <w:rPr>
                <w:szCs w:val="24"/>
              </w:rPr>
              <w:t>1 April 2023</w:t>
            </w:r>
          </w:p>
        </w:tc>
        <w:tc>
          <w:tcPr>
            <w:tcW w:w="1972" w:type="dxa"/>
          </w:tcPr>
          <w:p w14:paraId="40F47A68" w14:textId="53EC9870" w:rsidR="002823FC" w:rsidRPr="00D948C1" w:rsidRDefault="002823FC" w:rsidP="006C0086">
            <w:pPr>
              <w:tabs>
                <w:tab w:val="decimal" w:pos="1080"/>
              </w:tabs>
              <w:spacing w:line="276" w:lineRule="auto"/>
              <w:jc w:val="right"/>
              <w:rPr>
                <w:szCs w:val="24"/>
              </w:rPr>
            </w:pPr>
            <w:r w:rsidRPr="00D948C1">
              <w:rPr>
                <w:szCs w:val="24"/>
              </w:rPr>
              <w:t>13,867</w:t>
            </w:r>
          </w:p>
        </w:tc>
        <w:tc>
          <w:tcPr>
            <w:tcW w:w="1966" w:type="dxa"/>
          </w:tcPr>
          <w:p w14:paraId="7E08CD3B" w14:textId="560006CA" w:rsidR="002823FC" w:rsidRPr="00D948C1" w:rsidRDefault="002823FC" w:rsidP="006C0086">
            <w:pPr>
              <w:tabs>
                <w:tab w:val="decimal" w:pos="1080"/>
              </w:tabs>
              <w:spacing w:line="276" w:lineRule="auto"/>
              <w:jc w:val="right"/>
              <w:rPr>
                <w:szCs w:val="24"/>
              </w:rPr>
            </w:pPr>
            <w:r w:rsidRPr="00D948C1">
              <w:rPr>
                <w:szCs w:val="24"/>
              </w:rPr>
              <w:t>484</w:t>
            </w:r>
          </w:p>
        </w:tc>
        <w:tc>
          <w:tcPr>
            <w:tcW w:w="1971" w:type="dxa"/>
          </w:tcPr>
          <w:p w14:paraId="32B64E64" w14:textId="6575EDBF" w:rsidR="002823FC" w:rsidRPr="00D948C1" w:rsidRDefault="002823FC" w:rsidP="006C0086">
            <w:pPr>
              <w:tabs>
                <w:tab w:val="decimal" w:pos="1080"/>
              </w:tabs>
              <w:spacing w:line="276" w:lineRule="auto"/>
              <w:jc w:val="right"/>
              <w:rPr>
                <w:szCs w:val="24"/>
              </w:rPr>
            </w:pPr>
            <w:r w:rsidRPr="00D948C1">
              <w:rPr>
                <w:szCs w:val="24"/>
              </w:rPr>
              <w:t>33</w:t>
            </w:r>
          </w:p>
        </w:tc>
        <w:tc>
          <w:tcPr>
            <w:tcW w:w="1971" w:type="dxa"/>
          </w:tcPr>
          <w:p w14:paraId="16EA12D8" w14:textId="3169C1AE" w:rsidR="002823FC" w:rsidRPr="00D948C1" w:rsidRDefault="002823FC" w:rsidP="006C0086">
            <w:pPr>
              <w:tabs>
                <w:tab w:val="decimal" w:pos="1080"/>
              </w:tabs>
              <w:spacing w:line="276" w:lineRule="auto"/>
              <w:jc w:val="right"/>
              <w:rPr>
                <w:szCs w:val="24"/>
              </w:rPr>
            </w:pPr>
            <w:r w:rsidRPr="00D948C1">
              <w:rPr>
                <w:szCs w:val="24"/>
              </w:rPr>
              <w:t>14,383</w:t>
            </w:r>
          </w:p>
        </w:tc>
      </w:tr>
    </w:tbl>
    <w:p w14:paraId="73FC0C18" w14:textId="77777777" w:rsidR="00EC3487" w:rsidRPr="00D948C1" w:rsidRDefault="00EC3487" w:rsidP="006C0086">
      <w:pPr>
        <w:spacing w:line="276" w:lineRule="auto"/>
      </w:pPr>
    </w:p>
    <w:tbl>
      <w:tblPr>
        <w:tblStyle w:val="TableGrid"/>
        <w:tblW w:w="0" w:type="auto"/>
        <w:tblInd w:w="720" w:type="dxa"/>
        <w:tblLook w:val="04A0" w:firstRow="1" w:lastRow="0" w:firstColumn="1" w:lastColumn="0" w:noHBand="0" w:noVBand="1"/>
      </w:tblPr>
      <w:tblGrid>
        <w:gridCol w:w="2163"/>
        <w:gridCol w:w="1972"/>
        <w:gridCol w:w="669"/>
        <w:gridCol w:w="1297"/>
        <w:gridCol w:w="1971"/>
        <w:gridCol w:w="1971"/>
      </w:tblGrid>
      <w:tr w:rsidR="005C33BD" w:rsidRPr="00D948C1" w14:paraId="5C94C1EC" w14:textId="77777777" w:rsidTr="005C33BD">
        <w:tc>
          <w:tcPr>
            <w:tcW w:w="4804" w:type="dxa"/>
            <w:gridSpan w:val="3"/>
            <w:shd w:val="clear" w:color="auto" w:fill="D9D9D9" w:themeFill="background1" w:themeFillShade="D9"/>
          </w:tcPr>
          <w:p w14:paraId="0EC2574E" w14:textId="77777777" w:rsidR="005C33BD" w:rsidRPr="00D948C1" w:rsidRDefault="005C33BD" w:rsidP="006C0086">
            <w:pPr>
              <w:tabs>
                <w:tab w:val="decimal" w:pos="1080"/>
              </w:tabs>
              <w:spacing w:line="276" w:lineRule="auto"/>
              <w:rPr>
                <w:b/>
                <w:bCs/>
                <w:szCs w:val="24"/>
              </w:rPr>
            </w:pPr>
            <w:r w:rsidRPr="00D948C1">
              <w:rPr>
                <w:b/>
                <w:bCs/>
                <w:szCs w:val="24"/>
              </w:rPr>
              <w:t>Cash flows:</w:t>
            </w:r>
          </w:p>
        </w:tc>
        <w:tc>
          <w:tcPr>
            <w:tcW w:w="5239" w:type="dxa"/>
            <w:gridSpan w:val="3"/>
            <w:shd w:val="clear" w:color="auto" w:fill="D9D9D9" w:themeFill="background1" w:themeFillShade="D9"/>
          </w:tcPr>
          <w:p w14:paraId="6185943D" w14:textId="030FC341" w:rsidR="005C33BD" w:rsidRPr="00D948C1" w:rsidRDefault="005C33BD" w:rsidP="006C0086">
            <w:pPr>
              <w:tabs>
                <w:tab w:val="decimal" w:pos="1080"/>
              </w:tabs>
              <w:spacing w:line="276" w:lineRule="auto"/>
              <w:rPr>
                <w:b/>
                <w:bCs/>
                <w:szCs w:val="24"/>
              </w:rPr>
            </w:pPr>
          </w:p>
        </w:tc>
      </w:tr>
      <w:tr w:rsidR="0049343B" w:rsidRPr="00D948C1" w14:paraId="62E53A17" w14:textId="77777777" w:rsidTr="00746F3D">
        <w:tc>
          <w:tcPr>
            <w:tcW w:w="2163" w:type="dxa"/>
          </w:tcPr>
          <w:p w14:paraId="51E06BCD" w14:textId="77777777" w:rsidR="0049343B" w:rsidRPr="00D948C1" w:rsidRDefault="0049343B" w:rsidP="006C0086">
            <w:pPr>
              <w:spacing w:line="276" w:lineRule="auto"/>
              <w:rPr>
                <w:szCs w:val="24"/>
              </w:rPr>
            </w:pPr>
            <w:r w:rsidRPr="00D948C1">
              <w:rPr>
                <w:szCs w:val="24"/>
              </w:rPr>
              <w:t>Repayment</w:t>
            </w:r>
          </w:p>
        </w:tc>
        <w:tc>
          <w:tcPr>
            <w:tcW w:w="1972" w:type="dxa"/>
            <w:vAlign w:val="center"/>
          </w:tcPr>
          <w:p w14:paraId="299474FC" w14:textId="49AA35F5" w:rsidR="0049343B" w:rsidRPr="00D948C1" w:rsidRDefault="0089045A" w:rsidP="006C0086">
            <w:pPr>
              <w:tabs>
                <w:tab w:val="decimal" w:pos="1080"/>
              </w:tabs>
              <w:spacing w:line="276" w:lineRule="auto"/>
              <w:jc w:val="right"/>
              <w:rPr>
                <w:szCs w:val="24"/>
              </w:rPr>
            </w:pPr>
            <w:r w:rsidRPr="00D948C1">
              <w:rPr>
                <w:szCs w:val="24"/>
              </w:rPr>
              <w:t>(</w:t>
            </w:r>
            <w:r w:rsidR="004D0638" w:rsidRPr="00D948C1">
              <w:rPr>
                <w:szCs w:val="24"/>
              </w:rPr>
              <w:t>528</w:t>
            </w:r>
            <w:r w:rsidRPr="00D948C1">
              <w:rPr>
                <w:szCs w:val="24"/>
              </w:rPr>
              <w:t>)</w:t>
            </w:r>
          </w:p>
        </w:tc>
        <w:tc>
          <w:tcPr>
            <w:tcW w:w="1966" w:type="dxa"/>
            <w:gridSpan w:val="2"/>
            <w:vAlign w:val="center"/>
          </w:tcPr>
          <w:p w14:paraId="3F58B566" w14:textId="43E50B3E" w:rsidR="0049343B" w:rsidRPr="00D948C1" w:rsidRDefault="007B6E29" w:rsidP="006C0086">
            <w:pPr>
              <w:tabs>
                <w:tab w:val="decimal" w:pos="1080"/>
              </w:tabs>
              <w:spacing w:line="276" w:lineRule="auto"/>
              <w:jc w:val="right"/>
              <w:rPr>
                <w:szCs w:val="24"/>
              </w:rPr>
            </w:pPr>
            <w:r w:rsidRPr="00D948C1">
              <w:rPr>
                <w:szCs w:val="24"/>
              </w:rPr>
              <w:t>4</w:t>
            </w:r>
            <w:r w:rsidR="004D0638" w:rsidRPr="00D948C1">
              <w:rPr>
                <w:szCs w:val="24"/>
              </w:rPr>
              <w:t>5</w:t>
            </w:r>
          </w:p>
        </w:tc>
        <w:tc>
          <w:tcPr>
            <w:tcW w:w="1971" w:type="dxa"/>
            <w:vAlign w:val="center"/>
          </w:tcPr>
          <w:p w14:paraId="4933D954" w14:textId="7EE56813" w:rsidR="0049343B" w:rsidRPr="00D948C1" w:rsidRDefault="009D069A" w:rsidP="006C0086">
            <w:pPr>
              <w:tabs>
                <w:tab w:val="decimal" w:pos="1080"/>
              </w:tabs>
              <w:spacing w:line="276" w:lineRule="auto"/>
              <w:jc w:val="right"/>
              <w:rPr>
                <w:szCs w:val="24"/>
              </w:rPr>
            </w:pPr>
            <w:r w:rsidRPr="00D948C1">
              <w:rPr>
                <w:szCs w:val="24"/>
              </w:rPr>
              <w:t>(</w:t>
            </w:r>
            <w:r w:rsidR="001C54C4" w:rsidRPr="00D948C1">
              <w:rPr>
                <w:szCs w:val="24"/>
              </w:rPr>
              <w:t>3</w:t>
            </w:r>
            <w:r w:rsidR="00414EEA" w:rsidRPr="00D948C1">
              <w:rPr>
                <w:szCs w:val="24"/>
              </w:rPr>
              <w:t>3</w:t>
            </w:r>
            <w:r w:rsidRPr="00D948C1">
              <w:rPr>
                <w:szCs w:val="24"/>
              </w:rPr>
              <w:t>)</w:t>
            </w:r>
          </w:p>
        </w:tc>
        <w:tc>
          <w:tcPr>
            <w:tcW w:w="1971" w:type="dxa"/>
            <w:vAlign w:val="center"/>
          </w:tcPr>
          <w:p w14:paraId="65254C19" w14:textId="7F236B49" w:rsidR="0049343B" w:rsidRPr="00D948C1" w:rsidRDefault="00D01A7F" w:rsidP="006C0086">
            <w:pPr>
              <w:tabs>
                <w:tab w:val="decimal" w:pos="1080"/>
              </w:tabs>
              <w:spacing w:line="276" w:lineRule="auto"/>
              <w:jc w:val="right"/>
              <w:rPr>
                <w:szCs w:val="24"/>
              </w:rPr>
            </w:pPr>
            <w:r w:rsidRPr="00D948C1">
              <w:rPr>
                <w:szCs w:val="24"/>
              </w:rPr>
              <w:t>(</w:t>
            </w:r>
            <w:r w:rsidR="004D0638" w:rsidRPr="00D948C1">
              <w:rPr>
                <w:szCs w:val="24"/>
              </w:rPr>
              <w:t>517</w:t>
            </w:r>
            <w:r w:rsidRPr="00D948C1">
              <w:rPr>
                <w:szCs w:val="24"/>
              </w:rPr>
              <w:t>)</w:t>
            </w:r>
          </w:p>
        </w:tc>
      </w:tr>
      <w:tr w:rsidR="0049343B" w:rsidRPr="00D948C1" w14:paraId="4A68BDF3" w14:textId="77777777" w:rsidTr="00746F3D">
        <w:tc>
          <w:tcPr>
            <w:tcW w:w="2163" w:type="dxa"/>
          </w:tcPr>
          <w:p w14:paraId="0EF26A7C" w14:textId="77777777" w:rsidR="0049343B" w:rsidRPr="00D948C1" w:rsidRDefault="0049343B" w:rsidP="006C0086">
            <w:pPr>
              <w:spacing w:line="276" w:lineRule="auto"/>
              <w:rPr>
                <w:szCs w:val="24"/>
              </w:rPr>
            </w:pPr>
            <w:r w:rsidRPr="00D948C1">
              <w:rPr>
                <w:szCs w:val="24"/>
              </w:rPr>
              <w:t>Proceeds</w:t>
            </w:r>
          </w:p>
        </w:tc>
        <w:tc>
          <w:tcPr>
            <w:tcW w:w="1972" w:type="dxa"/>
            <w:vAlign w:val="center"/>
          </w:tcPr>
          <w:p w14:paraId="04EBE0A1" w14:textId="77777777" w:rsidR="0049343B" w:rsidRPr="00D948C1" w:rsidRDefault="00F848F0" w:rsidP="006C0086">
            <w:pPr>
              <w:tabs>
                <w:tab w:val="decimal" w:pos="1080"/>
              </w:tabs>
              <w:spacing w:line="276" w:lineRule="auto"/>
              <w:jc w:val="right"/>
              <w:rPr>
                <w:szCs w:val="24"/>
              </w:rPr>
            </w:pPr>
            <w:r w:rsidRPr="00D948C1">
              <w:rPr>
                <w:szCs w:val="24"/>
              </w:rPr>
              <w:t>-</w:t>
            </w:r>
          </w:p>
        </w:tc>
        <w:tc>
          <w:tcPr>
            <w:tcW w:w="1966" w:type="dxa"/>
            <w:gridSpan w:val="2"/>
            <w:vAlign w:val="center"/>
          </w:tcPr>
          <w:p w14:paraId="68154233" w14:textId="77777777" w:rsidR="0049343B" w:rsidRPr="00D948C1" w:rsidRDefault="00F848F0" w:rsidP="006C0086">
            <w:pPr>
              <w:tabs>
                <w:tab w:val="decimal" w:pos="1080"/>
              </w:tabs>
              <w:spacing w:line="276" w:lineRule="auto"/>
              <w:jc w:val="right"/>
              <w:rPr>
                <w:szCs w:val="24"/>
              </w:rPr>
            </w:pPr>
            <w:r w:rsidRPr="00D948C1">
              <w:rPr>
                <w:szCs w:val="24"/>
              </w:rPr>
              <w:t>-</w:t>
            </w:r>
          </w:p>
        </w:tc>
        <w:tc>
          <w:tcPr>
            <w:tcW w:w="1971" w:type="dxa"/>
            <w:vAlign w:val="center"/>
          </w:tcPr>
          <w:p w14:paraId="129983D5" w14:textId="429A5D86" w:rsidR="0049343B" w:rsidRPr="00D948C1" w:rsidRDefault="00746F3D" w:rsidP="006C0086">
            <w:pPr>
              <w:tabs>
                <w:tab w:val="decimal" w:pos="1080"/>
              </w:tabs>
              <w:spacing w:line="276" w:lineRule="auto"/>
              <w:jc w:val="right"/>
              <w:rPr>
                <w:szCs w:val="24"/>
              </w:rPr>
            </w:pPr>
            <w:r w:rsidRPr="00D948C1">
              <w:rPr>
                <w:szCs w:val="24"/>
              </w:rPr>
              <w:t>-</w:t>
            </w:r>
          </w:p>
        </w:tc>
        <w:tc>
          <w:tcPr>
            <w:tcW w:w="1971" w:type="dxa"/>
            <w:vAlign w:val="center"/>
          </w:tcPr>
          <w:p w14:paraId="26634C09" w14:textId="77777777" w:rsidR="0049343B" w:rsidRPr="00D948C1" w:rsidRDefault="00F848F0" w:rsidP="006C0086">
            <w:pPr>
              <w:tabs>
                <w:tab w:val="decimal" w:pos="1080"/>
              </w:tabs>
              <w:spacing w:line="276" w:lineRule="auto"/>
              <w:jc w:val="right"/>
              <w:rPr>
                <w:szCs w:val="24"/>
              </w:rPr>
            </w:pPr>
            <w:r w:rsidRPr="00D948C1">
              <w:rPr>
                <w:szCs w:val="24"/>
              </w:rPr>
              <w:t>-</w:t>
            </w:r>
          </w:p>
        </w:tc>
      </w:tr>
    </w:tbl>
    <w:p w14:paraId="2768F346" w14:textId="77777777" w:rsidR="00EC3487" w:rsidRPr="00D948C1" w:rsidRDefault="00EC3487" w:rsidP="006C0086">
      <w:pPr>
        <w:spacing w:line="276" w:lineRule="auto"/>
      </w:pPr>
    </w:p>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BA4CBD" w:rsidRPr="00D948C1" w14:paraId="68521E9B" w14:textId="77777777" w:rsidTr="00982FEC">
        <w:tc>
          <w:tcPr>
            <w:tcW w:w="10043" w:type="dxa"/>
            <w:gridSpan w:val="5"/>
            <w:shd w:val="clear" w:color="auto" w:fill="D9D9D9" w:themeFill="background1" w:themeFillShade="D9"/>
          </w:tcPr>
          <w:p w14:paraId="560A685A" w14:textId="51DB85E9" w:rsidR="00BA4CBD" w:rsidRPr="00D948C1" w:rsidRDefault="00BA4CBD" w:rsidP="006C0086">
            <w:pPr>
              <w:tabs>
                <w:tab w:val="decimal" w:pos="1080"/>
              </w:tabs>
              <w:spacing w:line="276" w:lineRule="auto"/>
              <w:rPr>
                <w:b/>
                <w:bCs/>
                <w:szCs w:val="24"/>
              </w:rPr>
            </w:pPr>
            <w:r w:rsidRPr="00D948C1">
              <w:rPr>
                <w:b/>
                <w:bCs/>
                <w:szCs w:val="24"/>
              </w:rPr>
              <w:t>Non-cash:</w:t>
            </w:r>
          </w:p>
        </w:tc>
      </w:tr>
      <w:tr w:rsidR="0049343B" w:rsidRPr="00D948C1" w14:paraId="18E913C8" w14:textId="77777777" w:rsidTr="00EC3487">
        <w:tc>
          <w:tcPr>
            <w:tcW w:w="2163" w:type="dxa"/>
          </w:tcPr>
          <w:p w14:paraId="316D1F50" w14:textId="77777777" w:rsidR="0049343B" w:rsidRPr="00D948C1" w:rsidRDefault="0049343B" w:rsidP="006C0086">
            <w:pPr>
              <w:spacing w:line="276" w:lineRule="auto"/>
              <w:rPr>
                <w:szCs w:val="24"/>
              </w:rPr>
            </w:pPr>
            <w:r w:rsidRPr="00D948C1">
              <w:rPr>
                <w:szCs w:val="24"/>
              </w:rPr>
              <w:t>Acquisition</w:t>
            </w:r>
          </w:p>
        </w:tc>
        <w:tc>
          <w:tcPr>
            <w:tcW w:w="1972" w:type="dxa"/>
          </w:tcPr>
          <w:p w14:paraId="42571555" w14:textId="77777777" w:rsidR="0049343B" w:rsidRPr="00D948C1" w:rsidRDefault="00F848F0" w:rsidP="006C0086">
            <w:pPr>
              <w:tabs>
                <w:tab w:val="decimal" w:pos="1080"/>
              </w:tabs>
              <w:spacing w:line="276" w:lineRule="auto"/>
              <w:jc w:val="right"/>
              <w:rPr>
                <w:szCs w:val="24"/>
              </w:rPr>
            </w:pPr>
            <w:r w:rsidRPr="00D948C1">
              <w:rPr>
                <w:szCs w:val="24"/>
              </w:rPr>
              <w:t>-</w:t>
            </w:r>
          </w:p>
        </w:tc>
        <w:tc>
          <w:tcPr>
            <w:tcW w:w="1966" w:type="dxa"/>
          </w:tcPr>
          <w:p w14:paraId="21DA2C7B" w14:textId="77777777" w:rsidR="0049343B" w:rsidRPr="00D948C1" w:rsidRDefault="00F848F0" w:rsidP="006C0086">
            <w:pPr>
              <w:tabs>
                <w:tab w:val="decimal" w:pos="1080"/>
              </w:tabs>
              <w:spacing w:line="276" w:lineRule="auto"/>
              <w:jc w:val="right"/>
              <w:rPr>
                <w:szCs w:val="24"/>
              </w:rPr>
            </w:pPr>
            <w:r w:rsidRPr="00D948C1">
              <w:rPr>
                <w:szCs w:val="24"/>
              </w:rPr>
              <w:t>-</w:t>
            </w:r>
          </w:p>
        </w:tc>
        <w:tc>
          <w:tcPr>
            <w:tcW w:w="1971" w:type="dxa"/>
          </w:tcPr>
          <w:p w14:paraId="49E932EA" w14:textId="3A1D7E5D" w:rsidR="0049343B" w:rsidRPr="00D948C1" w:rsidRDefault="00BA4CBD" w:rsidP="006C0086">
            <w:pPr>
              <w:tabs>
                <w:tab w:val="decimal" w:pos="1080"/>
              </w:tabs>
              <w:spacing w:line="276" w:lineRule="auto"/>
              <w:jc w:val="right"/>
              <w:rPr>
                <w:szCs w:val="24"/>
              </w:rPr>
            </w:pPr>
            <w:r w:rsidRPr="00D948C1">
              <w:rPr>
                <w:szCs w:val="24"/>
              </w:rPr>
              <w:t>-</w:t>
            </w:r>
          </w:p>
        </w:tc>
        <w:tc>
          <w:tcPr>
            <w:tcW w:w="1971" w:type="dxa"/>
          </w:tcPr>
          <w:p w14:paraId="125318BF" w14:textId="5892EB66" w:rsidR="0049343B" w:rsidRPr="00D948C1" w:rsidRDefault="00BA4CBD" w:rsidP="006C0086">
            <w:pPr>
              <w:tabs>
                <w:tab w:val="decimal" w:pos="1080"/>
              </w:tabs>
              <w:spacing w:line="276" w:lineRule="auto"/>
              <w:jc w:val="right"/>
              <w:rPr>
                <w:szCs w:val="24"/>
              </w:rPr>
            </w:pPr>
            <w:r w:rsidRPr="00D948C1">
              <w:rPr>
                <w:szCs w:val="24"/>
              </w:rPr>
              <w:t>-</w:t>
            </w:r>
          </w:p>
        </w:tc>
      </w:tr>
      <w:tr w:rsidR="0049343B" w:rsidRPr="00D948C1" w14:paraId="6C2143FD" w14:textId="77777777" w:rsidTr="00EC3487">
        <w:tc>
          <w:tcPr>
            <w:tcW w:w="2163" w:type="dxa"/>
          </w:tcPr>
          <w:p w14:paraId="0731A663" w14:textId="4804C2B3" w:rsidR="0049343B" w:rsidRPr="00D948C1" w:rsidRDefault="0049343B" w:rsidP="006C0086">
            <w:pPr>
              <w:spacing w:line="276" w:lineRule="auto"/>
              <w:rPr>
                <w:szCs w:val="24"/>
              </w:rPr>
            </w:pPr>
            <w:r w:rsidRPr="00D948C1">
              <w:rPr>
                <w:szCs w:val="24"/>
              </w:rPr>
              <w:t xml:space="preserve">31 March </w:t>
            </w:r>
            <w:r w:rsidR="00D01A7F" w:rsidRPr="00D948C1">
              <w:rPr>
                <w:szCs w:val="24"/>
              </w:rPr>
              <w:t>202</w:t>
            </w:r>
            <w:r w:rsidR="002823FC" w:rsidRPr="00D948C1">
              <w:rPr>
                <w:szCs w:val="24"/>
              </w:rPr>
              <w:t>4</w:t>
            </w:r>
          </w:p>
        </w:tc>
        <w:tc>
          <w:tcPr>
            <w:tcW w:w="1972" w:type="dxa"/>
          </w:tcPr>
          <w:p w14:paraId="16C8E36F" w14:textId="786ED4D1" w:rsidR="0049343B" w:rsidRPr="00D948C1" w:rsidRDefault="007B6E29" w:rsidP="006C0086">
            <w:pPr>
              <w:tabs>
                <w:tab w:val="decimal" w:pos="1080"/>
              </w:tabs>
              <w:spacing w:line="276" w:lineRule="auto"/>
              <w:jc w:val="right"/>
              <w:rPr>
                <w:szCs w:val="24"/>
              </w:rPr>
            </w:pPr>
            <w:r w:rsidRPr="00D948C1">
              <w:rPr>
                <w:szCs w:val="24"/>
              </w:rPr>
              <w:t>13,</w:t>
            </w:r>
            <w:r w:rsidR="004D0638" w:rsidRPr="00D948C1">
              <w:rPr>
                <w:szCs w:val="24"/>
              </w:rPr>
              <w:t>339</w:t>
            </w:r>
          </w:p>
        </w:tc>
        <w:tc>
          <w:tcPr>
            <w:tcW w:w="1966" w:type="dxa"/>
          </w:tcPr>
          <w:p w14:paraId="33C9C708" w14:textId="3B639492" w:rsidR="0049343B" w:rsidRPr="00D948C1" w:rsidRDefault="004D0638" w:rsidP="006C0086">
            <w:pPr>
              <w:tabs>
                <w:tab w:val="decimal" w:pos="1080"/>
              </w:tabs>
              <w:spacing w:line="276" w:lineRule="auto"/>
              <w:jc w:val="right"/>
              <w:rPr>
                <w:szCs w:val="24"/>
              </w:rPr>
            </w:pPr>
            <w:r w:rsidRPr="00D948C1">
              <w:rPr>
                <w:szCs w:val="24"/>
              </w:rPr>
              <w:t>528</w:t>
            </w:r>
          </w:p>
        </w:tc>
        <w:tc>
          <w:tcPr>
            <w:tcW w:w="1971" w:type="dxa"/>
          </w:tcPr>
          <w:p w14:paraId="5EE5501A" w14:textId="441C8DD7" w:rsidR="0049343B" w:rsidRPr="00D948C1" w:rsidRDefault="001C54C4" w:rsidP="006C0086">
            <w:pPr>
              <w:tabs>
                <w:tab w:val="decimal" w:pos="1080"/>
              </w:tabs>
              <w:spacing w:line="276" w:lineRule="auto"/>
              <w:jc w:val="right"/>
              <w:rPr>
                <w:szCs w:val="24"/>
              </w:rPr>
            </w:pPr>
            <w:r w:rsidRPr="00D948C1">
              <w:rPr>
                <w:szCs w:val="24"/>
              </w:rPr>
              <w:t>-</w:t>
            </w:r>
          </w:p>
        </w:tc>
        <w:tc>
          <w:tcPr>
            <w:tcW w:w="1971" w:type="dxa"/>
          </w:tcPr>
          <w:p w14:paraId="1E3ED941" w14:textId="3F62E95B" w:rsidR="0049343B" w:rsidRPr="00D948C1" w:rsidRDefault="00414EEA" w:rsidP="006C0086">
            <w:pPr>
              <w:tabs>
                <w:tab w:val="decimal" w:pos="1080"/>
              </w:tabs>
              <w:spacing w:line="276" w:lineRule="auto"/>
              <w:jc w:val="right"/>
              <w:rPr>
                <w:szCs w:val="24"/>
              </w:rPr>
            </w:pPr>
            <w:r w:rsidRPr="00D948C1">
              <w:rPr>
                <w:szCs w:val="24"/>
              </w:rPr>
              <w:t>1</w:t>
            </w:r>
            <w:r w:rsidR="004D0638" w:rsidRPr="00D948C1">
              <w:rPr>
                <w:szCs w:val="24"/>
              </w:rPr>
              <w:t>3</w:t>
            </w:r>
            <w:r w:rsidRPr="00D948C1">
              <w:rPr>
                <w:szCs w:val="24"/>
              </w:rPr>
              <w:t>,</w:t>
            </w:r>
            <w:r w:rsidR="004D0638" w:rsidRPr="00D948C1">
              <w:rPr>
                <w:szCs w:val="24"/>
              </w:rPr>
              <w:t>868</w:t>
            </w:r>
          </w:p>
        </w:tc>
      </w:tr>
    </w:tbl>
    <w:p w14:paraId="533A35A6" w14:textId="77777777" w:rsidR="00925174" w:rsidRPr="00D948C1" w:rsidRDefault="00925174" w:rsidP="006C0086">
      <w:pPr>
        <w:spacing w:line="276" w:lineRule="auto"/>
        <w:ind w:left="720"/>
        <w:rPr>
          <w:sz w:val="22"/>
          <w:szCs w:val="22"/>
        </w:rPr>
      </w:pPr>
    </w:p>
    <w:p w14:paraId="7B28FB24" w14:textId="380C595E" w:rsidR="00DF4B1E" w:rsidRPr="00D948C1" w:rsidRDefault="001C592E" w:rsidP="006C0086">
      <w:pPr>
        <w:pStyle w:val="Heading2"/>
        <w:spacing w:line="276" w:lineRule="auto"/>
        <w:ind w:left="720" w:hanging="720"/>
        <w:jc w:val="left"/>
        <w:rPr>
          <w:sz w:val="24"/>
          <w:szCs w:val="24"/>
        </w:rPr>
      </w:pPr>
      <w:bookmarkStart w:id="73" w:name="_Toc171068810"/>
      <w:r w:rsidRPr="00D948C1">
        <w:rPr>
          <w:sz w:val="24"/>
          <w:szCs w:val="24"/>
        </w:rPr>
        <w:t>2</w:t>
      </w:r>
      <w:r w:rsidR="00535820" w:rsidRPr="00D948C1">
        <w:rPr>
          <w:sz w:val="24"/>
          <w:szCs w:val="24"/>
        </w:rPr>
        <w:t>6</w:t>
      </w:r>
      <w:r w:rsidR="00925174" w:rsidRPr="00D948C1">
        <w:rPr>
          <w:sz w:val="24"/>
          <w:szCs w:val="24"/>
        </w:rPr>
        <w:tab/>
      </w:r>
      <w:bookmarkStart w:id="74" w:name="_Hlk156489206"/>
      <w:r w:rsidR="00DF4B1E" w:rsidRPr="00D948C1">
        <w:rPr>
          <w:sz w:val="24"/>
          <w:szCs w:val="24"/>
        </w:rPr>
        <w:t xml:space="preserve">Assumptions made about the future and other major sources of estimation </w:t>
      </w:r>
      <w:r w:rsidR="008E01C3" w:rsidRPr="00D948C1">
        <w:rPr>
          <w:sz w:val="24"/>
          <w:szCs w:val="24"/>
        </w:rPr>
        <w:t xml:space="preserve">and </w:t>
      </w:r>
      <w:r w:rsidR="00DF4B1E" w:rsidRPr="00D948C1">
        <w:rPr>
          <w:sz w:val="24"/>
          <w:szCs w:val="24"/>
        </w:rPr>
        <w:t>uncertainty</w:t>
      </w:r>
      <w:bookmarkEnd w:id="73"/>
      <w:bookmarkEnd w:id="74"/>
    </w:p>
    <w:p w14:paraId="6E378C1C" w14:textId="77777777" w:rsidR="00DF4B1E" w:rsidRPr="00D948C1" w:rsidRDefault="00DF4B1E" w:rsidP="006C0086">
      <w:pPr>
        <w:spacing w:line="276" w:lineRule="auto"/>
        <w:ind w:left="374" w:hanging="374"/>
        <w:rPr>
          <w:b/>
          <w:szCs w:val="24"/>
        </w:rPr>
      </w:pPr>
    </w:p>
    <w:p w14:paraId="64070E13" w14:textId="588290E8" w:rsidR="00DF4B1E" w:rsidRPr="00D948C1" w:rsidRDefault="00DF4B1E" w:rsidP="006C0086">
      <w:pPr>
        <w:spacing w:line="276" w:lineRule="auto"/>
        <w:ind w:left="720"/>
        <w:rPr>
          <w:szCs w:val="24"/>
        </w:rPr>
      </w:pPr>
      <w:r w:rsidRPr="00D948C1">
        <w:rPr>
          <w:szCs w:val="24"/>
        </w:rPr>
        <w:t xml:space="preserve">The Statement of Accounts contains estimated figures that are based on assumptions made by the Authority about the future or that are otherwise uncertain. Estimates are made </w:t>
      </w:r>
      <w:r w:rsidR="0094180B" w:rsidRPr="00D948C1">
        <w:rPr>
          <w:szCs w:val="24"/>
        </w:rPr>
        <w:t>considering</w:t>
      </w:r>
      <w:r w:rsidRPr="00D948C1">
        <w:rPr>
          <w:szCs w:val="24"/>
        </w:rPr>
        <w:t xml:space="preserve"> historical experience, current </w:t>
      </w:r>
      <w:r w:rsidR="00526A3B" w:rsidRPr="00D948C1">
        <w:rPr>
          <w:szCs w:val="24"/>
        </w:rPr>
        <w:t>trends,</w:t>
      </w:r>
      <w:r w:rsidRPr="00D948C1">
        <w:rPr>
          <w:szCs w:val="24"/>
        </w:rPr>
        <w:t xml:space="preserve"> and other relevant factors. However, because balances cannot be determined with certainty, actual results could be materially different from the assumptions and estimates.</w:t>
      </w:r>
    </w:p>
    <w:p w14:paraId="7DB3CB23" w14:textId="77777777" w:rsidR="00B71D39" w:rsidRPr="00D948C1" w:rsidRDefault="00B71D39" w:rsidP="006C0086">
      <w:pPr>
        <w:spacing w:line="276" w:lineRule="auto"/>
        <w:rPr>
          <w:szCs w:val="24"/>
        </w:rPr>
      </w:pPr>
    </w:p>
    <w:p w14:paraId="7584EE8E" w14:textId="3606B093" w:rsidR="00DF4B1E" w:rsidRPr="00D948C1" w:rsidRDefault="00DF4B1E" w:rsidP="006C0086">
      <w:pPr>
        <w:spacing w:line="276" w:lineRule="auto"/>
        <w:ind w:left="720"/>
        <w:rPr>
          <w:szCs w:val="24"/>
        </w:rPr>
      </w:pPr>
      <w:r w:rsidRPr="00D948C1">
        <w:rPr>
          <w:szCs w:val="24"/>
        </w:rPr>
        <w:t xml:space="preserve">The items in the Authority’s Balance Sheet </w:t>
      </w:r>
      <w:proofErr w:type="gramStart"/>
      <w:r w:rsidRPr="00D948C1">
        <w:rPr>
          <w:szCs w:val="24"/>
        </w:rPr>
        <w:t>at</w:t>
      </w:r>
      <w:proofErr w:type="gramEnd"/>
      <w:r w:rsidRPr="00D948C1">
        <w:rPr>
          <w:szCs w:val="24"/>
        </w:rPr>
        <w:t xml:space="preserve"> 31 March 20</w:t>
      </w:r>
      <w:r w:rsidR="003A7ED4" w:rsidRPr="00D948C1">
        <w:rPr>
          <w:szCs w:val="24"/>
        </w:rPr>
        <w:t>2</w:t>
      </w:r>
      <w:r w:rsidR="002823FC" w:rsidRPr="00D948C1">
        <w:rPr>
          <w:szCs w:val="24"/>
        </w:rPr>
        <w:t>4</w:t>
      </w:r>
      <w:r w:rsidRPr="00D948C1">
        <w:rPr>
          <w:szCs w:val="24"/>
        </w:rPr>
        <w:t xml:space="preserve"> for which there is a significant risk of material adjustment in the forthcoming financial year are as follows:</w:t>
      </w:r>
    </w:p>
    <w:p w14:paraId="07C0ACB5" w14:textId="77777777" w:rsidR="00DF4B1E" w:rsidRPr="00D948C1" w:rsidRDefault="00DF4B1E" w:rsidP="006C0086">
      <w:pPr>
        <w:spacing w:line="276" w:lineRule="auto"/>
        <w:ind w:left="374"/>
        <w:jc w:val="both"/>
        <w:rPr>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084"/>
        <w:gridCol w:w="3969"/>
      </w:tblGrid>
      <w:tr w:rsidR="00DF4B1E" w:rsidRPr="00D948C1" w14:paraId="2B5806AF" w14:textId="77777777" w:rsidTr="00611673">
        <w:trPr>
          <w:tblHeader/>
        </w:trPr>
        <w:tc>
          <w:tcPr>
            <w:tcW w:w="1870" w:type="dxa"/>
            <w:shd w:val="clear" w:color="auto" w:fill="BD2716"/>
            <w:vAlign w:val="center"/>
          </w:tcPr>
          <w:p w14:paraId="05AE5D9F" w14:textId="77777777" w:rsidR="00DF4B1E" w:rsidRPr="00D948C1" w:rsidRDefault="00DF4B1E" w:rsidP="006C0086">
            <w:pPr>
              <w:spacing w:line="276" w:lineRule="auto"/>
              <w:rPr>
                <w:color w:val="FFFFFF" w:themeColor="background1"/>
                <w:szCs w:val="24"/>
              </w:rPr>
            </w:pPr>
            <w:r w:rsidRPr="00D948C1">
              <w:rPr>
                <w:color w:val="FFFFFF" w:themeColor="background1"/>
                <w:szCs w:val="24"/>
              </w:rPr>
              <w:t>Item</w:t>
            </w:r>
          </w:p>
        </w:tc>
        <w:tc>
          <w:tcPr>
            <w:tcW w:w="4084" w:type="dxa"/>
            <w:shd w:val="clear" w:color="auto" w:fill="BD2716"/>
            <w:vAlign w:val="center"/>
          </w:tcPr>
          <w:p w14:paraId="0D4A4347" w14:textId="77777777" w:rsidR="00DF4B1E" w:rsidRPr="00D948C1" w:rsidRDefault="00DF4B1E" w:rsidP="006C0086">
            <w:pPr>
              <w:spacing w:line="276" w:lineRule="auto"/>
              <w:rPr>
                <w:color w:val="FFFFFF" w:themeColor="background1"/>
                <w:szCs w:val="24"/>
              </w:rPr>
            </w:pPr>
            <w:r w:rsidRPr="00D948C1">
              <w:rPr>
                <w:color w:val="FFFFFF" w:themeColor="background1"/>
                <w:szCs w:val="24"/>
              </w:rPr>
              <w:t>Uncertainties</w:t>
            </w:r>
          </w:p>
        </w:tc>
        <w:tc>
          <w:tcPr>
            <w:tcW w:w="3969" w:type="dxa"/>
            <w:shd w:val="clear" w:color="auto" w:fill="BD2716"/>
            <w:vAlign w:val="center"/>
          </w:tcPr>
          <w:p w14:paraId="7503BC34" w14:textId="77777777" w:rsidR="00DF4B1E" w:rsidRPr="00D948C1" w:rsidRDefault="00DF4B1E" w:rsidP="006C0086">
            <w:pPr>
              <w:spacing w:line="276" w:lineRule="auto"/>
              <w:rPr>
                <w:color w:val="FFFFFF" w:themeColor="background1"/>
                <w:szCs w:val="24"/>
              </w:rPr>
            </w:pPr>
            <w:r w:rsidRPr="00D948C1">
              <w:rPr>
                <w:color w:val="FFFFFF" w:themeColor="background1"/>
                <w:szCs w:val="24"/>
              </w:rPr>
              <w:t>Effect if actual results differ from assumptions</w:t>
            </w:r>
          </w:p>
        </w:tc>
      </w:tr>
      <w:tr w:rsidR="00F45BA0" w:rsidRPr="00D948C1" w14:paraId="7F342223" w14:textId="77777777" w:rsidTr="00397070">
        <w:tc>
          <w:tcPr>
            <w:tcW w:w="1870" w:type="dxa"/>
            <w:shd w:val="clear" w:color="auto" w:fill="auto"/>
          </w:tcPr>
          <w:p w14:paraId="1A4DBFCB" w14:textId="77777777" w:rsidR="00F45BA0" w:rsidRPr="00D948C1" w:rsidRDefault="00F45BA0" w:rsidP="006C0086">
            <w:pPr>
              <w:spacing w:line="276" w:lineRule="auto"/>
              <w:rPr>
                <w:szCs w:val="24"/>
              </w:rPr>
            </w:pPr>
            <w:r w:rsidRPr="00D948C1">
              <w:rPr>
                <w:szCs w:val="24"/>
              </w:rPr>
              <w:t>Property, Plant &amp; Equipment</w:t>
            </w:r>
          </w:p>
          <w:p w14:paraId="33C3988D" w14:textId="77777777" w:rsidR="00393CDF" w:rsidRPr="00D948C1" w:rsidRDefault="00393CDF" w:rsidP="006C0086">
            <w:pPr>
              <w:spacing w:line="276" w:lineRule="auto"/>
              <w:rPr>
                <w:szCs w:val="24"/>
              </w:rPr>
            </w:pPr>
          </w:p>
          <w:p w14:paraId="71C02FD6" w14:textId="5E8BB837" w:rsidR="00393CDF" w:rsidRPr="00D948C1" w:rsidRDefault="00716389" w:rsidP="006C0086">
            <w:pPr>
              <w:spacing w:line="276" w:lineRule="auto"/>
              <w:rPr>
                <w:szCs w:val="24"/>
              </w:rPr>
            </w:pPr>
            <w:r w:rsidRPr="00D948C1">
              <w:rPr>
                <w:szCs w:val="24"/>
              </w:rPr>
              <w:t>Carrying value £</w:t>
            </w:r>
            <w:r w:rsidR="00EF46AF" w:rsidRPr="00D948C1">
              <w:rPr>
                <w:szCs w:val="24"/>
              </w:rPr>
              <w:t>12</w:t>
            </w:r>
            <w:r w:rsidR="00375C74" w:rsidRPr="00D948C1">
              <w:rPr>
                <w:szCs w:val="24"/>
              </w:rPr>
              <w:t>7</w:t>
            </w:r>
            <w:r w:rsidR="00EF46AF" w:rsidRPr="00D948C1">
              <w:rPr>
                <w:szCs w:val="24"/>
              </w:rPr>
              <w:t xml:space="preserve">m </w:t>
            </w:r>
            <w:r w:rsidRPr="00D948C1">
              <w:rPr>
                <w:szCs w:val="24"/>
              </w:rPr>
              <w:t>(</w:t>
            </w:r>
            <w:r w:rsidR="00CF111B" w:rsidRPr="00D948C1">
              <w:rPr>
                <w:szCs w:val="24"/>
              </w:rPr>
              <w:t>202</w:t>
            </w:r>
            <w:r w:rsidR="00375C74" w:rsidRPr="00D948C1">
              <w:rPr>
                <w:szCs w:val="24"/>
              </w:rPr>
              <w:t>2</w:t>
            </w:r>
            <w:r w:rsidR="00CF111B" w:rsidRPr="00D948C1">
              <w:rPr>
                <w:szCs w:val="24"/>
              </w:rPr>
              <w:t>/2</w:t>
            </w:r>
            <w:r w:rsidR="00375C74" w:rsidRPr="00D948C1">
              <w:rPr>
                <w:szCs w:val="24"/>
              </w:rPr>
              <w:t>3</w:t>
            </w:r>
            <w:r w:rsidRPr="00D948C1">
              <w:rPr>
                <w:szCs w:val="24"/>
              </w:rPr>
              <w:t>: £</w:t>
            </w:r>
            <w:r w:rsidR="00375C74" w:rsidRPr="00D948C1">
              <w:rPr>
                <w:szCs w:val="24"/>
              </w:rPr>
              <w:t>126m</w:t>
            </w:r>
            <w:r w:rsidRPr="00D948C1">
              <w:rPr>
                <w:szCs w:val="24"/>
              </w:rPr>
              <w:t>)</w:t>
            </w:r>
          </w:p>
        </w:tc>
        <w:tc>
          <w:tcPr>
            <w:tcW w:w="4084" w:type="dxa"/>
            <w:shd w:val="clear" w:color="auto" w:fill="auto"/>
          </w:tcPr>
          <w:p w14:paraId="55AB5FA0" w14:textId="1FC0B96B" w:rsidR="00C417B4" w:rsidRPr="00D948C1" w:rsidRDefault="00C417B4" w:rsidP="006C0086">
            <w:pPr>
              <w:autoSpaceDE w:val="0"/>
              <w:autoSpaceDN w:val="0"/>
              <w:adjustRightInd w:val="0"/>
              <w:spacing w:line="276" w:lineRule="auto"/>
              <w:rPr>
                <w:rFonts w:cs="Arial"/>
                <w:szCs w:val="24"/>
              </w:rPr>
            </w:pPr>
            <w:r w:rsidRPr="00D948C1">
              <w:rPr>
                <w:rFonts w:cs="Arial"/>
                <w:szCs w:val="24"/>
              </w:rPr>
              <w:t xml:space="preserve">The uncertainty in terms of the market evidence used to form opinions of value, continues. Shortly after the global pandemic, the war in Ukraine and resultant energy crisis has impacted on materials cost coupled with the void in the market for tradesmen because of Brexit, that has led to slippages in most construction targets. </w:t>
            </w:r>
          </w:p>
          <w:p w14:paraId="74F8240B" w14:textId="5771445A" w:rsidR="00F45BA0" w:rsidRPr="00D948C1" w:rsidRDefault="00F45BA0" w:rsidP="006C0086">
            <w:pPr>
              <w:spacing w:line="276" w:lineRule="auto"/>
              <w:rPr>
                <w:szCs w:val="24"/>
              </w:rPr>
            </w:pPr>
          </w:p>
        </w:tc>
        <w:tc>
          <w:tcPr>
            <w:tcW w:w="3969" w:type="dxa"/>
            <w:shd w:val="clear" w:color="auto" w:fill="auto"/>
          </w:tcPr>
          <w:p w14:paraId="6E8BAB36" w14:textId="0F087321" w:rsidR="00F45BA0" w:rsidRPr="00D948C1" w:rsidRDefault="0094180B" w:rsidP="006C0086">
            <w:pPr>
              <w:spacing w:line="276" w:lineRule="auto"/>
              <w:rPr>
                <w:szCs w:val="24"/>
              </w:rPr>
            </w:pPr>
            <w:r w:rsidRPr="00D948C1">
              <w:rPr>
                <w:szCs w:val="24"/>
              </w:rPr>
              <w:t>Most of</w:t>
            </w:r>
            <w:r w:rsidR="00DC6C97" w:rsidRPr="00D948C1">
              <w:rPr>
                <w:szCs w:val="24"/>
              </w:rPr>
              <w:t xml:space="preserve"> the Authorities Property assets are valued under the Depreciated Replacement Cost method, as specialised assets. There is the possibility that </w:t>
            </w:r>
            <w:r w:rsidR="006C0086" w:rsidRPr="00D948C1">
              <w:rPr>
                <w:szCs w:val="24"/>
              </w:rPr>
              <w:t>Depreciated Replacement Cost</w:t>
            </w:r>
            <w:r w:rsidR="00DC6C97" w:rsidRPr="00D948C1">
              <w:rPr>
                <w:szCs w:val="24"/>
              </w:rPr>
              <w:t xml:space="preserve"> valuations will increase due to shortages of raw materials and labour. </w:t>
            </w:r>
            <w:r w:rsidR="00A77547" w:rsidRPr="00D948C1">
              <w:rPr>
                <w:szCs w:val="24"/>
              </w:rPr>
              <w:t xml:space="preserve">It is estimated that a 1% increase in </w:t>
            </w:r>
            <w:r w:rsidR="006C0086" w:rsidRPr="00D948C1">
              <w:rPr>
                <w:szCs w:val="24"/>
              </w:rPr>
              <w:t>Depreciated Replacement Cost</w:t>
            </w:r>
            <w:r w:rsidR="00A77547" w:rsidRPr="00D948C1">
              <w:rPr>
                <w:szCs w:val="24"/>
              </w:rPr>
              <w:t xml:space="preserve"> valuations would increase the assets values by £</w:t>
            </w:r>
            <w:r w:rsidR="00A62775" w:rsidRPr="00D948C1">
              <w:rPr>
                <w:szCs w:val="24"/>
              </w:rPr>
              <w:t>1</w:t>
            </w:r>
            <w:r w:rsidR="0041234B" w:rsidRPr="00D948C1">
              <w:rPr>
                <w:szCs w:val="24"/>
              </w:rPr>
              <w:t>.</w:t>
            </w:r>
            <w:r w:rsidR="00EF46AF" w:rsidRPr="00D948C1">
              <w:rPr>
                <w:szCs w:val="24"/>
              </w:rPr>
              <w:t>3</w:t>
            </w:r>
            <w:r w:rsidR="00A62775" w:rsidRPr="00D948C1">
              <w:rPr>
                <w:szCs w:val="24"/>
              </w:rPr>
              <w:t>m</w:t>
            </w:r>
            <w:r w:rsidR="00A77547" w:rsidRPr="00D948C1">
              <w:rPr>
                <w:szCs w:val="24"/>
              </w:rPr>
              <w:t>.</w:t>
            </w:r>
          </w:p>
        </w:tc>
      </w:tr>
      <w:tr w:rsidR="00DF4B1E" w:rsidRPr="00D948C1" w14:paraId="220EEBC5" w14:textId="77777777" w:rsidTr="00397070">
        <w:tc>
          <w:tcPr>
            <w:tcW w:w="1870" w:type="dxa"/>
            <w:shd w:val="clear" w:color="auto" w:fill="auto"/>
          </w:tcPr>
          <w:p w14:paraId="4029A877" w14:textId="77777777" w:rsidR="00DF4B1E" w:rsidRPr="00D948C1" w:rsidRDefault="00DF4B1E" w:rsidP="006C0086">
            <w:pPr>
              <w:spacing w:line="276" w:lineRule="auto"/>
              <w:rPr>
                <w:szCs w:val="24"/>
              </w:rPr>
            </w:pPr>
            <w:r w:rsidRPr="00D948C1">
              <w:rPr>
                <w:szCs w:val="24"/>
              </w:rPr>
              <w:t>Pension Liability</w:t>
            </w:r>
          </w:p>
          <w:p w14:paraId="1930AD7B" w14:textId="77777777" w:rsidR="00393CDF" w:rsidRPr="00D948C1" w:rsidRDefault="00393CDF" w:rsidP="006C0086">
            <w:pPr>
              <w:spacing w:line="276" w:lineRule="auto"/>
              <w:rPr>
                <w:szCs w:val="24"/>
              </w:rPr>
            </w:pPr>
          </w:p>
          <w:p w14:paraId="7B7C0FC3" w14:textId="144015EE" w:rsidR="00393CDF" w:rsidRPr="00D948C1" w:rsidRDefault="00C417B4" w:rsidP="006C0086">
            <w:pPr>
              <w:spacing w:line="276" w:lineRule="auto"/>
              <w:rPr>
                <w:szCs w:val="24"/>
              </w:rPr>
            </w:pPr>
            <w:r w:rsidRPr="00D948C1">
              <w:rPr>
                <w:szCs w:val="24"/>
              </w:rPr>
              <w:lastRenderedPageBreak/>
              <w:t>Carrying value £628m (2022/23: £632m)</w:t>
            </w:r>
          </w:p>
        </w:tc>
        <w:tc>
          <w:tcPr>
            <w:tcW w:w="4084" w:type="dxa"/>
            <w:shd w:val="clear" w:color="auto" w:fill="auto"/>
          </w:tcPr>
          <w:p w14:paraId="6175A200" w14:textId="344B209F" w:rsidR="00DF4B1E" w:rsidRPr="00D948C1" w:rsidRDefault="00DF4B1E" w:rsidP="006C0086">
            <w:pPr>
              <w:spacing w:line="276" w:lineRule="auto"/>
              <w:rPr>
                <w:szCs w:val="24"/>
              </w:rPr>
            </w:pPr>
            <w:r w:rsidRPr="00D948C1">
              <w:rPr>
                <w:szCs w:val="24"/>
              </w:rPr>
              <w:lastRenderedPageBreak/>
              <w:t xml:space="preserve">Estimation of the </w:t>
            </w:r>
            <w:r w:rsidR="00C417B4" w:rsidRPr="00D948C1">
              <w:rPr>
                <w:szCs w:val="24"/>
              </w:rPr>
              <w:t xml:space="preserve">gross </w:t>
            </w:r>
            <w:r w:rsidRPr="00D948C1">
              <w:rPr>
                <w:szCs w:val="24"/>
              </w:rPr>
              <w:t xml:space="preserve">liability to pay pensions depends on </w:t>
            </w:r>
            <w:r w:rsidR="0094180B" w:rsidRPr="00D948C1">
              <w:rPr>
                <w:szCs w:val="24"/>
              </w:rPr>
              <w:t>several</w:t>
            </w:r>
            <w:r w:rsidRPr="00D948C1">
              <w:rPr>
                <w:szCs w:val="24"/>
              </w:rPr>
              <w:t xml:space="preserve"> complex judgements relating to the discount rate used, the rate at which </w:t>
            </w:r>
            <w:r w:rsidRPr="00D948C1">
              <w:rPr>
                <w:szCs w:val="24"/>
              </w:rPr>
              <w:lastRenderedPageBreak/>
              <w:t xml:space="preserve">salaries are projected to increase, changes in retirement ages, mortality rates and expected returns on pension fund assets. </w:t>
            </w:r>
            <w:r w:rsidR="008F6E00" w:rsidRPr="00D948C1">
              <w:rPr>
                <w:szCs w:val="24"/>
              </w:rPr>
              <w:t>C</w:t>
            </w:r>
            <w:r w:rsidRPr="00D948C1">
              <w:rPr>
                <w:szCs w:val="24"/>
              </w:rPr>
              <w:t xml:space="preserve">onsulting actuaries </w:t>
            </w:r>
            <w:r w:rsidR="008F6E00" w:rsidRPr="00D948C1">
              <w:rPr>
                <w:szCs w:val="24"/>
              </w:rPr>
              <w:t>are</w:t>
            </w:r>
            <w:r w:rsidRPr="00D948C1">
              <w:rPr>
                <w:szCs w:val="24"/>
              </w:rPr>
              <w:t xml:space="preserve"> engaged to provide the Authority with expert advice about the assumptions to be applied</w:t>
            </w:r>
            <w:r w:rsidR="008F6E00" w:rsidRPr="00D948C1">
              <w:rPr>
                <w:szCs w:val="24"/>
              </w:rPr>
              <w:t xml:space="preserve"> to each scheme</w:t>
            </w:r>
            <w:r w:rsidRPr="00D948C1">
              <w:rPr>
                <w:szCs w:val="24"/>
              </w:rPr>
              <w:t>.</w:t>
            </w:r>
          </w:p>
        </w:tc>
        <w:tc>
          <w:tcPr>
            <w:tcW w:w="3969" w:type="dxa"/>
            <w:shd w:val="clear" w:color="auto" w:fill="auto"/>
          </w:tcPr>
          <w:p w14:paraId="4D5A7387" w14:textId="511D3CD7" w:rsidR="00DF4B1E" w:rsidRPr="00D948C1" w:rsidRDefault="00C417B4" w:rsidP="006C0086">
            <w:pPr>
              <w:spacing w:line="276" w:lineRule="auto"/>
              <w:rPr>
                <w:szCs w:val="24"/>
              </w:rPr>
            </w:pPr>
            <w:r w:rsidRPr="00D948C1">
              <w:rPr>
                <w:szCs w:val="24"/>
              </w:rPr>
              <w:lastRenderedPageBreak/>
              <w:t xml:space="preserve">It is estimated that, for both pension schemes combined, a 0.5% increase in the discount rate would decrease the liability by </w:t>
            </w:r>
            <w:r w:rsidRPr="00D948C1">
              <w:rPr>
                <w:szCs w:val="24"/>
              </w:rPr>
              <w:lastRenderedPageBreak/>
              <w:t xml:space="preserve">£48m (2022/23: £47m), a 1% increase in pay growth would increase the liability by £13m (2022/23: £13m). In addition, a 1-year expectancy would increase the liability by £17m (2022/23: £17m). increase in the assumed life </w:t>
            </w:r>
          </w:p>
        </w:tc>
      </w:tr>
      <w:tr w:rsidR="000F38E6" w:rsidRPr="00D948C1" w14:paraId="3720CCCA" w14:textId="77777777" w:rsidTr="00797087">
        <w:tc>
          <w:tcPr>
            <w:tcW w:w="1870" w:type="dxa"/>
            <w:shd w:val="clear" w:color="auto" w:fill="auto"/>
            <w:vAlign w:val="center"/>
          </w:tcPr>
          <w:p w14:paraId="083CC251" w14:textId="3ED8F33B" w:rsidR="000F38E6" w:rsidRPr="00D948C1" w:rsidRDefault="000C0FF2" w:rsidP="006C0086">
            <w:pPr>
              <w:spacing w:line="276" w:lineRule="auto"/>
              <w:rPr>
                <w:szCs w:val="24"/>
              </w:rPr>
            </w:pPr>
            <w:bookmarkStart w:id="75" w:name="_Hlk156489282"/>
            <w:r w:rsidRPr="00D948C1">
              <w:rPr>
                <w:szCs w:val="24"/>
              </w:rPr>
              <w:lastRenderedPageBreak/>
              <w:t xml:space="preserve">Local Government Pension Scheme </w:t>
            </w:r>
            <w:r w:rsidR="00B83AC7" w:rsidRPr="00D948C1">
              <w:rPr>
                <w:szCs w:val="24"/>
              </w:rPr>
              <w:t>Asset Ceiling</w:t>
            </w:r>
          </w:p>
          <w:p w14:paraId="330D096B" w14:textId="77777777" w:rsidR="00B83AC7" w:rsidRPr="00D948C1" w:rsidRDefault="00B83AC7" w:rsidP="006C0086">
            <w:pPr>
              <w:spacing w:line="276" w:lineRule="auto"/>
              <w:rPr>
                <w:szCs w:val="24"/>
              </w:rPr>
            </w:pPr>
          </w:p>
          <w:p w14:paraId="4488DA2C" w14:textId="5039706F" w:rsidR="00B83AC7" w:rsidRPr="00D948C1" w:rsidRDefault="00B83AC7" w:rsidP="006C0086">
            <w:pPr>
              <w:spacing w:line="276" w:lineRule="auto"/>
              <w:rPr>
                <w:szCs w:val="24"/>
              </w:rPr>
            </w:pPr>
            <w:r w:rsidRPr="00D948C1">
              <w:rPr>
                <w:szCs w:val="24"/>
              </w:rPr>
              <w:t xml:space="preserve">Gross </w:t>
            </w:r>
            <w:r w:rsidR="005617F1" w:rsidRPr="00D948C1">
              <w:rPr>
                <w:szCs w:val="24"/>
              </w:rPr>
              <w:t>defined benefit</w:t>
            </w:r>
            <w:r w:rsidRPr="00D948C1">
              <w:rPr>
                <w:szCs w:val="24"/>
              </w:rPr>
              <w:t xml:space="preserve"> </w:t>
            </w:r>
            <w:r w:rsidR="005617F1" w:rsidRPr="00D948C1">
              <w:rPr>
                <w:szCs w:val="24"/>
              </w:rPr>
              <w:t>asset</w:t>
            </w:r>
          </w:p>
          <w:p w14:paraId="3F1C8CE9" w14:textId="6197221D" w:rsidR="00B83AC7" w:rsidRPr="00D948C1" w:rsidRDefault="00B83AC7" w:rsidP="006C0086">
            <w:pPr>
              <w:spacing w:line="276" w:lineRule="auto"/>
              <w:rPr>
                <w:szCs w:val="24"/>
              </w:rPr>
            </w:pPr>
            <w:r w:rsidRPr="00D948C1">
              <w:rPr>
                <w:szCs w:val="24"/>
              </w:rPr>
              <w:t>£</w:t>
            </w:r>
            <w:r w:rsidR="009410F0" w:rsidRPr="00D948C1">
              <w:rPr>
                <w:szCs w:val="24"/>
              </w:rPr>
              <w:t>23.8m</w:t>
            </w:r>
          </w:p>
          <w:p w14:paraId="67A07AD2" w14:textId="6C3216F0" w:rsidR="00B83AC7" w:rsidRPr="00D948C1" w:rsidRDefault="00B83AC7" w:rsidP="006C0086">
            <w:pPr>
              <w:spacing w:line="276" w:lineRule="auto"/>
              <w:rPr>
                <w:szCs w:val="24"/>
              </w:rPr>
            </w:pPr>
            <w:r w:rsidRPr="00D948C1">
              <w:rPr>
                <w:szCs w:val="24"/>
              </w:rPr>
              <w:t>(202</w:t>
            </w:r>
            <w:r w:rsidR="009410F0" w:rsidRPr="00D948C1">
              <w:rPr>
                <w:szCs w:val="24"/>
              </w:rPr>
              <w:t>2</w:t>
            </w:r>
            <w:r w:rsidRPr="00D948C1">
              <w:rPr>
                <w:szCs w:val="24"/>
              </w:rPr>
              <w:t>/2</w:t>
            </w:r>
            <w:r w:rsidR="009410F0" w:rsidRPr="00D948C1">
              <w:rPr>
                <w:szCs w:val="24"/>
              </w:rPr>
              <w:t>3</w:t>
            </w:r>
            <w:r w:rsidR="00DB72E6" w:rsidRPr="00D948C1">
              <w:rPr>
                <w:szCs w:val="24"/>
              </w:rPr>
              <w:t xml:space="preserve">: </w:t>
            </w:r>
            <w:r w:rsidR="009410F0" w:rsidRPr="00D948C1">
              <w:rPr>
                <w:szCs w:val="24"/>
              </w:rPr>
              <w:t>£19.9m</w:t>
            </w:r>
            <w:r w:rsidR="00DB72E6" w:rsidRPr="00D948C1">
              <w:rPr>
                <w:szCs w:val="24"/>
              </w:rPr>
              <w:t>)</w:t>
            </w:r>
          </w:p>
          <w:p w14:paraId="6EB95182" w14:textId="77777777" w:rsidR="00DB72E6" w:rsidRPr="00D948C1" w:rsidRDefault="00DB72E6" w:rsidP="006C0086">
            <w:pPr>
              <w:spacing w:line="276" w:lineRule="auto"/>
              <w:rPr>
                <w:szCs w:val="24"/>
              </w:rPr>
            </w:pPr>
          </w:p>
          <w:p w14:paraId="6D1124C5" w14:textId="45C68778" w:rsidR="00DB72E6" w:rsidRPr="00D948C1" w:rsidRDefault="00DB72E6" w:rsidP="006C0086">
            <w:pPr>
              <w:spacing w:line="276" w:lineRule="auto"/>
              <w:rPr>
                <w:szCs w:val="24"/>
              </w:rPr>
            </w:pPr>
            <w:r w:rsidRPr="00D948C1">
              <w:rPr>
                <w:szCs w:val="24"/>
              </w:rPr>
              <w:t xml:space="preserve">Net </w:t>
            </w:r>
            <w:r w:rsidR="005617F1" w:rsidRPr="00D948C1">
              <w:rPr>
                <w:szCs w:val="24"/>
              </w:rPr>
              <w:t>defined benefit asset</w:t>
            </w:r>
          </w:p>
          <w:p w14:paraId="2E57A351" w14:textId="77777777" w:rsidR="00DB72E6" w:rsidRPr="00D948C1" w:rsidRDefault="00DB72E6" w:rsidP="006C0086">
            <w:pPr>
              <w:spacing w:line="276" w:lineRule="auto"/>
              <w:rPr>
                <w:szCs w:val="24"/>
              </w:rPr>
            </w:pPr>
            <w:r w:rsidRPr="00D948C1">
              <w:rPr>
                <w:szCs w:val="24"/>
              </w:rPr>
              <w:t>£-</w:t>
            </w:r>
          </w:p>
          <w:p w14:paraId="4A892F95" w14:textId="10CB2A5B" w:rsidR="00DB72E6" w:rsidRPr="00D948C1" w:rsidRDefault="00DB72E6" w:rsidP="006C0086">
            <w:pPr>
              <w:spacing w:line="276" w:lineRule="auto"/>
              <w:rPr>
                <w:szCs w:val="24"/>
              </w:rPr>
            </w:pPr>
            <w:r w:rsidRPr="00D948C1">
              <w:rPr>
                <w:szCs w:val="24"/>
              </w:rPr>
              <w:t>(202</w:t>
            </w:r>
            <w:r w:rsidR="009410F0" w:rsidRPr="00D948C1">
              <w:rPr>
                <w:szCs w:val="24"/>
              </w:rPr>
              <w:t>2</w:t>
            </w:r>
            <w:r w:rsidRPr="00D948C1">
              <w:rPr>
                <w:szCs w:val="24"/>
              </w:rPr>
              <w:t>/2</w:t>
            </w:r>
            <w:r w:rsidR="009410F0" w:rsidRPr="00D948C1">
              <w:rPr>
                <w:szCs w:val="24"/>
              </w:rPr>
              <w:t>3</w:t>
            </w:r>
            <w:r w:rsidRPr="00D948C1">
              <w:rPr>
                <w:szCs w:val="24"/>
              </w:rPr>
              <w:t xml:space="preserve">: </w:t>
            </w:r>
            <w:r w:rsidR="009410F0" w:rsidRPr="00D948C1">
              <w:rPr>
                <w:szCs w:val="24"/>
              </w:rPr>
              <w:t>£-</w:t>
            </w:r>
            <w:r w:rsidRPr="00D948C1">
              <w:rPr>
                <w:szCs w:val="24"/>
              </w:rPr>
              <w:t>)</w:t>
            </w:r>
          </w:p>
        </w:tc>
        <w:tc>
          <w:tcPr>
            <w:tcW w:w="4084" w:type="dxa"/>
            <w:shd w:val="clear" w:color="auto" w:fill="auto"/>
          </w:tcPr>
          <w:p w14:paraId="0BF34DDC" w14:textId="679CF2ED" w:rsidR="00116F83" w:rsidRPr="00D948C1" w:rsidRDefault="00116F83" w:rsidP="006C0086">
            <w:pPr>
              <w:spacing w:line="276" w:lineRule="auto"/>
              <w:rPr>
                <w:szCs w:val="24"/>
              </w:rPr>
            </w:pPr>
            <w:r w:rsidRPr="00D948C1">
              <w:rPr>
                <w:szCs w:val="24"/>
              </w:rPr>
              <w:t>The assumptions used are like those used to calculate the pension liability and actuaries are consulted to provide expert advice on the assumptions to be used.</w:t>
            </w:r>
          </w:p>
        </w:tc>
        <w:tc>
          <w:tcPr>
            <w:tcW w:w="3969" w:type="dxa"/>
            <w:shd w:val="clear" w:color="auto" w:fill="auto"/>
          </w:tcPr>
          <w:p w14:paraId="6AFD40FC" w14:textId="34470AE6" w:rsidR="000F38E6" w:rsidRPr="00D948C1" w:rsidRDefault="00116F83" w:rsidP="006C0086">
            <w:pPr>
              <w:spacing w:line="276" w:lineRule="auto"/>
              <w:rPr>
                <w:szCs w:val="24"/>
              </w:rPr>
            </w:pPr>
            <w:r w:rsidRPr="00D948C1">
              <w:rPr>
                <w:szCs w:val="24"/>
              </w:rPr>
              <w:t xml:space="preserve">The Authority </w:t>
            </w:r>
            <w:r w:rsidR="00C7682B" w:rsidRPr="00D948C1">
              <w:rPr>
                <w:szCs w:val="24"/>
              </w:rPr>
              <w:t xml:space="preserve">has reduced the scheme’s </w:t>
            </w:r>
            <w:r w:rsidR="00DD3316" w:rsidRPr="00D948C1">
              <w:rPr>
                <w:szCs w:val="24"/>
              </w:rPr>
              <w:t>net</w:t>
            </w:r>
            <w:r w:rsidR="00C7682B" w:rsidRPr="00D948C1">
              <w:rPr>
                <w:szCs w:val="24"/>
              </w:rPr>
              <w:t xml:space="preserve"> asset to nil based on this assessment.</w:t>
            </w:r>
          </w:p>
          <w:p w14:paraId="3A879DD5" w14:textId="77777777" w:rsidR="00C7682B" w:rsidRPr="00D948C1" w:rsidRDefault="00C7682B" w:rsidP="006C0086">
            <w:pPr>
              <w:spacing w:line="276" w:lineRule="auto"/>
              <w:rPr>
                <w:szCs w:val="24"/>
              </w:rPr>
            </w:pPr>
          </w:p>
          <w:p w14:paraId="0FFEA586" w14:textId="01BDB904" w:rsidR="00C7682B" w:rsidRPr="00D948C1" w:rsidRDefault="00C7682B" w:rsidP="006C0086">
            <w:pPr>
              <w:spacing w:line="276" w:lineRule="auto"/>
              <w:rPr>
                <w:szCs w:val="24"/>
              </w:rPr>
            </w:pPr>
            <w:r w:rsidRPr="00D948C1">
              <w:rPr>
                <w:szCs w:val="24"/>
              </w:rPr>
              <w:t xml:space="preserve">It is estimated that a 1% increase in the future accounting service cost would </w:t>
            </w:r>
            <w:r w:rsidR="006A0EE8" w:rsidRPr="00D948C1">
              <w:rPr>
                <w:szCs w:val="24"/>
              </w:rPr>
              <w:t>not</w:t>
            </w:r>
            <w:r w:rsidRPr="00D948C1">
              <w:rPr>
                <w:szCs w:val="24"/>
              </w:rPr>
              <w:t xml:space="preserve"> le</w:t>
            </w:r>
            <w:r w:rsidR="006A0EE8" w:rsidRPr="00D948C1">
              <w:rPr>
                <w:szCs w:val="24"/>
              </w:rPr>
              <w:t>a</w:t>
            </w:r>
            <w:r w:rsidRPr="00D948C1">
              <w:rPr>
                <w:szCs w:val="24"/>
              </w:rPr>
              <w:t xml:space="preserve">d to the Authority having a pension asset </w:t>
            </w:r>
            <w:r w:rsidR="00704E87" w:rsidRPr="00D948C1">
              <w:rPr>
                <w:szCs w:val="24"/>
              </w:rPr>
              <w:t xml:space="preserve">ceiling </w:t>
            </w:r>
            <w:r w:rsidR="006A0EE8" w:rsidRPr="00D948C1">
              <w:rPr>
                <w:szCs w:val="24"/>
              </w:rPr>
              <w:t>above £0.</w:t>
            </w:r>
          </w:p>
        </w:tc>
      </w:tr>
    </w:tbl>
    <w:bookmarkEnd w:id="75"/>
    <w:p w14:paraId="52731361" w14:textId="77777777" w:rsidR="00DF4B1E" w:rsidRPr="00D948C1" w:rsidRDefault="00DF4B1E" w:rsidP="006C0086">
      <w:pPr>
        <w:spacing w:line="276" w:lineRule="auto"/>
        <w:ind w:left="374"/>
        <w:jc w:val="both"/>
        <w:rPr>
          <w:sz w:val="22"/>
          <w:szCs w:val="22"/>
        </w:rPr>
      </w:pPr>
      <w:r w:rsidRPr="00D948C1">
        <w:rPr>
          <w:sz w:val="22"/>
          <w:szCs w:val="22"/>
        </w:rPr>
        <w:t xml:space="preserve"> </w:t>
      </w:r>
    </w:p>
    <w:p w14:paraId="52685EC2" w14:textId="6DB26CE5" w:rsidR="006563F1" w:rsidRPr="00D948C1" w:rsidRDefault="00DF4B1E" w:rsidP="006C0086">
      <w:pPr>
        <w:spacing w:line="276" w:lineRule="auto"/>
        <w:ind w:left="709"/>
        <w:rPr>
          <w:szCs w:val="24"/>
        </w:rPr>
      </w:pPr>
      <w:r w:rsidRPr="00D948C1">
        <w:rPr>
          <w:szCs w:val="24"/>
        </w:rPr>
        <w:t>This list does not include assets and liabilities that are carried at fair value based on a recently observed market price.</w:t>
      </w:r>
    </w:p>
    <w:p w14:paraId="70982843" w14:textId="69AFAFE2" w:rsidR="00D93871" w:rsidRPr="00D948C1" w:rsidRDefault="00D93871" w:rsidP="006C0086">
      <w:pPr>
        <w:spacing w:line="276" w:lineRule="auto"/>
        <w:rPr>
          <w:b/>
          <w:szCs w:val="24"/>
        </w:rPr>
      </w:pPr>
    </w:p>
    <w:p w14:paraId="6107AF67" w14:textId="71089063" w:rsidR="009B6F2A" w:rsidRPr="00D948C1" w:rsidRDefault="001C592E" w:rsidP="006C0086">
      <w:pPr>
        <w:pStyle w:val="Heading2"/>
        <w:spacing w:line="276" w:lineRule="auto"/>
        <w:jc w:val="left"/>
        <w:rPr>
          <w:sz w:val="24"/>
          <w:szCs w:val="24"/>
        </w:rPr>
      </w:pPr>
      <w:bookmarkStart w:id="76" w:name="_Toc171068811"/>
      <w:r w:rsidRPr="00D948C1">
        <w:rPr>
          <w:sz w:val="24"/>
          <w:szCs w:val="24"/>
        </w:rPr>
        <w:t>2</w:t>
      </w:r>
      <w:r w:rsidR="00535820" w:rsidRPr="00D948C1">
        <w:rPr>
          <w:sz w:val="24"/>
          <w:szCs w:val="24"/>
        </w:rPr>
        <w:t>7</w:t>
      </w:r>
      <w:r w:rsidR="006626A8" w:rsidRPr="00D948C1">
        <w:rPr>
          <w:sz w:val="24"/>
          <w:szCs w:val="24"/>
        </w:rPr>
        <w:tab/>
      </w:r>
      <w:r w:rsidR="00792963" w:rsidRPr="00D948C1">
        <w:rPr>
          <w:sz w:val="24"/>
          <w:szCs w:val="24"/>
        </w:rPr>
        <w:t>Expenditure and Income Analysed by Nature</w:t>
      </w:r>
      <w:bookmarkEnd w:id="76"/>
      <w:r w:rsidR="00B669BB" w:rsidRPr="00D948C1">
        <w:rPr>
          <w:sz w:val="24"/>
          <w:szCs w:val="24"/>
        </w:rPr>
        <w:t xml:space="preserve"> </w:t>
      </w:r>
    </w:p>
    <w:p w14:paraId="7EE0F6EE" w14:textId="77777777" w:rsidR="00DF4B1E" w:rsidRPr="00D948C1" w:rsidRDefault="00DF4B1E" w:rsidP="006C0086">
      <w:pPr>
        <w:spacing w:line="276" w:lineRule="auto"/>
        <w:rPr>
          <w:szCs w:val="24"/>
        </w:rPr>
      </w:pPr>
    </w:p>
    <w:p w14:paraId="702777EB" w14:textId="65151043" w:rsidR="00B55DEC" w:rsidRPr="00D948C1" w:rsidRDefault="00B55DEC" w:rsidP="006C0086">
      <w:pPr>
        <w:spacing w:line="276" w:lineRule="auto"/>
        <w:ind w:left="720"/>
        <w:rPr>
          <w:szCs w:val="24"/>
        </w:rPr>
      </w:pPr>
      <w:r w:rsidRPr="00D948C1">
        <w:rPr>
          <w:szCs w:val="24"/>
        </w:rPr>
        <w:t>The Authority’s expenditure and income is analysed as follows:</w:t>
      </w:r>
    </w:p>
    <w:p w14:paraId="71C24F82" w14:textId="77777777" w:rsidR="00787228" w:rsidRPr="00D948C1" w:rsidRDefault="00787228" w:rsidP="006C0086">
      <w:pPr>
        <w:spacing w:line="276" w:lineRule="auto"/>
        <w:ind w:left="720"/>
        <w:jc w:val="both"/>
        <w:rPr>
          <w:szCs w:val="24"/>
        </w:rPr>
      </w:pPr>
    </w:p>
    <w:tbl>
      <w:tblPr>
        <w:tblStyle w:val="TableGrid"/>
        <w:tblW w:w="8733" w:type="dxa"/>
        <w:tblInd w:w="720" w:type="dxa"/>
        <w:tblLook w:val="04A0" w:firstRow="1" w:lastRow="0" w:firstColumn="1" w:lastColumn="0" w:noHBand="0" w:noVBand="1"/>
      </w:tblPr>
      <w:tblGrid>
        <w:gridCol w:w="5342"/>
        <w:gridCol w:w="1635"/>
        <w:gridCol w:w="1756"/>
      </w:tblGrid>
      <w:tr w:rsidR="00670DBF" w:rsidRPr="00D948C1" w14:paraId="5BB1E432" w14:textId="77777777" w:rsidTr="00611673">
        <w:trPr>
          <w:tblHeader/>
        </w:trPr>
        <w:tc>
          <w:tcPr>
            <w:tcW w:w="5342" w:type="dxa"/>
            <w:shd w:val="clear" w:color="auto" w:fill="BD2716"/>
          </w:tcPr>
          <w:p w14:paraId="353060D1" w14:textId="77777777" w:rsidR="00670DBF" w:rsidRPr="00D948C1" w:rsidRDefault="00670DBF" w:rsidP="006C0086">
            <w:pPr>
              <w:spacing w:line="276" w:lineRule="auto"/>
              <w:jc w:val="both"/>
              <w:rPr>
                <w:color w:val="FFFFFF" w:themeColor="background1"/>
                <w:szCs w:val="24"/>
              </w:rPr>
            </w:pPr>
          </w:p>
        </w:tc>
        <w:tc>
          <w:tcPr>
            <w:tcW w:w="1635" w:type="dxa"/>
            <w:shd w:val="clear" w:color="auto" w:fill="BD2716"/>
            <w:vAlign w:val="center"/>
          </w:tcPr>
          <w:p w14:paraId="24FB8E3D" w14:textId="1273856E" w:rsidR="00670DBF" w:rsidRPr="00D948C1" w:rsidRDefault="00670DBF" w:rsidP="006C0086">
            <w:pPr>
              <w:spacing w:line="276" w:lineRule="auto"/>
              <w:jc w:val="right"/>
              <w:rPr>
                <w:color w:val="FFFFFF" w:themeColor="background1"/>
                <w:szCs w:val="24"/>
              </w:rPr>
            </w:pPr>
            <w:r w:rsidRPr="00D948C1">
              <w:rPr>
                <w:color w:val="FFFFFF" w:themeColor="background1"/>
                <w:szCs w:val="24"/>
              </w:rPr>
              <w:t>202</w:t>
            </w:r>
            <w:r w:rsidR="002823FC" w:rsidRPr="00D948C1">
              <w:rPr>
                <w:color w:val="FFFFFF" w:themeColor="background1"/>
                <w:szCs w:val="24"/>
              </w:rPr>
              <w:t>3</w:t>
            </w:r>
            <w:r w:rsidRPr="00D948C1">
              <w:rPr>
                <w:color w:val="FFFFFF" w:themeColor="background1"/>
                <w:szCs w:val="24"/>
              </w:rPr>
              <w:t>/2</w:t>
            </w:r>
            <w:r w:rsidR="002823FC" w:rsidRPr="00D948C1">
              <w:rPr>
                <w:color w:val="FFFFFF" w:themeColor="background1"/>
                <w:szCs w:val="24"/>
              </w:rPr>
              <w:t>4</w:t>
            </w:r>
          </w:p>
          <w:p w14:paraId="1BFF01E0" w14:textId="36B6C32D" w:rsidR="001431C3" w:rsidRPr="00D948C1" w:rsidRDefault="001431C3" w:rsidP="006C0086">
            <w:pPr>
              <w:spacing w:line="276" w:lineRule="auto"/>
              <w:jc w:val="right"/>
              <w:rPr>
                <w:color w:val="FFFFFF" w:themeColor="background1"/>
                <w:szCs w:val="24"/>
              </w:rPr>
            </w:pPr>
            <w:r w:rsidRPr="00D948C1">
              <w:rPr>
                <w:color w:val="FFFFFF" w:themeColor="background1"/>
                <w:szCs w:val="24"/>
              </w:rPr>
              <w:t>£000</w:t>
            </w:r>
          </w:p>
        </w:tc>
        <w:tc>
          <w:tcPr>
            <w:tcW w:w="1756" w:type="dxa"/>
            <w:shd w:val="clear" w:color="auto" w:fill="BD2716"/>
            <w:vAlign w:val="center"/>
          </w:tcPr>
          <w:p w14:paraId="4A29F251" w14:textId="77777777" w:rsidR="002823FC" w:rsidRPr="00D948C1" w:rsidRDefault="002823FC" w:rsidP="006C0086">
            <w:pPr>
              <w:spacing w:line="276" w:lineRule="auto"/>
              <w:jc w:val="right"/>
              <w:rPr>
                <w:color w:val="FFFFFF" w:themeColor="background1"/>
                <w:szCs w:val="24"/>
              </w:rPr>
            </w:pPr>
            <w:r w:rsidRPr="00D948C1">
              <w:rPr>
                <w:color w:val="FFFFFF" w:themeColor="background1"/>
                <w:szCs w:val="24"/>
              </w:rPr>
              <w:t>2022/23</w:t>
            </w:r>
          </w:p>
          <w:p w14:paraId="459813D8" w14:textId="4641E7B7" w:rsidR="001431C3" w:rsidRPr="00D948C1" w:rsidRDefault="002823FC" w:rsidP="006C0086">
            <w:pPr>
              <w:spacing w:line="276" w:lineRule="auto"/>
              <w:jc w:val="right"/>
              <w:rPr>
                <w:color w:val="FFFFFF" w:themeColor="background1"/>
                <w:szCs w:val="24"/>
              </w:rPr>
            </w:pPr>
            <w:r w:rsidRPr="00D948C1">
              <w:rPr>
                <w:color w:val="FFFFFF" w:themeColor="background1"/>
                <w:szCs w:val="24"/>
              </w:rPr>
              <w:t>£000</w:t>
            </w:r>
          </w:p>
        </w:tc>
      </w:tr>
      <w:tr w:rsidR="006563F1" w:rsidRPr="00D948C1" w14:paraId="5253255C" w14:textId="77777777" w:rsidTr="00982FEC">
        <w:tc>
          <w:tcPr>
            <w:tcW w:w="8733" w:type="dxa"/>
            <w:gridSpan w:val="3"/>
            <w:shd w:val="clear" w:color="auto" w:fill="D9D9D9" w:themeFill="background1" w:themeFillShade="D9"/>
          </w:tcPr>
          <w:p w14:paraId="60FA43F0" w14:textId="26CE5BEB" w:rsidR="006563F1" w:rsidRPr="00D948C1" w:rsidRDefault="006563F1" w:rsidP="006C0086">
            <w:pPr>
              <w:spacing w:line="276" w:lineRule="auto"/>
              <w:rPr>
                <w:b/>
                <w:bCs/>
                <w:szCs w:val="24"/>
              </w:rPr>
            </w:pPr>
            <w:r w:rsidRPr="00D948C1">
              <w:rPr>
                <w:b/>
                <w:bCs/>
                <w:szCs w:val="24"/>
              </w:rPr>
              <w:t>Expenditure</w:t>
            </w:r>
          </w:p>
        </w:tc>
      </w:tr>
      <w:tr w:rsidR="002823FC" w:rsidRPr="00D948C1" w14:paraId="30DDF015" w14:textId="77777777" w:rsidTr="003572E5">
        <w:trPr>
          <w:trHeight w:val="278"/>
        </w:trPr>
        <w:tc>
          <w:tcPr>
            <w:tcW w:w="5342" w:type="dxa"/>
          </w:tcPr>
          <w:p w14:paraId="5ACD2E8F" w14:textId="77777777" w:rsidR="002823FC" w:rsidRPr="00D948C1" w:rsidRDefault="002823FC" w:rsidP="006C0086">
            <w:pPr>
              <w:spacing w:line="276" w:lineRule="auto"/>
              <w:rPr>
                <w:szCs w:val="24"/>
              </w:rPr>
            </w:pPr>
            <w:r w:rsidRPr="00D948C1">
              <w:rPr>
                <w:szCs w:val="24"/>
              </w:rPr>
              <w:t>Employee benefits expenses</w:t>
            </w:r>
          </w:p>
        </w:tc>
        <w:tc>
          <w:tcPr>
            <w:tcW w:w="1635" w:type="dxa"/>
            <w:vAlign w:val="center"/>
          </w:tcPr>
          <w:p w14:paraId="0C80129F" w14:textId="4D9CAB80" w:rsidR="002823FC" w:rsidRPr="00D948C1" w:rsidRDefault="006A0EE8" w:rsidP="006C0086">
            <w:pPr>
              <w:tabs>
                <w:tab w:val="decimal" w:pos="1080"/>
              </w:tabs>
              <w:spacing w:line="276" w:lineRule="auto"/>
              <w:jc w:val="right"/>
              <w:rPr>
                <w:szCs w:val="24"/>
              </w:rPr>
            </w:pPr>
            <w:r w:rsidRPr="00D948C1">
              <w:rPr>
                <w:szCs w:val="24"/>
              </w:rPr>
              <w:t>31,622</w:t>
            </w:r>
            <w:r w:rsidR="002823FC" w:rsidRPr="00D948C1">
              <w:rPr>
                <w:szCs w:val="24"/>
              </w:rPr>
              <w:t xml:space="preserve"> </w:t>
            </w:r>
          </w:p>
        </w:tc>
        <w:tc>
          <w:tcPr>
            <w:tcW w:w="1756" w:type="dxa"/>
            <w:vAlign w:val="center"/>
          </w:tcPr>
          <w:p w14:paraId="2379FB8A" w14:textId="415A9942" w:rsidR="002823FC" w:rsidRPr="00D948C1" w:rsidRDefault="002823FC" w:rsidP="006C0086">
            <w:pPr>
              <w:tabs>
                <w:tab w:val="decimal" w:pos="1080"/>
              </w:tabs>
              <w:spacing w:line="276" w:lineRule="auto"/>
              <w:jc w:val="right"/>
              <w:rPr>
                <w:szCs w:val="24"/>
              </w:rPr>
            </w:pPr>
            <w:r w:rsidRPr="00D948C1">
              <w:rPr>
                <w:szCs w:val="24"/>
              </w:rPr>
              <w:t xml:space="preserve">42,073 </w:t>
            </w:r>
          </w:p>
        </w:tc>
      </w:tr>
      <w:tr w:rsidR="002823FC" w:rsidRPr="00D948C1" w14:paraId="5D019BE9" w14:textId="77777777" w:rsidTr="003572E5">
        <w:trPr>
          <w:trHeight w:val="278"/>
        </w:trPr>
        <w:tc>
          <w:tcPr>
            <w:tcW w:w="5342" w:type="dxa"/>
          </w:tcPr>
          <w:p w14:paraId="4D5018EA" w14:textId="77777777" w:rsidR="002823FC" w:rsidRPr="00D948C1" w:rsidRDefault="002823FC" w:rsidP="006C0086">
            <w:pPr>
              <w:spacing w:line="276" w:lineRule="auto"/>
              <w:rPr>
                <w:szCs w:val="24"/>
              </w:rPr>
            </w:pPr>
            <w:r w:rsidRPr="00D948C1">
              <w:rPr>
                <w:szCs w:val="24"/>
              </w:rPr>
              <w:t>Other services expenses</w:t>
            </w:r>
          </w:p>
        </w:tc>
        <w:tc>
          <w:tcPr>
            <w:tcW w:w="1635" w:type="dxa"/>
            <w:vAlign w:val="center"/>
          </w:tcPr>
          <w:p w14:paraId="14D8A732" w14:textId="47F83E54" w:rsidR="002823FC" w:rsidRPr="00D948C1" w:rsidRDefault="002823FC" w:rsidP="006C0086">
            <w:pPr>
              <w:tabs>
                <w:tab w:val="decimal" w:pos="1080"/>
              </w:tabs>
              <w:spacing w:line="276" w:lineRule="auto"/>
              <w:jc w:val="right"/>
              <w:rPr>
                <w:szCs w:val="24"/>
              </w:rPr>
            </w:pPr>
            <w:r w:rsidRPr="00D948C1">
              <w:rPr>
                <w:szCs w:val="24"/>
              </w:rPr>
              <w:t>1</w:t>
            </w:r>
            <w:r w:rsidR="006A0EE8" w:rsidRPr="00D948C1">
              <w:rPr>
                <w:szCs w:val="24"/>
              </w:rPr>
              <w:t>6,720</w:t>
            </w:r>
            <w:r w:rsidRPr="00D948C1">
              <w:rPr>
                <w:szCs w:val="24"/>
              </w:rPr>
              <w:t xml:space="preserve"> </w:t>
            </w:r>
          </w:p>
        </w:tc>
        <w:tc>
          <w:tcPr>
            <w:tcW w:w="1756" w:type="dxa"/>
            <w:vAlign w:val="center"/>
          </w:tcPr>
          <w:p w14:paraId="1BD8DEA7" w14:textId="2B68FB0D" w:rsidR="002823FC" w:rsidRPr="00D948C1" w:rsidRDefault="002823FC" w:rsidP="006C0086">
            <w:pPr>
              <w:tabs>
                <w:tab w:val="decimal" w:pos="1080"/>
              </w:tabs>
              <w:spacing w:line="276" w:lineRule="auto"/>
              <w:jc w:val="right"/>
              <w:rPr>
                <w:szCs w:val="24"/>
              </w:rPr>
            </w:pPr>
            <w:r w:rsidRPr="00D948C1">
              <w:rPr>
                <w:szCs w:val="24"/>
              </w:rPr>
              <w:t xml:space="preserve">13,980 </w:t>
            </w:r>
          </w:p>
        </w:tc>
      </w:tr>
      <w:tr w:rsidR="002823FC" w:rsidRPr="00D948C1" w14:paraId="22BBC866" w14:textId="77777777" w:rsidTr="003572E5">
        <w:trPr>
          <w:trHeight w:val="278"/>
        </w:trPr>
        <w:tc>
          <w:tcPr>
            <w:tcW w:w="5342" w:type="dxa"/>
          </w:tcPr>
          <w:p w14:paraId="21C71D9A" w14:textId="77777777" w:rsidR="002823FC" w:rsidRPr="00D948C1" w:rsidRDefault="002823FC" w:rsidP="006C0086">
            <w:pPr>
              <w:spacing w:line="276" w:lineRule="auto"/>
              <w:rPr>
                <w:szCs w:val="24"/>
              </w:rPr>
            </w:pPr>
            <w:r w:rsidRPr="00D948C1">
              <w:rPr>
                <w:szCs w:val="24"/>
              </w:rPr>
              <w:t>Support service recharges</w:t>
            </w:r>
          </w:p>
        </w:tc>
        <w:tc>
          <w:tcPr>
            <w:tcW w:w="1635" w:type="dxa"/>
            <w:vAlign w:val="center"/>
          </w:tcPr>
          <w:p w14:paraId="6EC75C42" w14:textId="311FE79A" w:rsidR="002823FC" w:rsidRPr="00D948C1" w:rsidRDefault="002823FC" w:rsidP="006C0086">
            <w:pPr>
              <w:tabs>
                <w:tab w:val="decimal" w:pos="1080"/>
              </w:tabs>
              <w:spacing w:line="276" w:lineRule="auto"/>
              <w:jc w:val="right"/>
              <w:rPr>
                <w:szCs w:val="24"/>
              </w:rPr>
            </w:pPr>
            <w:r w:rsidRPr="00D948C1">
              <w:rPr>
                <w:szCs w:val="24"/>
              </w:rPr>
              <w:t xml:space="preserve">- </w:t>
            </w:r>
          </w:p>
        </w:tc>
        <w:tc>
          <w:tcPr>
            <w:tcW w:w="1756" w:type="dxa"/>
            <w:vAlign w:val="center"/>
          </w:tcPr>
          <w:p w14:paraId="2E83669D" w14:textId="78B28C97" w:rsidR="002823FC" w:rsidRPr="00D948C1" w:rsidRDefault="002823FC" w:rsidP="006C0086">
            <w:pPr>
              <w:tabs>
                <w:tab w:val="decimal" w:pos="1080"/>
              </w:tabs>
              <w:spacing w:line="276" w:lineRule="auto"/>
              <w:jc w:val="right"/>
              <w:rPr>
                <w:szCs w:val="24"/>
              </w:rPr>
            </w:pPr>
            <w:r w:rsidRPr="00D948C1">
              <w:rPr>
                <w:szCs w:val="24"/>
              </w:rPr>
              <w:t xml:space="preserve">- </w:t>
            </w:r>
          </w:p>
        </w:tc>
      </w:tr>
      <w:tr w:rsidR="002823FC" w:rsidRPr="00D948C1" w14:paraId="40D88B66" w14:textId="77777777" w:rsidTr="003572E5">
        <w:trPr>
          <w:trHeight w:val="278"/>
        </w:trPr>
        <w:tc>
          <w:tcPr>
            <w:tcW w:w="5342" w:type="dxa"/>
          </w:tcPr>
          <w:p w14:paraId="1903ADD3" w14:textId="61463E78" w:rsidR="002823FC" w:rsidRPr="00D948C1" w:rsidRDefault="002823FC" w:rsidP="006C0086">
            <w:pPr>
              <w:spacing w:line="276" w:lineRule="auto"/>
              <w:rPr>
                <w:szCs w:val="24"/>
              </w:rPr>
            </w:pPr>
            <w:r w:rsidRPr="00D948C1">
              <w:rPr>
                <w:szCs w:val="24"/>
              </w:rPr>
              <w:t xml:space="preserve">Depreciation, amortisation, and impairment </w:t>
            </w:r>
          </w:p>
        </w:tc>
        <w:tc>
          <w:tcPr>
            <w:tcW w:w="1635" w:type="dxa"/>
            <w:vAlign w:val="center"/>
          </w:tcPr>
          <w:p w14:paraId="3D30370B" w14:textId="028256DB" w:rsidR="002823FC" w:rsidRPr="00D948C1" w:rsidRDefault="006A0EE8" w:rsidP="006C0086">
            <w:pPr>
              <w:tabs>
                <w:tab w:val="decimal" w:pos="1080"/>
              </w:tabs>
              <w:spacing w:line="276" w:lineRule="auto"/>
              <w:jc w:val="right"/>
              <w:rPr>
                <w:szCs w:val="24"/>
              </w:rPr>
            </w:pPr>
            <w:r w:rsidRPr="00D948C1">
              <w:rPr>
                <w:szCs w:val="24"/>
              </w:rPr>
              <w:t>6,053</w:t>
            </w:r>
            <w:r w:rsidR="002823FC" w:rsidRPr="00D948C1">
              <w:rPr>
                <w:szCs w:val="24"/>
              </w:rPr>
              <w:t xml:space="preserve"> </w:t>
            </w:r>
          </w:p>
        </w:tc>
        <w:tc>
          <w:tcPr>
            <w:tcW w:w="1756" w:type="dxa"/>
            <w:vAlign w:val="center"/>
          </w:tcPr>
          <w:p w14:paraId="7B13879A" w14:textId="4B7AEE4C" w:rsidR="002823FC" w:rsidRPr="00D948C1" w:rsidRDefault="002823FC" w:rsidP="006C0086">
            <w:pPr>
              <w:tabs>
                <w:tab w:val="decimal" w:pos="1080"/>
              </w:tabs>
              <w:spacing w:line="276" w:lineRule="auto"/>
              <w:jc w:val="right"/>
              <w:rPr>
                <w:szCs w:val="24"/>
              </w:rPr>
            </w:pPr>
            <w:r w:rsidRPr="00D948C1">
              <w:rPr>
                <w:szCs w:val="24"/>
              </w:rPr>
              <w:t xml:space="preserve">5,953 </w:t>
            </w:r>
          </w:p>
        </w:tc>
      </w:tr>
      <w:tr w:rsidR="002823FC" w:rsidRPr="00D948C1" w14:paraId="6E9A6706" w14:textId="77777777" w:rsidTr="003572E5">
        <w:trPr>
          <w:trHeight w:val="278"/>
        </w:trPr>
        <w:tc>
          <w:tcPr>
            <w:tcW w:w="5342" w:type="dxa"/>
          </w:tcPr>
          <w:p w14:paraId="4E68AB7C" w14:textId="77777777" w:rsidR="002823FC" w:rsidRPr="00D948C1" w:rsidRDefault="002823FC" w:rsidP="006C0086">
            <w:pPr>
              <w:spacing w:line="276" w:lineRule="auto"/>
              <w:rPr>
                <w:szCs w:val="24"/>
              </w:rPr>
            </w:pPr>
            <w:r w:rsidRPr="00D948C1">
              <w:rPr>
                <w:szCs w:val="24"/>
              </w:rPr>
              <w:t>Interest payments</w:t>
            </w:r>
          </w:p>
        </w:tc>
        <w:tc>
          <w:tcPr>
            <w:tcW w:w="1635" w:type="dxa"/>
            <w:vAlign w:val="center"/>
          </w:tcPr>
          <w:p w14:paraId="20878F50" w14:textId="15719F77" w:rsidR="002823FC" w:rsidRPr="00D948C1" w:rsidRDefault="006A0EE8" w:rsidP="006C0086">
            <w:pPr>
              <w:tabs>
                <w:tab w:val="decimal" w:pos="1080"/>
              </w:tabs>
              <w:spacing w:line="276" w:lineRule="auto"/>
              <w:jc w:val="right"/>
              <w:rPr>
                <w:szCs w:val="24"/>
              </w:rPr>
            </w:pPr>
            <w:r w:rsidRPr="00D948C1">
              <w:rPr>
                <w:szCs w:val="24"/>
              </w:rPr>
              <w:t>30,115</w:t>
            </w:r>
            <w:r w:rsidR="002823FC" w:rsidRPr="00D948C1">
              <w:rPr>
                <w:szCs w:val="24"/>
              </w:rPr>
              <w:t xml:space="preserve"> </w:t>
            </w:r>
          </w:p>
        </w:tc>
        <w:tc>
          <w:tcPr>
            <w:tcW w:w="1756" w:type="dxa"/>
            <w:vAlign w:val="center"/>
          </w:tcPr>
          <w:p w14:paraId="1631B3FC" w14:textId="24DE8150" w:rsidR="002823FC" w:rsidRPr="00D948C1" w:rsidRDefault="002823FC" w:rsidP="006C0086">
            <w:pPr>
              <w:tabs>
                <w:tab w:val="decimal" w:pos="1080"/>
              </w:tabs>
              <w:spacing w:line="276" w:lineRule="auto"/>
              <w:jc w:val="right"/>
              <w:rPr>
                <w:szCs w:val="24"/>
              </w:rPr>
            </w:pPr>
            <w:r w:rsidRPr="00D948C1">
              <w:rPr>
                <w:szCs w:val="24"/>
              </w:rPr>
              <w:t xml:space="preserve">24,634 </w:t>
            </w:r>
          </w:p>
        </w:tc>
      </w:tr>
      <w:tr w:rsidR="002823FC" w:rsidRPr="00D948C1" w14:paraId="2818003E" w14:textId="77777777" w:rsidTr="003572E5">
        <w:trPr>
          <w:trHeight w:val="278"/>
        </w:trPr>
        <w:tc>
          <w:tcPr>
            <w:tcW w:w="5342" w:type="dxa"/>
          </w:tcPr>
          <w:p w14:paraId="346F4CE3" w14:textId="356285ED" w:rsidR="002823FC" w:rsidRPr="00D948C1" w:rsidRDefault="006A0EE8" w:rsidP="006C0086">
            <w:pPr>
              <w:spacing w:line="276" w:lineRule="auto"/>
              <w:rPr>
                <w:szCs w:val="24"/>
              </w:rPr>
            </w:pPr>
            <w:r w:rsidRPr="00D948C1">
              <w:rPr>
                <w:szCs w:val="24"/>
              </w:rPr>
              <w:t>(</w:t>
            </w:r>
            <w:r w:rsidR="002823FC" w:rsidRPr="00D948C1">
              <w:rPr>
                <w:szCs w:val="24"/>
              </w:rPr>
              <w:t>Gain</w:t>
            </w:r>
            <w:r w:rsidRPr="00D948C1">
              <w:rPr>
                <w:szCs w:val="24"/>
              </w:rPr>
              <w:t>)/loss</w:t>
            </w:r>
            <w:r w:rsidR="002823FC" w:rsidRPr="00D948C1">
              <w:rPr>
                <w:szCs w:val="24"/>
              </w:rPr>
              <w:t xml:space="preserve"> on disposal of fixed assets</w:t>
            </w:r>
          </w:p>
        </w:tc>
        <w:tc>
          <w:tcPr>
            <w:tcW w:w="1635" w:type="dxa"/>
            <w:vAlign w:val="center"/>
          </w:tcPr>
          <w:p w14:paraId="2CE5761C" w14:textId="4F36E87D" w:rsidR="002823FC" w:rsidRPr="00D948C1" w:rsidRDefault="006A0EE8" w:rsidP="006C0086">
            <w:pPr>
              <w:tabs>
                <w:tab w:val="decimal" w:pos="1080"/>
              </w:tabs>
              <w:spacing w:line="276" w:lineRule="auto"/>
              <w:jc w:val="right"/>
              <w:rPr>
                <w:szCs w:val="24"/>
              </w:rPr>
            </w:pPr>
            <w:r w:rsidRPr="00D948C1">
              <w:rPr>
                <w:szCs w:val="24"/>
              </w:rPr>
              <w:t>32</w:t>
            </w:r>
          </w:p>
        </w:tc>
        <w:tc>
          <w:tcPr>
            <w:tcW w:w="1756" w:type="dxa"/>
            <w:vAlign w:val="center"/>
          </w:tcPr>
          <w:p w14:paraId="27C6007F" w14:textId="14ADF2DC" w:rsidR="002823FC" w:rsidRPr="00D948C1" w:rsidRDefault="002823FC" w:rsidP="006C0086">
            <w:pPr>
              <w:tabs>
                <w:tab w:val="decimal" w:pos="1080"/>
              </w:tabs>
              <w:spacing w:line="276" w:lineRule="auto"/>
              <w:jc w:val="right"/>
              <w:rPr>
                <w:szCs w:val="24"/>
              </w:rPr>
            </w:pPr>
            <w:r w:rsidRPr="00D948C1">
              <w:rPr>
                <w:szCs w:val="24"/>
              </w:rPr>
              <w:t>(9)</w:t>
            </w:r>
          </w:p>
        </w:tc>
      </w:tr>
      <w:tr w:rsidR="002823FC" w:rsidRPr="00D948C1" w14:paraId="4AE3A16A" w14:textId="77777777" w:rsidTr="003572E5">
        <w:trPr>
          <w:trHeight w:val="278"/>
        </w:trPr>
        <w:tc>
          <w:tcPr>
            <w:tcW w:w="5342" w:type="dxa"/>
          </w:tcPr>
          <w:p w14:paraId="3BCE03D8" w14:textId="77777777" w:rsidR="002823FC" w:rsidRPr="00D948C1" w:rsidRDefault="002823FC" w:rsidP="006C0086">
            <w:pPr>
              <w:spacing w:line="276" w:lineRule="auto"/>
              <w:rPr>
                <w:b/>
                <w:bCs/>
                <w:szCs w:val="24"/>
              </w:rPr>
            </w:pPr>
            <w:r w:rsidRPr="00D948C1">
              <w:rPr>
                <w:b/>
                <w:bCs/>
                <w:szCs w:val="24"/>
              </w:rPr>
              <w:t>Total expenditure</w:t>
            </w:r>
          </w:p>
        </w:tc>
        <w:tc>
          <w:tcPr>
            <w:tcW w:w="1635" w:type="dxa"/>
            <w:vAlign w:val="center"/>
          </w:tcPr>
          <w:p w14:paraId="69764D95" w14:textId="0F446A81" w:rsidR="002823FC" w:rsidRPr="00D948C1" w:rsidRDefault="002823FC" w:rsidP="006C0086">
            <w:pPr>
              <w:tabs>
                <w:tab w:val="decimal" w:pos="1080"/>
              </w:tabs>
              <w:spacing w:line="276" w:lineRule="auto"/>
              <w:jc w:val="right"/>
              <w:rPr>
                <w:b/>
                <w:bCs/>
                <w:szCs w:val="24"/>
              </w:rPr>
            </w:pPr>
            <w:r w:rsidRPr="00D948C1">
              <w:rPr>
                <w:b/>
                <w:bCs/>
                <w:szCs w:val="24"/>
              </w:rPr>
              <w:t>8</w:t>
            </w:r>
            <w:r w:rsidR="006A0EE8" w:rsidRPr="00D948C1">
              <w:rPr>
                <w:b/>
                <w:bCs/>
                <w:szCs w:val="24"/>
              </w:rPr>
              <w:t>4</w:t>
            </w:r>
            <w:r w:rsidRPr="00D948C1">
              <w:rPr>
                <w:b/>
                <w:bCs/>
                <w:szCs w:val="24"/>
              </w:rPr>
              <w:t>,</w:t>
            </w:r>
            <w:r w:rsidR="006A0EE8" w:rsidRPr="00D948C1">
              <w:rPr>
                <w:b/>
                <w:bCs/>
                <w:szCs w:val="24"/>
              </w:rPr>
              <w:t>542</w:t>
            </w:r>
            <w:r w:rsidRPr="00D948C1">
              <w:rPr>
                <w:b/>
                <w:bCs/>
                <w:szCs w:val="24"/>
              </w:rPr>
              <w:t xml:space="preserve"> </w:t>
            </w:r>
          </w:p>
        </w:tc>
        <w:tc>
          <w:tcPr>
            <w:tcW w:w="1756" w:type="dxa"/>
            <w:vAlign w:val="center"/>
          </w:tcPr>
          <w:p w14:paraId="175B7FC0" w14:textId="7897389F" w:rsidR="002823FC" w:rsidRPr="00D948C1" w:rsidRDefault="002823FC" w:rsidP="006C0086">
            <w:pPr>
              <w:tabs>
                <w:tab w:val="decimal" w:pos="1080"/>
              </w:tabs>
              <w:spacing w:line="276" w:lineRule="auto"/>
              <w:jc w:val="right"/>
              <w:rPr>
                <w:b/>
                <w:bCs/>
                <w:szCs w:val="24"/>
              </w:rPr>
            </w:pPr>
            <w:r w:rsidRPr="00D948C1">
              <w:rPr>
                <w:b/>
                <w:bCs/>
                <w:szCs w:val="24"/>
              </w:rPr>
              <w:t xml:space="preserve">86,631 </w:t>
            </w:r>
          </w:p>
        </w:tc>
      </w:tr>
    </w:tbl>
    <w:p w14:paraId="00499655" w14:textId="77777777" w:rsidR="00EC3487" w:rsidRPr="00D948C1" w:rsidRDefault="00EC3487" w:rsidP="006C0086">
      <w:pPr>
        <w:spacing w:line="276" w:lineRule="auto"/>
      </w:pPr>
    </w:p>
    <w:tbl>
      <w:tblPr>
        <w:tblStyle w:val="TableGrid"/>
        <w:tblW w:w="8733" w:type="dxa"/>
        <w:tblInd w:w="720" w:type="dxa"/>
        <w:tblLook w:val="04A0" w:firstRow="1" w:lastRow="0" w:firstColumn="1" w:lastColumn="0" w:noHBand="0" w:noVBand="1"/>
      </w:tblPr>
      <w:tblGrid>
        <w:gridCol w:w="5342"/>
        <w:gridCol w:w="1635"/>
        <w:gridCol w:w="1756"/>
      </w:tblGrid>
      <w:tr w:rsidR="006563F1" w:rsidRPr="00D948C1" w14:paraId="0BDC29F3" w14:textId="77777777" w:rsidTr="00982FEC">
        <w:tc>
          <w:tcPr>
            <w:tcW w:w="8733" w:type="dxa"/>
            <w:gridSpan w:val="3"/>
            <w:shd w:val="clear" w:color="auto" w:fill="D9D9D9" w:themeFill="background1" w:themeFillShade="D9"/>
          </w:tcPr>
          <w:p w14:paraId="524B03A5" w14:textId="4BCE9E2D" w:rsidR="006563F1" w:rsidRPr="00D948C1" w:rsidRDefault="006563F1" w:rsidP="006C0086">
            <w:pPr>
              <w:spacing w:line="276" w:lineRule="auto"/>
              <w:ind w:right="410"/>
              <w:rPr>
                <w:b/>
                <w:bCs/>
                <w:szCs w:val="24"/>
              </w:rPr>
            </w:pPr>
            <w:r w:rsidRPr="00D948C1">
              <w:rPr>
                <w:b/>
                <w:bCs/>
                <w:szCs w:val="24"/>
              </w:rPr>
              <w:lastRenderedPageBreak/>
              <w:t>Income</w:t>
            </w:r>
          </w:p>
        </w:tc>
      </w:tr>
      <w:tr w:rsidR="002823FC" w:rsidRPr="00D948C1" w14:paraId="2C43A9A1" w14:textId="77777777" w:rsidTr="003572E5">
        <w:trPr>
          <w:trHeight w:val="278"/>
        </w:trPr>
        <w:tc>
          <w:tcPr>
            <w:tcW w:w="5342" w:type="dxa"/>
          </w:tcPr>
          <w:p w14:paraId="1841F412" w14:textId="6531D34F" w:rsidR="002823FC" w:rsidRPr="00D948C1" w:rsidRDefault="002823FC" w:rsidP="006C0086">
            <w:pPr>
              <w:spacing w:line="276" w:lineRule="auto"/>
              <w:rPr>
                <w:szCs w:val="24"/>
              </w:rPr>
            </w:pPr>
            <w:r w:rsidRPr="00D948C1">
              <w:rPr>
                <w:szCs w:val="24"/>
              </w:rPr>
              <w:t>Fees, charges, and other service income</w:t>
            </w:r>
          </w:p>
        </w:tc>
        <w:tc>
          <w:tcPr>
            <w:tcW w:w="1635" w:type="dxa"/>
          </w:tcPr>
          <w:p w14:paraId="353D1122" w14:textId="35D93E37" w:rsidR="002823FC" w:rsidRPr="00D948C1" w:rsidRDefault="002823FC" w:rsidP="006C0086">
            <w:pPr>
              <w:tabs>
                <w:tab w:val="decimal" w:pos="1080"/>
              </w:tabs>
              <w:spacing w:line="276" w:lineRule="auto"/>
              <w:jc w:val="right"/>
              <w:rPr>
                <w:szCs w:val="24"/>
              </w:rPr>
            </w:pPr>
            <w:r w:rsidRPr="00D948C1">
              <w:rPr>
                <w:szCs w:val="24"/>
              </w:rPr>
              <w:t>(</w:t>
            </w:r>
            <w:r w:rsidR="006A0EE8" w:rsidRPr="00D948C1">
              <w:rPr>
                <w:szCs w:val="24"/>
              </w:rPr>
              <w:t>3,83</w:t>
            </w:r>
            <w:r w:rsidRPr="00D948C1">
              <w:rPr>
                <w:szCs w:val="24"/>
              </w:rPr>
              <w:t>2)</w:t>
            </w:r>
          </w:p>
        </w:tc>
        <w:tc>
          <w:tcPr>
            <w:tcW w:w="1756" w:type="dxa"/>
          </w:tcPr>
          <w:p w14:paraId="47C8006E" w14:textId="6FA55DC1" w:rsidR="002823FC" w:rsidRPr="00D948C1" w:rsidRDefault="002823FC" w:rsidP="006C0086">
            <w:pPr>
              <w:tabs>
                <w:tab w:val="decimal" w:pos="1080"/>
              </w:tabs>
              <w:spacing w:line="276" w:lineRule="auto"/>
              <w:jc w:val="right"/>
              <w:rPr>
                <w:szCs w:val="24"/>
              </w:rPr>
            </w:pPr>
            <w:r w:rsidRPr="00D948C1">
              <w:rPr>
                <w:szCs w:val="24"/>
              </w:rPr>
              <w:t>(2,542)</w:t>
            </w:r>
          </w:p>
        </w:tc>
      </w:tr>
      <w:tr w:rsidR="002823FC" w:rsidRPr="00D948C1" w14:paraId="46248DBE" w14:textId="77777777" w:rsidTr="003572E5">
        <w:trPr>
          <w:trHeight w:val="278"/>
        </w:trPr>
        <w:tc>
          <w:tcPr>
            <w:tcW w:w="5342" w:type="dxa"/>
          </w:tcPr>
          <w:p w14:paraId="3ACF50F2" w14:textId="77777777" w:rsidR="002823FC" w:rsidRPr="00D948C1" w:rsidRDefault="002823FC" w:rsidP="006C0086">
            <w:pPr>
              <w:spacing w:line="276" w:lineRule="auto"/>
              <w:rPr>
                <w:szCs w:val="24"/>
              </w:rPr>
            </w:pPr>
            <w:r w:rsidRPr="00D948C1">
              <w:rPr>
                <w:szCs w:val="24"/>
              </w:rPr>
              <w:t>Interest and investment income</w:t>
            </w:r>
          </w:p>
        </w:tc>
        <w:tc>
          <w:tcPr>
            <w:tcW w:w="1635" w:type="dxa"/>
          </w:tcPr>
          <w:p w14:paraId="3E611B05" w14:textId="417F70E9" w:rsidR="002823FC" w:rsidRPr="00D948C1" w:rsidRDefault="002823FC" w:rsidP="006C0086">
            <w:pPr>
              <w:tabs>
                <w:tab w:val="decimal" w:pos="1080"/>
              </w:tabs>
              <w:spacing w:line="276" w:lineRule="auto"/>
              <w:jc w:val="right"/>
              <w:rPr>
                <w:szCs w:val="24"/>
              </w:rPr>
            </w:pPr>
            <w:r w:rsidRPr="00D948C1">
              <w:rPr>
                <w:szCs w:val="24"/>
              </w:rPr>
              <w:t xml:space="preserve">- </w:t>
            </w:r>
          </w:p>
        </w:tc>
        <w:tc>
          <w:tcPr>
            <w:tcW w:w="1756" w:type="dxa"/>
          </w:tcPr>
          <w:p w14:paraId="5414A429" w14:textId="52F4C085" w:rsidR="002823FC" w:rsidRPr="00D948C1" w:rsidRDefault="002823FC" w:rsidP="006C0086">
            <w:pPr>
              <w:tabs>
                <w:tab w:val="decimal" w:pos="1080"/>
              </w:tabs>
              <w:spacing w:line="276" w:lineRule="auto"/>
              <w:jc w:val="right"/>
              <w:rPr>
                <w:szCs w:val="24"/>
              </w:rPr>
            </w:pPr>
            <w:r w:rsidRPr="00D948C1">
              <w:rPr>
                <w:szCs w:val="24"/>
              </w:rPr>
              <w:t xml:space="preserve">- </w:t>
            </w:r>
          </w:p>
        </w:tc>
      </w:tr>
      <w:tr w:rsidR="002823FC" w:rsidRPr="00D948C1" w14:paraId="177EA97B" w14:textId="77777777" w:rsidTr="00E1551C">
        <w:tc>
          <w:tcPr>
            <w:tcW w:w="5342" w:type="dxa"/>
          </w:tcPr>
          <w:p w14:paraId="035E95AF" w14:textId="541BB0CE" w:rsidR="002823FC" w:rsidRPr="00D948C1" w:rsidRDefault="002823FC" w:rsidP="006C0086">
            <w:pPr>
              <w:spacing w:line="276" w:lineRule="auto"/>
              <w:rPr>
                <w:szCs w:val="24"/>
              </w:rPr>
            </w:pPr>
            <w:r w:rsidRPr="00D948C1">
              <w:rPr>
                <w:szCs w:val="24"/>
              </w:rPr>
              <w:t>Income from council tax, business rates and revenue support grant</w:t>
            </w:r>
          </w:p>
        </w:tc>
        <w:tc>
          <w:tcPr>
            <w:tcW w:w="1635" w:type="dxa"/>
            <w:vAlign w:val="center"/>
          </w:tcPr>
          <w:p w14:paraId="5EA0FE04" w14:textId="5881D081" w:rsidR="002823FC" w:rsidRPr="00D948C1" w:rsidRDefault="002823FC" w:rsidP="006C0086">
            <w:pPr>
              <w:tabs>
                <w:tab w:val="decimal" w:pos="1080"/>
              </w:tabs>
              <w:spacing w:line="276" w:lineRule="auto"/>
              <w:jc w:val="right"/>
              <w:rPr>
                <w:szCs w:val="24"/>
              </w:rPr>
            </w:pPr>
            <w:r w:rsidRPr="00D948C1">
              <w:rPr>
                <w:szCs w:val="24"/>
              </w:rPr>
              <w:t>(</w:t>
            </w:r>
            <w:r w:rsidR="006A0EE8" w:rsidRPr="00D948C1">
              <w:rPr>
                <w:szCs w:val="24"/>
              </w:rPr>
              <w:t>63,910</w:t>
            </w:r>
            <w:r w:rsidRPr="00D948C1">
              <w:rPr>
                <w:szCs w:val="24"/>
              </w:rPr>
              <w:t>)</w:t>
            </w:r>
          </w:p>
        </w:tc>
        <w:tc>
          <w:tcPr>
            <w:tcW w:w="1756" w:type="dxa"/>
            <w:vAlign w:val="center"/>
          </w:tcPr>
          <w:p w14:paraId="611FFB8D" w14:textId="663A67D9" w:rsidR="002823FC" w:rsidRPr="00D948C1" w:rsidRDefault="002823FC" w:rsidP="006C0086">
            <w:pPr>
              <w:tabs>
                <w:tab w:val="decimal" w:pos="1080"/>
              </w:tabs>
              <w:spacing w:line="276" w:lineRule="auto"/>
              <w:jc w:val="right"/>
              <w:rPr>
                <w:szCs w:val="24"/>
              </w:rPr>
            </w:pPr>
            <w:r w:rsidRPr="00D948C1">
              <w:rPr>
                <w:szCs w:val="24"/>
              </w:rPr>
              <w:t>(59,611)</w:t>
            </w:r>
          </w:p>
        </w:tc>
      </w:tr>
      <w:tr w:rsidR="002823FC" w:rsidRPr="00D948C1" w14:paraId="0A633656" w14:textId="77777777" w:rsidTr="003572E5">
        <w:trPr>
          <w:trHeight w:val="278"/>
        </w:trPr>
        <w:tc>
          <w:tcPr>
            <w:tcW w:w="5342" w:type="dxa"/>
          </w:tcPr>
          <w:p w14:paraId="71389E76" w14:textId="77777777" w:rsidR="002823FC" w:rsidRPr="00D948C1" w:rsidRDefault="002823FC" w:rsidP="006C0086">
            <w:pPr>
              <w:spacing w:line="276" w:lineRule="auto"/>
              <w:rPr>
                <w:szCs w:val="24"/>
              </w:rPr>
            </w:pPr>
            <w:r w:rsidRPr="00D948C1">
              <w:rPr>
                <w:szCs w:val="24"/>
              </w:rPr>
              <w:t>Government grants and contributions</w:t>
            </w:r>
          </w:p>
        </w:tc>
        <w:tc>
          <w:tcPr>
            <w:tcW w:w="1635" w:type="dxa"/>
          </w:tcPr>
          <w:p w14:paraId="2423F959" w14:textId="40932559" w:rsidR="002823FC" w:rsidRPr="00D948C1" w:rsidRDefault="002823FC" w:rsidP="006C0086">
            <w:pPr>
              <w:tabs>
                <w:tab w:val="decimal" w:pos="1080"/>
              </w:tabs>
              <w:spacing w:line="276" w:lineRule="auto"/>
              <w:jc w:val="right"/>
              <w:rPr>
                <w:szCs w:val="24"/>
              </w:rPr>
            </w:pPr>
            <w:r w:rsidRPr="00D948C1">
              <w:rPr>
                <w:szCs w:val="24"/>
              </w:rPr>
              <w:t>(</w:t>
            </w:r>
            <w:r w:rsidR="006A0EE8" w:rsidRPr="00D948C1">
              <w:rPr>
                <w:szCs w:val="24"/>
              </w:rPr>
              <w:t>10,963</w:t>
            </w:r>
            <w:r w:rsidRPr="00D948C1">
              <w:rPr>
                <w:szCs w:val="24"/>
              </w:rPr>
              <w:t>)</w:t>
            </w:r>
          </w:p>
        </w:tc>
        <w:tc>
          <w:tcPr>
            <w:tcW w:w="1756" w:type="dxa"/>
          </w:tcPr>
          <w:p w14:paraId="28F70CBD" w14:textId="77273BD8" w:rsidR="002823FC" w:rsidRPr="00D948C1" w:rsidRDefault="002823FC" w:rsidP="006C0086">
            <w:pPr>
              <w:tabs>
                <w:tab w:val="decimal" w:pos="1080"/>
              </w:tabs>
              <w:spacing w:line="276" w:lineRule="auto"/>
              <w:jc w:val="right"/>
              <w:rPr>
                <w:szCs w:val="24"/>
              </w:rPr>
            </w:pPr>
            <w:r w:rsidRPr="00D948C1">
              <w:rPr>
                <w:szCs w:val="24"/>
              </w:rPr>
              <w:t>(9,131)</w:t>
            </w:r>
          </w:p>
        </w:tc>
      </w:tr>
      <w:tr w:rsidR="002823FC" w:rsidRPr="00D948C1" w14:paraId="333A40D6" w14:textId="77777777" w:rsidTr="003572E5">
        <w:trPr>
          <w:trHeight w:val="278"/>
        </w:trPr>
        <w:tc>
          <w:tcPr>
            <w:tcW w:w="5342" w:type="dxa"/>
          </w:tcPr>
          <w:p w14:paraId="1B2833D2" w14:textId="77777777" w:rsidR="002823FC" w:rsidRPr="00D948C1" w:rsidRDefault="002823FC" w:rsidP="006C0086">
            <w:pPr>
              <w:spacing w:line="276" w:lineRule="auto"/>
              <w:rPr>
                <w:b/>
                <w:bCs/>
                <w:szCs w:val="24"/>
              </w:rPr>
            </w:pPr>
            <w:r w:rsidRPr="00D948C1">
              <w:rPr>
                <w:b/>
                <w:bCs/>
                <w:szCs w:val="24"/>
              </w:rPr>
              <w:t>Total Income</w:t>
            </w:r>
          </w:p>
        </w:tc>
        <w:tc>
          <w:tcPr>
            <w:tcW w:w="1635" w:type="dxa"/>
          </w:tcPr>
          <w:p w14:paraId="7058CA11" w14:textId="66347C95" w:rsidR="002823FC" w:rsidRPr="00D948C1" w:rsidRDefault="002823FC" w:rsidP="006C0086">
            <w:pPr>
              <w:tabs>
                <w:tab w:val="decimal" w:pos="1080"/>
              </w:tabs>
              <w:spacing w:line="276" w:lineRule="auto"/>
              <w:jc w:val="right"/>
              <w:rPr>
                <w:b/>
                <w:bCs/>
                <w:szCs w:val="24"/>
              </w:rPr>
            </w:pPr>
            <w:r w:rsidRPr="00D948C1">
              <w:rPr>
                <w:b/>
                <w:bCs/>
                <w:szCs w:val="24"/>
              </w:rPr>
              <w:t>(7</w:t>
            </w:r>
            <w:r w:rsidR="006A0EE8" w:rsidRPr="00D948C1">
              <w:rPr>
                <w:b/>
                <w:bCs/>
                <w:szCs w:val="24"/>
              </w:rPr>
              <w:t>8</w:t>
            </w:r>
            <w:r w:rsidRPr="00D948C1">
              <w:rPr>
                <w:b/>
                <w:bCs/>
                <w:szCs w:val="24"/>
              </w:rPr>
              <w:t>,</w:t>
            </w:r>
            <w:r w:rsidR="006A0EE8" w:rsidRPr="00D948C1">
              <w:rPr>
                <w:b/>
                <w:bCs/>
                <w:szCs w:val="24"/>
              </w:rPr>
              <w:t>705</w:t>
            </w:r>
            <w:r w:rsidRPr="00D948C1">
              <w:rPr>
                <w:b/>
                <w:bCs/>
                <w:szCs w:val="24"/>
              </w:rPr>
              <w:t>)</w:t>
            </w:r>
          </w:p>
        </w:tc>
        <w:tc>
          <w:tcPr>
            <w:tcW w:w="1756" w:type="dxa"/>
          </w:tcPr>
          <w:p w14:paraId="1668F413" w14:textId="3E73C282" w:rsidR="002823FC" w:rsidRPr="00D948C1" w:rsidRDefault="002823FC" w:rsidP="006C0086">
            <w:pPr>
              <w:tabs>
                <w:tab w:val="decimal" w:pos="1080"/>
              </w:tabs>
              <w:spacing w:line="276" w:lineRule="auto"/>
              <w:jc w:val="right"/>
              <w:rPr>
                <w:b/>
                <w:bCs/>
                <w:szCs w:val="24"/>
              </w:rPr>
            </w:pPr>
            <w:r w:rsidRPr="00D948C1">
              <w:rPr>
                <w:b/>
                <w:bCs/>
                <w:szCs w:val="24"/>
              </w:rPr>
              <w:t>(71,284)</w:t>
            </w:r>
          </w:p>
        </w:tc>
      </w:tr>
    </w:tbl>
    <w:p w14:paraId="0C40016D" w14:textId="77777777" w:rsidR="00746F3D" w:rsidRPr="00D948C1" w:rsidRDefault="00746F3D" w:rsidP="006C0086">
      <w:pPr>
        <w:spacing w:line="276" w:lineRule="auto"/>
      </w:pPr>
    </w:p>
    <w:tbl>
      <w:tblPr>
        <w:tblStyle w:val="TableGrid"/>
        <w:tblW w:w="8733" w:type="dxa"/>
        <w:tblInd w:w="720" w:type="dxa"/>
        <w:tblLook w:val="04A0" w:firstRow="1" w:lastRow="0" w:firstColumn="1" w:lastColumn="0" w:noHBand="0" w:noVBand="1"/>
      </w:tblPr>
      <w:tblGrid>
        <w:gridCol w:w="5342"/>
        <w:gridCol w:w="1635"/>
        <w:gridCol w:w="1756"/>
      </w:tblGrid>
      <w:tr w:rsidR="002C390E" w:rsidRPr="00D948C1" w14:paraId="1AD2AFF0" w14:textId="77777777" w:rsidTr="003572E5">
        <w:trPr>
          <w:trHeight w:val="278"/>
        </w:trPr>
        <w:tc>
          <w:tcPr>
            <w:tcW w:w="5342" w:type="dxa"/>
          </w:tcPr>
          <w:p w14:paraId="2ED2A97A" w14:textId="2F200F8D" w:rsidR="002C390E" w:rsidRPr="00D948C1" w:rsidRDefault="002C390E" w:rsidP="006C0086">
            <w:pPr>
              <w:spacing w:line="276" w:lineRule="auto"/>
              <w:rPr>
                <w:b/>
                <w:bCs/>
                <w:szCs w:val="24"/>
              </w:rPr>
            </w:pPr>
            <w:r w:rsidRPr="00D948C1">
              <w:rPr>
                <w:b/>
                <w:bCs/>
                <w:szCs w:val="24"/>
              </w:rPr>
              <w:t>Surplus on the provision of services</w:t>
            </w:r>
          </w:p>
        </w:tc>
        <w:tc>
          <w:tcPr>
            <w:tcW w:w="1635" w:type="dxa"/>
          </w:tcPr>
          <w:p w14:paraId="62BC7CF8" w14:textId="76AFC3B5" w:rsidR="002C390E" w:rsidRPr="00D948C1" w:rsidRDefault="006A0EE8" w:rsidP="006C0086">
            <w:pPr>
              <w:tabs>
                <w:tab w:val="decimal" w:pos="1080"/>
              </w:tabs>
              <w:spacing w:line="276" w:lineRule="auto"/>
              <w:jc w:val="right"/>
              <w:rPr>
                <w:b/>
                <w:bCs/>
                <w:szCs w:val="24"/>
              </w:rPr>
            </w:pPr>
            <w:r w:rsidRPr="00D948C1">
              <w:rPr>
                <w:b/>
                <w:bCs/>
                <w:szCs w:val="24"/>
              </w:rPr>
              <w:t>5,838</w:t>
            </w:r>
            <w:r w:rsidR="002C390E" w:rsidRPr="00D948C1">
              <w:rPr>
                <w:b/>
                <w:bCs/>
                <w:szCs w:val="24"/>
              </w:rPr>
              <w:t xml:space="preserve"> </w:t>
            </w:r>
          </w:p>
        </w:tc>
        <w:tc>
          <w:tcPr>
            <w:tcW w:w="1756" w:type="dxa"/>
          </w:tcPr>
          <w:p w14:paraId="6F48481C" w14:textId="2AA42886" w:rsidR="002C390E" w:rsidRPr="00D948C1" w:rsidRDefault="002823FC" w:rsidP="006C0086">
            <w:pPr>
              <w:tabs>
                <w:tab w:val="decimal" w:pos="1080"/>
              </w:tabs>
              <w:spacing w:line="276" w:lineRule="auto"/>
              <w:jc w:val="right"/>
              <w:rPr>
                <w:b/>
                <w:bCs/>
                <w:szCs w:val="24"/>
              </w:rPr>
            </w:pPr>
            <w:r w:rsidRPr="00D948C1">
              <w:rPr>
                <w:b/>
                <w:bCs/>
                <w:szCs w:val="24"/>
              </w:rPr>
              <w:t>15,347</w:t>
            </w:r>
          </w:p>
        </w:tc>
      </w:tr>
    </w:tbl>
    <w:p w14:paraId="174C91D0" w14:textId="228C688C" w:rsidR="002733BD" w:rsidRDefault="002733BD" w:rsidP="006C0086">
      <w:pPr>
        <w:spacing w:line="276" w:lineRule="auto"/>
        <w:rPr>
          <w:b/>
          <w:sz w:val="22"/>
        </w:rPr>
      </w:pPr>
    </w:p>
    <w:p w14:paraId="77F81093" w14:textId="17A09D29" w:rsidR="00920F2A" w:rsidRPr="00D948C1" w:rsidRDefault="00C52475" w:rsidP="006C0086">
      <w:pPr>
        <w:pStyle w:val="Heading2"/>
        <w:spacing w:line="276" w:lineRule="auto"/>
        <w:jc w:val="left"/>
        <w:rPr>
          <w:sz w:val="24"/>
          <w:szCs w:val="24"/>
        </w:rPr>
      </w:pPr>
      <w:bookmarkStart w:id="77" w:name="_Toc171068812"/>
      <w:r w:rsidRPr="00D948C1">
        <w:rPr>
          <w:sz w:val="24"/>
          <w:szCs w:val="24"/>
        </w:rPr>
        <w:t>2</w:t>
      </w:r>
      <w:r w:rsidR="00535820" w:rsidRPr="00D948C1">
        <w:rPr>
          <w:sz w:val="24"/>
          <w:szCs w:val="24"/>
        </w:rPr>
        <w:t>8</w:t>
      </w:r>
      <w:r w:rsidR="00B71D39" w:rsidRPr="00D948C1">
        <w:rPr>
          <w:sz w:val="24"/>
          <w:szCs w:val="24"/>
        </w:rPr>
        <w:tab/>
      </w:r>
      <w:bookmarkStart w:id="78" w:name="N28"/>
      <w:bookmarkEnd w:id="78"/>
      <w:r w:rsidR="00BA769B" w:rsidRPr="00D948C1">
        <w:rPr>
          <w:sz w:val="24"/>
          <w:szCs w:val="24"/>
        </w:rPr>
        <w:t xml:space="preserve">Significant </w:t>
      </w:r>
      <w:r w:rsidR="00920F2A" w:rsidRPr="00D948C1">
        <w:rPr>
          <w:sz w:val="24"/>
          <w:szCs w:val="24"/>
        </w:rPr>
        <w:t>Judgements</w:t>
      </w:r>
      <w:bookmarkEnd w:id="77"/>
    </w:p>
    <w:p w14:paraId="02A0C673" w14:textId="77777777" w:rsidR="00920F2A" w:rsidRPr="00D948C1" w:rsidRDefault="00920F2A" w:rsidP="006C0086">
      <w:pPr>
        <w:tabs>
          <w:tab w:val="decimal" w:pos="709"/>
        </w:tabs>
        <w:spacing w:line="276" w:lineRule="auto"/>
        <w:ind w:left="709"/>
        <w:rPr>
          <w:szCs w:val="24"/>
        </w:rPr>
      </w:pPr>
    </w:p>
    <w:p w14:paraId="6F7F8BE9" w14:textId="6ED2D7B7" w:rsidR="005E1E00" w:rsidRPr="00D948C1" w:rsidRDefault="005E1E00" w:rsidP="006C0086">
      <w:pPr>
        <w:spacing w:line="276" w:lineRule="auto"/>
        <w:ind w:left="720"/>
        <w:rPr>
          <w:szCs w:val="24"/>
          <w:u w:val="single"/>
        </w:rPr>
      </w:pPr>
      <w:r w:rsidRPr="00D948C1">
        <w:rPr>
          <w:szCs w:val="24"/>
          <w:u w:val="single"/>
        </w:rPr>
        <w:t xml:space="preserve">Joint Operation – </w:t>
      </w:r>
      <w:proofErr w:type="gramStart"/>
      <w:r w:rsidRPr="00D948C1">
        <w:rPr>
          <w:szCs w:val="24"/>
          <w:u w:val="single"/>
        </w:rPr>
        <w:t>North West</w:t>
      </w:r>
      <w:proofErr w:type="gramEnd"/>
      <w:r w:rsidRPr="00D948C1">
        <w:rPr>
          <w:szCs w:val="24"/>
          <w:u w:val="single"/>
        </w:rPr>
        <w:t xml:space="preserve"> </w:t>
      </w:r>
      <w:proofErr w:type="spellStart"/>
      <w:r w:rsidRPr="00D948C1">
        <w:rPr>
          <w:szCs w:val="24"/>
          <w:u w:val="single"/>
        </w:rPr>
        <w:t>FireControl</w:t>
      </w:r>
      <w:proofErr w:type="spellEnd"/>
    </w:p>
    <w:p w14:paraId="5DF5D385" w14:textId="372B713E" w:rsidR="005E1E00" w:rsidRPr="00D948C1" w:rsidRDefault="005E1E00" w:rsidP="006C0086">
      <w:pPr>
        <w:spacing w:line="276" w:lineRule="auto"/>
        <w:ind w:left="720"/>
        <w:rPr>
          <w:rFonts w:cs="Arial"/>
          <w:szCs w:val="24"/>
          <w:lang w:eastAsia="en-GB"/>
        </w:rPr>
      </w:pPr>
      <w:r w:rsidRPr="00D948C1">
        <w:rPr>
          <w:rFonts w:cs="Arial"/>
          <w:szCs w:val="24"/>
          <w:lang w:eastAsia="en-GB"/>
        </w:rPr>
        <w:t>An assessment for Group Accounting requirements has taken place during 202</w:t>
      </w:r>
      <w:r w:rsidR="002823FC" w:rsidRPr="00D948C1">
        <w:rPr>
          <w:rFonts w:cs="Arial"/>
          <w:szCs w:val="24"/>
          <w:lang w:eastAsia="en-GB"/>
        </w:rPr>
        <w:t>3</w:t>
      </w:r>
      <w:r w:rsidR="00CF111B" w:rsidRPr="00D948C1">
        <w:rPr>
          <w:rFonts w:cs="Arial"/>
          <w:szCs w:val="24"/>
          <w:lang w:eastAsia="en-GB"/>
        </w:rPr>
        <w:t>/2</w:t>
      </w:r>
      <w:r w:rsidR="002823FC" w:rsidRPr="00D948C1">
        <w:rPr>
          <w:rFonts w:cs="Arial"/>
          <w:szCs w:val="24"/>
          <w:lang w:eastAsia="en-GB"/>
        </w:rPr>
        <w:t>4</w:t>
      </w:r>
      <w:r w:rsidRPr="00D948C1">
        <w:rPr>
          <w:rFonts w:cs="Arial"/>
          <w:szCs w:val="24"/>
          <w:lang w:eastAsia="en-GB"/>
        </w:rPr>
        <w:t xml:space="preserve"> in respect of NW </w:t>
      </w:r>
      <w:proofErr w:type="spellStart"/>
      <w:r w:rsidRPr="00D948C1">
        <w:rPr>
          <w:rFonts w:cs="Arial"/>
          <w:szCs w:val="24"/>
          <w:lang w:eastAsia="en-GB"/>
        </w:rPr>
        <w:t>FireControl</w:t>
      </w:r>
      <w:proofErr w:type="spellEnd"/>
      <w:r w:rsidRPr="00D948C1">
        <w:rPr>
          <w:rFonts w:cs="Arial"/>
          <w:szCs w:val="24"/>
          <w:lang w:eastAsia="en-GB"/>
        </w:rPr>
        <w:t xml:space="preserve"> Limited. This is in accordance with the Code of Practice on Local Authority Accounting in the United Kingdom Based on International Financial Reporting Standards </w:t>
      </w:r>
      <w:proofErr w:type="gramStart"/>
      <w:r w:rsidRPr="00D948C1">
        <w:rPr>
          <w:rFonts w:cs="Arial"/>
          <w:szCs w:val="24"/>
          <w:lang w:eastAsia="en-GB"/>
        </w:rPr>
        <w:t>(</w:t>
      </w:r>
      <w:r w:rsidR="00760249" w:rsidRPr="00760249">
        <w:rPr>
          <w:szCs w:val="24"/>
        </w:rPr>
        <w:t xml:space="preserve"> </w:t>
      </w:r>
      <w:r w:rsidR="00760249" w:rsidRPr="00D948C1">
        <w:rPr>
          <w:szCs w:val="24"/>
        </w:rPr>
        <w:t>International</w:t>
      </w:r>
      <w:proofErr w:type="gramEnd"/>
      <w:r w:rsidR="00760249" w:rsidRPr="00D948C1">
        <w:rPr>
          <w:szCs w:val="24"/>
        </w:rPr>
        <w:t xml:space="preserve"> Financial Reporting Standards</w:t>
      </w:r>
      <w:r w:rsidRPr="00D948C1">
        <w:rPr>
          <w:rFonts w:cs="Arial"/>
          <w:szCs w:val="24"/>
          <w:lang w:eastAsia="en-GB"/>
        </w:rPr>
        <w:t xml:space="preserve"> 10, 11 &amp; 12).</w:t>
      </w:r>
    </w:p>
    <w:p w14:paraId="3AC06EC8" w14:textId="305F3A0A" w:rsidR="005E1E00" w:rsidRPr="00D948C1" w:rsidRDefault="005E1E00" w:rsidP="006C0086">
      <w:pPr>
        <w:spacing w:line="276" w:lineRule="auto"/>
        <w:ind w:left="720"/>
        <w:rPr>
          <w:rFonts w:cs="Arial"/>
          <w:szCs w:val="24"/>
          <w:lang w:eastAsia="en-GB"/>
        </w:rPr>
      </w:pPr>
      <w:r w:rsidRPr="00D948C1">
        <w:rPr>
          <w:rFonts w:cs="Arial"/>
          <w:szCs w:val="24"/>
          <w:lang w:eastAsia="en-GB"/>
        </w:rPr>
        <w:t xml:space="preserve">It has been determined that the company is governed by Joint Control </w:t>
      </w:r>
      <w:r w:rsidR="000F5BFB" w:rsidRPr="00D948C1">
        <w:rPr>
          <w:rFonts w:cs="Arial"/>
          <w:szCs w:val="24"/>
          <w:lang w:eastAsia="en-GB"/>
        </w:rPr>
        <w:t>since</w:t>
      </w:r>
      <w:r w:rsidRPr="00D948C1">
        <w:rPr>
          <w:rFonts w:cs="Arial"/>
          <w:szCs w:val="24"/>
          <w:lang w:eastAsia="en-GB"/>
        </w:rPr>
        <w:t xml:space="preserve"> unanimous consent exists for key decisions and that each Authority has equal voting rights. This joint arrangement has been deemed to be a Joint Operation as the parties have rights to the assets, and obligations for the liabilities relating to the arrangement, and on this basis, the Authority’s 25% share of the transactions and balances of NW </w:t>
      </w:r>
      <w:proofErr w:type="spellStart"/>
      <w:r w:rsidRPr="00D948C1">
        <w:rPr>
          <w:rFonts w:cs="Arial"/>
          <w:szCs w:val="24"/>
          <w:lang w:eastAsia="en-GB"/>
        </w:rPr>
        <w:t>FireControl</w:t>
      </w:r>
      <w:proofErr w:type="spellEnd"/>
      <w:r w:rsidRPr="00D948C1">
        <w:rPr>
          <w:rFonts w:cs="Arial"/>
          <w:szCs w:val="24"/>
          <w:lang w:eastAsia="en-GB"/>
        </w:rPr>
        <w:t xml:space="preserve"> Limited have been recognised within the accounts.</w:t>
      </w:r>
    </w:p>
    <w:p w14:paraId="1ED1A0B1" w14:textId="4052C83C" w:rsidR="009B6F2A" w:rsidRPr="00D948C1" w:rsidRDefault="00535820" w:rsidP="006C0086">
      <w:pPr>
        <w:pStyle w:val="Heading2"/>
        <w:spacing w:line="276" w:lineRule="auto"/>
        <w:jc w:val="left"/>
        <w:rPr>
          <w:sz w:val="24"/>
          <w:szCs w:val="24"/>
        </w:rPr>
      </w:pPr>
      <w:bookmarkStart w:id="79" w:name="_Toc171068813"/>
      <w:bookmarkStart w:id="80" w:name="_Hlk170823081"/>
      <w:r w:rsidRPr="00D948C1">
        <w:rPr>
          <w:sz w:val="24"/>
          <w:szCs w:val="24"/>
        </w:rPr>
        <w:t>29</w:t>
      </w:r>
      <w:r w:rsidR="00920F2A" w:rsidRPr="00D948C1">
        <w:rPr>
          <w:sz w:val="24"/>
          <w:szCs w:val="24"/>
        </w:rPr>
        <w:tab/>
      </w:r>
      <w:bookmarkStart w:id="81" w:name="N29"/>
      <w:bookmarkEnd w:id="81"/>
      <w:r w:rsidR="009B6F2A" w:rsidRPr="00D948C1">
        <w:rPr>
          <w:sz w:val="24"/>
          <w:szCs w:val="24"/>
        </w:rPr>
        <w:t>Accounting Policies</w:t>
      </w:r>
      <w:bookmarkEnd w:id="79"/>
    </w:p>
    <w:p w14:paraId="6B0E6E3B" w14:textId="77777777" w:rsidR="009B6F2A" w:rsidRPr="00D948C1" w:rsidRDefault="009B6F2A" w:rsidP="006C0086">
      <w:pPr>
        <w:spacing w:line="276" w:lineRule="auto"/>
        <w:rPr>
          <w:b/>
          <w:szCs w:val="24"/>
        </w:rPr>
      </w:pPr>
    </w:p>
    <w:p w14:paraId="23A7B5A9" w14:textId="77777777" w:rsidR="00FB3503" w:rsidRPr="00D948C1" w:rsidRDefault="00FB3503" w:rsidP="006C0086">
      <w:pPr>
        <w:spacing w:line="276" w:lineRule="auto"/>
        <w:ind w:left="720"/>
        <w:rPr>
          <w:b/>
          <w:szCs w:val="24"/>
        </w:rPr>
      </w:pPr>
      <w:r w:rsidRPr="00D948C1">
        <w:rPr>
          <w:b/>
          <w:szCs w:val="24"/>
        </w:rPr>
        <w:t>a</w:t>
      </w:r>
      <w:r w:rsidRPr="00D948C1">
        <w:rPr>
          <w:b/>
          <w:szCs w:val="24"/>
        </w:rPr>
        <w:tab/>
        <w:t>General Principles</w:t>
      </w:r>
    </w:p>
    <w:p w14:paraId="73F0E158" w14:textId="77777777" w:rsidR="00FB3503" w:rsidRPr="00D948C1" w:rsidRDefault="00FB3503" w:rsidP="006C0086">
      <w:pPr>
        <w:pStyle w:val="Footer"/>
        <w:tabs>
          <w:tab w:val="clear" w:pos="4153"/>
          <w:tab w:val="clear" w:pos="8306"/>
        </w:tabs>
        <w:spacing w:line="276" w:lineRule="auto"/>
        <w:ind w:left="720"/>
        <w:rPr>
          <w:szCs w:val="24"/>
        </w:rPr>
      </w:pPr>
    </w:p>
    <w:p w14:paraId="7B01DBB6" w14:textId="6D96A6F1" w:rsidR="00FB3503" w:rsidRPr="00D948C1" w:rsidRDefault="00BB513F" w:rsidP="006C0086">
      <w:pPr>
        <w:pStyle w:val="BodyTextIndent2"/>
        <w:spacing w:line="276" w:lineRule="auto"/>
        <w:ind w:left="1440" w:firstLine="0"/>
        <w:rPr>
          <w:szCs w:val="24"/>
        </w:rPr>
      </w:pPr>
      <w:r w:rsidRPr="00D948C1">
        <w:rPr>
          <w:szCs w:val="24"/>
        </w:rPr>
        <w:t>The Statement of Accounts summarises the Authority’s transactions for the 20</w:t>
      </w:r>
      <w:r w:rsidR="00C52475" w:rsidRPr="00D948C1">
        <w:rPr>
          <w:szCs w:val="24"/>
        </w:rPr>
        <w:t>2</w:t>
      </w:r>
      <w:r w:rsidR="002823FC" w:rsidRPr="00D948C1">
        <w:rPr>
          <w:szCs w:val="24"/>
        </w:rPr>
        <w:t>3</w:t>
      </w:r>
      <w:r w:rsidR="00CF111B" w:rsidRPr="00D948C1">
        <w:rPr>
          <w:szCs w:val="24"/>
        </w:rPr>
        <w:t>/2</w:t>
      </w:r>
      <w:r w:rsidR="002823FC" w:rsidRPr="00D948C1">
        <w:rPr>
          <w:szCs w:val="24"/>
        </w:rPr>
        <w:t>4</w:t>
      </w:r>
      <w:r w:rsidRPr="00D948C1">
        <w:rPr>
          <w:szCs w:val="24"/>
        </w:rPr>
        <w:t xml:space="preserve"> financial year and its position at the year end of 31 March 202</w:t>
      </w:r>
      <w:r w:rsidR="002823FC" w:rsidRPr="00D948C1">
        <w:rPr>
          <w:szCs w:val="24"/>
        </w:rPr>
        <w:t>4</w:t>
      </w:r>
      <w:r w:rsidRPr="00D948C1">
        <w:rPr>
          <w:szCs w:val="24"/>
        </w:rPr>
        <w:t>.</w:t>
      </w:r>
      <w:r w:rsidR="00365CAA" w:rsidRPr="00D948C1">
        <w:rPr>
          <w:szCs w:val="24"/>
        </w:rPr>
        <w:t xml:space="preserve"> </w:t>
      </w:r>
      <w:r w:rsidRPr="00D948C1">
        <w:rPr>
          <w:szCs w:val="24"/>
        </w:rPr>
        <w:t>The Authority is required to prepare an annual Statement of Accounts by the Accounts and Audit Regulations 2015</w:t>
      </w:r>
      <w:r w:rsidR="00C52475" w:rsidRPr="00D948C1">
        <w:rPr>
          <w:szCs w:val="24"/>
        </w:rPr>
        <w:t xml:space="preserve">, </w:t>
      </w:r>
      <w:r w:rsidR="00D01A7F" w:rsidRPr="00D948C1">
        <w:rPr>
          <w:szCs w:val="24"/>
        </w:rPr>
        <w:t>as amended by the Accounts and Audit (Coronavirus)(Amendment) Regulations 202</w:t>
      </w:r>
      <w:r w:rsidR="00D63CF1" w:rsidRPr="00D948C1">
        <w:rPr>
          <w:szCs w:val="24"/>
        </w:rPr>
        <w:t>1</w:t>
      </w:r>
      <w:r w:rsidRPr="00D948C1">
        <w:rPr>
          <w:szCs w:val="24"/>
        </w:rPr>
        <w:t>, which those regulations require to be prepared in accordance with proper accounting practices. These practices primarily comprise the Code of Practice on Local Authority Accounting in the United Kingdom – 20</w:t>
      </w:r>
      <w:r w:rsidR="00C52475" w:rsidRPr="00D948C1">
        <w:rPr>
          <w:szCs w:val="24"/>
        </w:rPr>
        <w:t>2</w:t>
      </w:r>
      <w:r w:rsidR="002823FC" w:rsidRPr="00D948C1">
        <w:rPr>
          <w:szCs w:val="24"/>
        </w:rPr>
        <w:t>3</w:t>
      </w:r>
      <w:r w:rsidR="00CF111B" w:rsidRPr="00D948C1">
        <w:rPr>
          <w:szCs w:val="24"/>
        </w:rPr>
        <w:t>/2</w:t>
      </w:r>
      <w:r w:rsidR="002823FC" w:rsidRPr="00D948C1">
        <w:rPr>
          <w:szCs w:val="24"/>
        </w:rPr>
        <w:t>4</w:t>
      </w:r>
      <w:r w:rsidRPr="00D948C1">
        <w:rPr>
          <w:szCs w:val="24"/>
        </w:rPr>
        <w:t>, supported by International Financial Reporting Standards (IFRS).</w:t>
      </w:r>
    </w:p>
    <w:p w14:paraId="1156C0F1" w14:textId="77777777" w:rsidR="00FB3503" w:rsidRPr="00D948C1" w:rsidRDefault="00FB3503" w:rsidP="006C0086">
      <w:pPr>
        <w:pStyle w:val="BodyTextIndent2"/>
        <w:spacing w:line="276" w:lineRule="auto"/>
        <w:ind w:left="1440" w:firstLine="0"/>
        <w:rPr>
          <w:szCs w:val="24"/>
        </w:rPr>
      </w:pPr>
    </w:p>
    <w:p w14:paraId="25DFF1DE" w14:textId="131C2C2E" w:rsidR="00844496" w:rsidRDefault="00FB3503" w:rsidP="006C0086">
      <w:pPr>
        <w:pStyle w:val="BodyTextIndent2"/>
        <w:spacing w:line="276" w:lineRule="auto"/>
        <w:ind w:left="1440" w:firstLine="0"/>
        <w:rPr>
          <w:szCs w:val="24"/>
        </w:rPr>
      </w:pPr>
      <w:r w:rsidRPr="00D948C1">
        <w:rPr>
          <w:szCs w:val="24"/>
        </w:rPr>
        <w:t>The accounting convention adopted in the Statement of Accounts is principally historical cost, modified by the revaluation of certain categories of non-current assets and financial instruments.</w:t>
      </w:r>
    </w:p>
    <w:p w14:paraId="3AD7940A" w14:textId="77777777" w:rsidR="00844496" w:rsidRDefault="00844496" w:rsidP="006C0086">
      <w:pPr>
        <w:spacing w:line="276" w:lineRule="auto"/>
        <w:rPr>
          <w:szCs w:val="24"/>
        </w:rPr>
      </w:pPr>
      <w:r>
        <w:rPr>
          <w:szCs w:val="24"/>
        </w:rPr>
        <w:br w:type="page"/>
      </w:r>
    </w:p>
    <w:p w14:paraId="1B4EA8F1" w14:textId="77777777" w:rsidR="00FB3503" w:rsidRPr="00D948C1" w:rsidRDefault="00FB3503" w:rsidP="006C0086">
      <w:pPr>
        <w:spacing w:line="276" w:lineRule="auto"/>
        <w:ind w:left="720"/>
        <w:rPr>
          <w:szCs w:val="24"/>
        </w:rPr>
      </w:pPr>
      <w:r w:rsidRPr="00D948C1">
        <w:rPr>
          <w:b/>
          <w:szCs w:val="24"/>
        </w:rPr>
        <w:lastRenderedPageBreak/>
        <w:t>b</w:t>
      </w:r>
      <w:r w:rsidRPr="00D948C1">
        <w:rPr>
          <w:b/>
          <w:szCs w:val="24"/>
        </w:rPr>
        <w:tab/>
        <w:t>Accruals of income and expenditure</w:t>
      </w:r>
    </w:p>
    <w:p w14:paraId="33B3F07B" w14:textId="77777777" w:rsidR="00FB3503" w:rsidRPr="00D948C1" w:rsidRDefault="00FB3503" w:rsidP="006C0086">
      <w:pPr>
        <w:spacing w:line="276" w:lineRule="auto"/>
        <w:ind w:left="720"/>
        <w:rPr>
          <w:szCs w:val="24"/>
        </w:rPr>
      </w:pPr>
    </w:p>
    <w:p w14:paraId="191D6ABD" w14:textId="5EBAE3CD" w:rsidR="00FB3503" w:rsidRPr="00D948C1" w:rsidRDefault="00FB3503" w:rsidP="006C0086">
      <w:pPr>
        <w:pStyle w:val="BodyTextIndent"/>
        <w:spacing w:line="276" w:lineRule="auto"/>
        <w:ind w:left="1440"/>
        <w:rPr>
          <w:szCs w:val="24"/>
          <w:lang w:val="en-GB"/>
        </w:rPr>
      </w:pPr>
      <w:r w:rsidRPr="00D948C1">
        <w:rPr>
          <w:szCs w:val="24"/>
          <w:lang w:val="en-GB"/>
        </w:rPr>
        <w:t>Activity is accounted for in the year that it takes place, not simply when cash payments are made or received. In particular:</w:t>
      </w:r>
    </w:p>
    <w:p w14:paraId="18949626" w14:textId="77777777" w:rsidR="00FB3503" w:rsidRPr="00D948C1" w:rsidRDefault="00FB3503" w:rsidP="006C0086">
      <w:pPr>
        <w:pStyle w:val="BodyTextIndent"/>
        <w:numPr>
          <w:ilvl w:val="0"/>
          <w:numId w:val="9"/>
        </w:numPr>
        <w:spacing w:line="276" w:lineRule="auto"/>
        <w:rPr>
          <w:szCs w:val="24"/>
          <w:lang w:val="en-GB"/>
        </w:rPr>
      </w:pPr>
      <w:r w:rsidRPr="00D948C1">
        <w:rPr>
          <w:szCs w:val="24"/>
          <w:lang w:val="en-GB"/>
        </w:rPr>
        <w:t>Supplies are recorded as expenditure when they are consumed – where there is a gap between the date supplies are received and their consumption, they are carried as inventories on the Balance Sheet.</w:t>
      </w:r>
    </w:p>
    <w:p w14:paraId="17510035" w14:textId="77777777" w:rsidR="00FB3503" w:rsidRPr="00D948C1" w:rsidRDefault="00FB3503" w:rsidP="006C0086">
      <w:pPr>
        <w:pStyle w:val="BodyTextIndent"/>
        <w:numPr>
          <w:ilvl w:val="0"/>
          <w:numId w:val="9"/>
        </w:numPr>
        <w:spacing w:line="276" w:lineRule="auto"/>
        <w:rPr>
          <w:szCs w:val="24"/>
          <w:lang w:val="en-GB"/>
        </w:rPr>
      </w:pPr>
      <w:r w:rsidRPr="00D948C1">
        <w:rPr>
          <w:szCs w:val="24"/>
          <w:lang w:val="en-GB"/>
        </w:rPr>
        <w:t>Expenses in relation to services received (including services provided by employees) are recorded as expenditure when the services are received rather than when payments are made.</w:t>
      </w:r>
    </w:p>
    <w:p w14:paraId="1981A0E9" w14:textId="70FDDCC6" w:rsidR="00FB3503" w:rsidRPr="00D948C1" w:rsidRDefault="00FB3503" w:rsidP="006C0086">
      <w:pPr>
        <w:pStyle w:val="BodyTextIndent"/>
        <w:numPr>
          <w:ilvl w:val="0"/>
          <w:numId w:val="9"/>
        </w:numPr>
        <w:spacing w:line="276" w:lineRule="auto"/>
        <w:rPr>
          <w:szCs w:val="24"/>
          <w:lang w:val="en-GB"/>
        </w:rPr>
      </w:pPr>
      <w:r w:rsidRPr="00D948C1">
        <w:rPr>
          <w:szCs w:val="24"/>
          <w:lang w:val="en-GB"/>
        </w:rPr>
        <w:t xml:space="preserve">Interest receivable on investments and payable on borrowings is accounted for respectively as income and expenditure </w:t>
      </w:r>
      <w:r w:rsidR="0094180B" w:rsidRPr="00D948C1">
        <w:rPr>
          <w:szCs w:val="24"/>
          <w:lang w:val="en-GB"/>
        </w:rPr>
        <w:t>based on</w:t>
      </w:r>
      <w:r w:rsidRPr="00D948C1">
        <w:rPr>
          <w:szCs w:val="24"/>
          <w:lang w:val="en-GB"/>
        </w:rPr>
        <w:t xml:space="preserve"> the effective interest rate for the relevant financial instrument rather than the cash flows fixed or determined by the contract. </w:t>
      </w:r>
    </w:p>
    <w:p w14:paraId="1D06D234" w14:textId="42C20D82" w:rsidR="00FB3503" w:rsidRPr="00D948C1" w:rsidRDefault="00FB3503" w:rsidP="006C0086">
      <w:pPr>
        <w:pStyle w:val="BodyTextIndent"/>
        <w:numPr>
          <w:ilvl w:val="0"/>
          <w:numId w:val="9"/>
        </w:numPr>
        <w:spacing w:line="276" w:lineRule="auto"/>
        <w:rPr>
          <w:szCs w:val="24"/>
          <w:lang w:val="en-GB"/>
        </w:rPr>
      </w:pPr>
      <w:r w:rsidRPr="00D948C1">
        <w:rPr>
          <w:szCs w:val="24"/>
          <w:lang w:val="en-GB"/>
        </w:rPr>
        <w:t>Where income and expenditure have been recognised but cash has not been received or paid, a debtor or a creditor for the relevant amount is recorded in the Balance Sheet. Where debts may not be settled, the balance of debtors is written down and a charge made to revenue for the income that might not be collected.</w:t>
      </w:r>
    </w:p>
    <w:p w14:paraId="29BADA47" w14:textId="77777777" w:rsidR="00703D67" w:rsidRPr="00D948C1" w:rsidRDefault="00703D67" w:rsidP="006C0086">
      <w:pPr>
        <w:spacing w:line="276" w:lineRule="auto"/>
        <w:rPr>
          <w:b/>
          <w:szCs w:val="24"/>
        </w:rPr>
      </w:pPr>
    </w:p>
    <w:p w14:paraId="005490EA" w14:textId="77777777" w:rsidR="00FB3503" w:rsidRPr="00D948C1" w:rsidRDefault="00FB3503" w:rsidP="006C0086">
      <w:pPr>
        <w:spacing w:line="276" w:lineRule="auto"/>
        <w:ind w:left="720"/>
        <w:rPr>
          <w:b/>
          <w:szCs w:val="24"/>
        </w:rPr>
      </w:pPr>
      <w:r w:rsidRPr="00D948C1">
        <w:rPr>
          <w:b/>
          <w:szCs w:val="24"/>
        </w:rPr>
        <w:t>c</w:t>
      </w:r>
      <w:r w:rsidRPr="00D948C1">
        <w:rPr>
          <w:b/>
          <w:szCs w:val="24"/>
        </w:rPr>
        <w:tab/>
        <w:t>Cash &amp; cash equivalents</w:t>
      </w:r>
    </w:p>
    <w:p w14:paraId="4748208C" w14:textId="77777777" w:rsidR="00FB3503" w:rsidRPr="00D948C1" w:rsidRDefault="00FB3503" w:rsidP="006C0086">
      <w:pPr>
        <w:spacing w:line="276" w:lineRule="auto"/>
        <w:ind w:left="720"/>
        <w:rPr>
          <w:b/>
          <w:szCs w:val="24"/>
        </w:rPr>
      </w:pPr>
    </w:p>
    <w:p w14:paraId="351575E6" w14:textId="298D0C7E" w:rsidR="00FB3503" w:rsidRPr="00D948C1" w:rsidRDefault="00FB3503" w:rsidP="006C0086">
      <w:pPr>
        <w:pStyle w:val="BodyTextIndent"/>
        <w:spacing w:line="276" w:lineRule="auto"/>
        <w:ind w:left="1440"/>
        <w:rPr>
          <w:szCs w:val="24"/>
        </w:rPr>
      </w:pPr>
      <w:r w:rsidRPr="00D948C1">
        <w:rPr>
          <w:szCs w:val="24"/>
        </w:rPr>
        <w:t>Cash is represented by cash in hand and deposits repayable without penalty on notice of not more than 24 hours. Cash equivalents are investments that mature in three months or less from the date of acquisition and that are readily convertible to known amounts of cash with insignificant risk of change in value.</w:t>
      </w:r>
    </w:p>
    <w:p w14:paraId="1358D505" w14:textId="77777777" w:rsidR="00FB3503" w:rsidRPr="00D948C1" w:rsidRDefault="00FB3503" w:rsidP="006C0086">
      <w:pPr>
        <w:pStyle w:val="BodyTextIndent"/>
        <w:spacing w:line="276" w:lineRule="auto"/>
        <w:ind w:left="1440"/>
        <w:rPr>
          <w:szCs w:val="24"/>
        </w:rPr>
      </w:pPr>
    </w:p>
    <w:p w14:paraId="51F0D9D6" w14:textId="77777777" w:rsidR="00FB3503" w:rsidRPr="00D948C1" w:rsidRDefault="00FB3503" w:rsidP="006C0086">
      <w:pPr>
        <w:pStyle w:val="BodyTextIndent"/>
        <w:spacing w:line="276" w:lineRule="auto"/>
        <w:ind w:left="1440"/>
        <w:rPr>
          <w:szCs w:val="24"/>
        </w:rPr>
      </w:pPr>
      <w:r w:rsidRPr="00D948C1">
        <w:rPr>
          <w:szCs w:val="24"/>
        </w:rPr>
        <w:t>In the Cash Flow Statement, cash and cash equivalents are shown net of bank overdrafts that are repayable on demand and form an integral part of the Authority’s cash management.</w:t>
      </w:r>
    </w:p>
    <w:p w14:paraId="33F636AC" w14:textId="761687A4" w:rsidR="00FB3503" w:rsidRPr="00D948C1" w:rsidRDefault="00FB3503" w:rsidP="006C0086">
      <w:pPr>
        <w:spacing w:line="276" w:lineRule="auto"/>
        <w:rPr>
          <w:b/>
          <w:szCs w:val="24"/>
        </w:rPr>
      </w:pPr>
      <w:r w:rsidRPr="00D948C1">
        <w:rPr>
          <w:b/>
          <w:szCs w:val="24"/>
        </w:rPr>
        <w:tab/>
      </w:r>
    </w:p>
    <w:p w14:paraId="079C2813" w14:textId="77777777" w:rsidR="00FB3503" w:rsidRPr="00D948C1" w:rsidRDefault="00FB3503" w:rsidP="006C0086">
      <w:pPr>
        <w:spacing w:line="276" w:lineRule="auto"/>
        <w:ind w:left="720"/>
        <w:rPr>
          <w:szCs w:val="24"/>
        </w:rPr>
      </w:pPr>
      <w:r w:rsidRPr="00D948C1">
        <w:rPr>
          <w:b/>
          <w:szCs w:val="24"/>
        </w:rPr>
        <w:t>d</w:t>
      </w:r>
      <w:r w:rsidRPr="00D948C1">
        <w:rPr>
          <w:b/>
          <w:szCs w:val="24"/>
        </w:rPr>
        <w:tab/>
        <w:t>Charges to Revenue for Non-Current Assets</w:t>
      </w:r>
    </w:p>
    <w:p w14:paraId="0CBA0E3D" w14:textId="77777777" w:rsidR="00FB3503" w:rsidRPr="00D948C1" w:rsidRDefault="00FB3503" w:rsidP="006C0086">
      <w:pPr>
        <w:spacing w:line="276" w:lineRule="auto"/>
        <w:ind w:left="720"/>
        <w:rPr>
          <w:szCs w:val="24"/>
        </w:rPr>
      </w:pPr>
    </w:p>
    <w:p w14:paraId="58C0E983" w14:textId="77777777" w:rsidR="00FB3503" w:rsidRPr="00D948C1" w:rsidRDefault="00FB3503" w:rsidP="006C0086">
      <w:pPr>
        <w:pStyle w:val="BodyTextIndent"/>
        <w:spacing w:line="276" w:lineRule="auto"/>
        <w:ind w:left="1440"/>
        <w:rPr>
          <w:szCs w:val="24"/>
          <w:lang w:val="en-GB"/>
        </w:rPr>
      </w:pPr>
      <w:r w:rsidRPr="00D948C1">
        <w:rPr>
          <w:szCs w:val="24"/>
          <w:lang w:val="en-GB"/>
        </w:rPr>
        <w:t>Services, support services and trading accounts are debited with the following amounts to record the cost of holding fixed assets during the year:</w:t>
      </w:r>
    </w:p>
    <w:p w14:paraId="7BCB3EFF" w14:textId="560B93A3" w:rsidR="00FB3503" w:rsidRPr="00D948C1" w:rsidRDefault="00FB3503" w:rsidP="006C0086">
      <w:pPr>
        <w:pStyle w:val="BodyTextIndent"/>
        <w:numPr>
          <w:ilvl w:val="0"/>
          <w:numId w:val="10"/>
        </w:numPr>
        <w:spacing w:line="276" w:lineRule="auto"/>
        <w:rPr>
          <w:szCs w:val="24"/>
          <w:lang w:val="en-GB"/>
        </w:rPr>
      </w:pPr>
      <w:r w:rsidRPr="00D948C1">
        <w:rPr>
          <w:szCs w:val="24"/>
          <w:lang w:val="en-GB"/>
        </w:rPr>
        <w:t>Depreciation attributable to the assets used by the relevant service</w:t>
      </w:r>
      <w:r w:rsidR="0094180B" w:rsidRPr="00D948C1">
        <w:rPr>
          <w:szCs w:val="24"/>
          <w:lang w:val="en-GB"/>
        </w:rPr>
        <w:t>.</w:t>
      </w:r>
    </w:p>
    <w:p w14:paraId="3F3CB8DE" w14:textId="42BEC9E3" w:rsidR="00FB3503" w:rsidRPr="00D948C1" w:rsidRDefault="00FB3503" w:rsidP="006C0086">
      <w:pPr>
        <w:pStyle w:val="BodyTextIndent"/>
        <w:numPr>
          <w:ilvl w:val="0"/>
          <w:numId w:val="10"/>
        </w:numPr>
        <w:spacing w:line="276" w:lineRule="auto"/>
        <w:rPr>
          <w:szCs w:val="24"/>
          <w:lang w:val="en-GB"/>
        </w:rPr>
      </w:pPr>
      <w:r w:rsidRPr="00D948C1">
        <w:rPr>
          <w:szCs w:val="24"/>
          <w:lang w:val="en-GB"/>
        </w:rPr>
        <w:t>Revaluation and impairment losses on assets used by the service where there are no accumulated gains in the Revaluation Reserve against which the losses can be written off</w:t>
      </w:r>
    </w:p>
    <w:p w14:paraId="178CFCC9" w14:textId="77777777" w:rsidR="00FB3503" w:rsidRPr="00D948C1" w:rsidRDefault="00FB3503" w:rsidP="006C0086">
      <w:pPr>
        <w:pStyle w:val="BodyTextIndent"/>
        <w:numPr>
          <w:ilvl w:val="0"/>
          <w:numId w:val="10"/>
        </w:numPr>
        <w:spacing w:line="276" w:lineRule="auto"/>
        <w:rPr>
          <w:szCs w:val="24"/>
          <w:lang w:val="en-GB"/>
        </w:rPr>
      </w:pPr>
      <w:r w:rsidRPr="00D948C1">
        <w:rPr>
          <w:szCs w:val="24"/>
          <w:lang w:val="en-GB"/>
        </w:rPr>
        <w:t>Amortisation of intangible fixed assets attributable to the service.</w:t>
      </w:r>
    </w:p>
    <w:p w14:paraId="16CA6039" w14:textId="77777777" w:rsidR="00FB3503" w:rsidRPr="00D948C1" w:rsidRDefault="00FB3503" w:rsidP="006C0086">
      <w:pPr>
        <w:spacing w:line="276" w:lineRule="auto"/>
        <w:rPr>
          <w:szCs w:val="24"/>
        </w:rPr>
      </w:pPr>
    </w:p>
    <w:p w14:paraId="6CDA1CD5" w14:textId="71BCB3A2" w:rsidR="00FB3503" w:rsidRPr="00D948C1" w:rsidRDefault="00FB3503" w:rsidP="006C0086">
      <w:pPr>
        <w:pStyle w:val="BodyTextIndent"/>
        <w:spacing w:line="276" w:lineRule="auto"/>
        <w:ind w:left="1440"/>
        <w:rPr>
          <w:szCs w:val="24"/>
          <w:lang w:val="en-GB"/>
        </w:rPr>
      </w:pPr>
      <w:r w:rsidRPr="00D948C1">
        <w:rPr>
          <w:szCs w:val="24"/>
          <w:lang w:val="en-GB"/>
        </w:rPr>
        <w:t>The Authority is not required to raise council tax to cover these charges. However, it is required to make an annual contribution from revenue (Minimum Revenue Provision (MRP)) towards the reduction in its overall borrowing requirement equal to either an amount calculated on a prudent basis determined by the Authority in accordance with statutory guidance, or a minimum of 4%</w:t>
      </w:r>
      <w:r w:rsidR="00F16F33" w:rsidRPr="00D948C1">
        <w:rPr>
          <w:szCs w:val="24"/>
          <w:lang w:val="en-GB"/>
        </w:rPr>
        <w:t xml:space="preserve"> of the previous years’ Capital Financing </w:t>
      </w:r>
      <w:r w:rsidR="00F16F33" w:rsidRPr="00D948C1">
        <w:rPr>
          <w:szCs w:val="24"/>
          <w:lang w:val="en-GB"/>
        </w:rPr>
        <w:lastRenderedPageBreak/>
        <w:t>Requirement balance</w:t>
      </w:r>
      <w:r w:rsidRPr="00D948C1">
        <w:rPr>
          <w:szCs w:val="24"/>
          <w:lang w:val="en-GB"/>
        </w:rPr>
        <w:t xml:space="preserve">. In addition to the statutory </w:t>
      </w:r>
      <w:r w:rsidR="00760249" w:rsidRPr="00D948C1">
        <w:rPr>
          <w:szCs w:val="24"/>
          <w:lang w:val="en-GB"/>
        </w:rPr>
        <w:t>Minimum Revenue Provision</w:t>
      </w:r>
      <w:r w:rsidRPr="00D948C1">
        <w:rPr>
          <w:szCs w:val="24"/>
          <w:lang w:val="en-GB"/>
        </w:rPr>
        <w:t xml:space="preserve"> calculated, the Authority may also make voluntary </w:t>
      </w:r>
      <w:r w:rsidR="00760249" w:rsidRPr="00D948C1">
        <w:rPr>
          <w:szCs w:val="24"/>
          <w:lang w:val="en-GB"/>
        </w:rPr>
        <w:t>Minimum Revenue Provision</w:t>
      </w:r>
      <w:r w:rsidRPr="00D948C1">
        <w:rPr>
          <w:szCs w:val="24"/>
          <w:lang w:val="en-GB"/>
        </w:rPr>
        <w:t xml:space="preserve"> contributions in line with approved budgets and to reduce the ongoing borrowing requirement. Depreciation, impairment and impairment losses and amortisations are therefore replaced by the contribution in the General Fund Balance, by way of an adjusting transaction with the Capital Adjustment Account in the Movement in Reserves Statement for the difference between the two. </w:t>
      </w:r>
    </w:p>
    <w:p w14:paraId="047C80C0" w14:textId="595E8B4C" w:rsidR="00D45CFC" w:rsidRPr="00D948C1" w:rsidRDefault="00D45CFC" w:rsidP="006C0086">
      <w:pPr>
        <w:spacing w:line="276" w:lineRule="auto"/>
        <w:rPr>
          <w:b/>
          <w:szCs w:val="24"/>
        </w:rPr>
      </w:pPr>
    </w:p>
    <w:p w14:paraId="3763E6DF" w14:textId="77777777" w:rsidR="00FB3503" w:rsidRPr="00D948C1" w:rsidRDefault="00FB3503" w:rsidP="006C0086">
      <w:pPr>
        <w:spacing w:line="276" w:lineRule="auto"/>
        <w:ind w:left="720"/>
        <w:rPr>
          <w:b/>
          <w:szCs w:val="24"/>
        </w:rPr>
      </w:pPr>
      <w:r w:rsidRPr="00D948C1">
        <w:rPr>
          <w:b/>
          <w:szCs w:val="24"/>
        </w:rPr>
        <w:t>e</w:t>
      </w:r>
      <w:r w:rsidRPr="00D948C1">
        <w:rPr>
          <w:b/>
          <w:szCs w:val="24"/>
        </w:rPr>
        <w:tab/>
        <w:t>Employee Benefits</w:t>
      </w:r>
    </w:p>
    <w:p w14:paraId="0E9CB76E" w14:textId="77777777" w:rsidR="00FB3503" w:rsidRPr="00D948C1" w:rsidRDefault="00FB3503" w:rsidP="006C0086">
      <w:pPr>
        <w:spacing w:line="276" w:lineRule="auto"/>
        <w:ind w:left="720"/>
        <w:rPr>
          <w:b/>
          <w:szCs w:val="24"/>
        </w:rPr>
      </w:pPr>
    </w:p>
    <w:p w14:paraId="2D35B634" w14:textId="77777777" w:rsidR="00FB3503" w:rsidRPr="00D948C1" w:rsidRDefault="00FB3503" w:rsidP="006C0086">
      <w:pPr>
        <w:pStyle w:val="BodyTextIndent"/>
        <w:spacing w:line="276" w:lineRule="auto"/>
        <w:ind w:left="1440"/>
        <w:rPr>
          <w:b/>
          <w:szCs w:val="24"/>
        </w:rPr>
      </w:pPr>
      <w:r w:rsidRPr="00D948C1">
        <w:rPr>
          <w:b/>
          <w:szCs w:val="24"/>
        </w:rPr>
        <w:t>Benefits Payable During Employment</w:t>
      </w:r>
    </w:p>
    <w:p w14:paraId="009BA80F" w14:textId="77777777" w:rsidR="00FB3503" w:rsidRPr="00D948C1" w:rsidRDefault="00FB3503" w:rsidP="006C0086">
      <w:pPr>
        <w:pStyle w:val="BodyTextIndent"/>
        <w:spacing w:line="276" w:lineRule="auto"/>
        <w:ind w:left="1440"/>
        <w:rPr>
          <w:b/>
          <w:szCs w:val="24"/>
        </w:rPr>
      </w:pPr>
    </w:p>
    <w:p w14:paraId="6E8AFFA5" w14:textId="497C9388" w:rsidR="00FB3503" w:rsidRPr="00D948C1" w:rsidRDefault="00FB3503" w:rsidP="006C0086">
      <w:pPr>
        <w:pStyle w:val="BodyTextIndent"/>
        <w:spacing w:line="276" w:lineRule="auto"/>
        <w:ind w:left="1440"/>
        <w:rPr>
          <w:szCs w:val="24"/>
          <w:lang w:val="en-GB"/>
        </w:rPr>
      </w:pPr>
      <w:r w:rsidRPr="00D948C1">
        <w:rPr>
          <w:szCs w:val="24"/>
        </w:rPr>
        <w:t>Short-term employee benefits are those due to be settled within 12 months of the year end. They include such benefits as wages and salaries, paid annual leave and paid sick leave and non-monetary benefits (</w:t>
      </w:r>
      <w:r w:rsidR="00AA3FF8">
        <w:rPr>
          <w:szCs w:val="24"/>
        </w:rPr>
        <w:t>for example</w:t>
      </w:r>
      <w:r w:rsidRPr="00D948C1">
        <w:rPr>
          <w:szCs w:val="24"/>
        </w:rPr>
        <w:t xml:space="preserve"> cars) for current employees and are </w:t>
      </w:r>
      <w:proofErr w:type="spellStart"/>
      <w:r w:rsidRPr="00D948C1">
        <w:rPr>
          <w:szCs w:val="24"/>
        </w:rPr>
        <w:t>recognised</w:t>
      </w:r>
      <w:proofErr w:type="spellEnd"/>
      <w:r w:rsidRPr="00D948C1">
        <w:rPr>
          <w:szCs w:val="24"/>
        </w:rPr>
        <w:t xml:space="preserve"> as an expense for services in the year in which employees render service to the Authority. An accrual is made for the cost of holiday entitlements (or any form of leave, </w:t>
      </w:r>
      <w:r w:rsidR="00AA3FF8">
        <w:rPr>
          <w:szCs w:val="24"/>
          <w:lang w:val="en-GB"/>
        </w:rPr>
        <w:t>for example</w:t>
      </w:r>
      <w:r w:rsidRPr="00D948C1">
        <w:rPr>
          <w:szCs w:val="24"/>
        </w:rPr>
        <w:t xml:space="preserve"> time off in lieu) earned by employees but not taken before the year end which employees can carry forward into the next financial year. The accrual is made at the wage and salary rates applicable in the current financial year (the best estimate of future rates at the time of the accounts). The accrual is charged to the surplus or deficit on provision of services, but then reversed out through the </w:t>
      </w:r>
      <w:r w:rsidRPr="00D948C1">
        <w:rPr>
          <w:szCs w:val="24"/>
          <w:lang w:val="en-GB"/>
        </w:rPr>
        <w:t>Movement in Reserves Statement so that holiday benefits are charged to revenue in the financial year in which the holiday absence occurs.</w:t>
      </w:r>
    </w:p>
    <w:p w14:paraId="657E3F9F" w14:textId="77777777" w:rsidR="00FB3503" w:rsidRPr="00D948C1" w:rsidRDefault="00FB3503" w:rsidP="006C0086">
      <w:pPr>
        <w:pStyle w:val="BodyTextIndent"/>
        <w:spacing w:line="276" w:lineRule="auto"/>
        <w:ind w:left="1440"/>
        <w:rPr>
          <w:szCs w:val="24"/>
          <w:lang w:val="en-GB"/>
        </w:rPr>
      </w:pPr>
    </w:p>
    <w:p w14:paraId="375BA4AF" w14:textId="58495F8B" w:rsidR="00FB3503" w:rsidRPr="00D948C1" w:rsidRDefault="00FB3503" w:rsidP="006C0086">
      <w:pPr>
        <w:pStyle w:val="BodyTextIndent"/>
        <w:spacing w:line="276" w:lineRule="auto"/>
        <w:ind w:left="1440"/>
        <w:rPr>
          <w:b/>
          <w:szCs w:val="24"/>
          <w:lang w:val="en-GB"/>
        </w:rPr>
      </w:pPr>
      <w:r w:rsidRPr="00D948C1">
        <w:rPr>
          <w:b/>
          <w:szCs w:val="24"/>
          <w:lang w:val="en-GB"/>
        </w:rPr>
        <w:t>Post Employment Benefits</w:t>
      </w:r>
    </w:p>
    <w:p w14:paraId="51C992F5" w14:textId="77777777" w:rsidR="00FB3503" w:rsidRPr="00D948C1" w:rsidRDefault="00FB3503" w:rsidP="006C0086">
      <w:pPr>
        <w:pStyle w:val="BodyTextIndent"/>
        <w:spacing w:line="276" w:lineRule="auto"/>
        <w:ind w:left="1440"/>
        <w:rPr>
          <w:b/>
          <w:szCs w:val="24"/>
          <w:lang w:val="en-GB"/>
        </w:rPr>
      </w:pPr>
    </w:p>
    <w:p w14:paraId="3D17A27C" w14:textId="77777777" w:rsidR="00FB3503" w:rsidRPr="00D948C1" w:rsidRDefault="00FB3503" w:rsidP="006C0086">
      <w:pPr>
        <w:pStyle w:val="BodyTextIndent"/>
        <w:spacing w:line="276" w:lineRule="auto"/>
        <w:ind w:left="1440"/>
        <w:rPr>
          <w:szCs w:val="24"/>
          <w:lang w:val="en-GB"/>
        </w:rPr>
      </w:pPr>
      <w:r w:rsidRPr="00D948C1">
        <w:rPr>
          <w:szCs w:val="24"/>
          <w:lang w:val="en-GB"/>
        </w:rPr>
        <w:t>Employees of the Authority are members of two separate pension schemes:</w:t>
      </w:r>
    </w:p>
    <w:p w14:paraId="4EC154F3" w14:textId="765FA40F" w:rsidR="00FB3503" w:rsidRPr="00D948C1" w:rsidRDefault="00FB3503" w:rsidP="006C0086">
      <w:pPr>
        <w:pStyle w:val="BodyTextIndent"/>
        <w:numPr>
          <w:ilvl w:val="0"/>
          <w:numId w:val="11"/>
        </w:numPr>
        <w:spacing w:line="276" w:lineRule="auto"/>
        <w:rPr>
          <w:szCs w:val="24"/>
          <w:lang w:val="en-GB"/>
        </w:rPr>
      </w:pPr>
      <w:r w:rsidRPr="00D948C1">
        <w:rPr>
          <w:szCs w:val="24"/>
          <w:lang w:val="en-GB"/>
        </w:rPr>
        <w:t>The Firefighters Pension Scheme, administered by Lancashire County Council</w:t>
      </w:r>
      <w:r w:rsidR="000A40E3" w:rsidRPr="00D948C1">
        <w:rPr>
          <w:szCs w:val="24"/>
          <w:lang w:val="en-GB"/>
        </w:rPr>
        <w:t>.</w:t>
      </w:r>
    </w:p>
    <w:p w14:paraId="69E4C950" w14:textId="4E25D85F" w:rsidR="00FB3503" w:rsidRPr="00D948C1" w:rsidRDefault="00FB3503" w:rsidP="006C0086">
      <w:pPr>
        <w:pStyle w:val="BodyTextIndent"/>
        <w:numPr>
          <w:ilvl w:val="0"/>
          <w:numId w:val="11"/>
        </w:numPr>
        <w:spacing w:line="276" w:lineRule="auto"/>
        <w:rPr>
          <w:szCs w:val="24"/>
          <w:lang w:val="en-GB"/>
        </w:rPr>
      </w:pPr>
      <w:r w:rsidRPr="00D948C1">
        <w:rPr>
          <w:szCs w:val="24"/>
          <w:lang w:val="en-GB"/>
        </w:rPr>
        <w:t>The Local Government Pension Scheme, administered by Lancashire County Council</w:t>
      </w:r>
      <w:r w:rsidR="000A40E3" w:rsidRPr="00D948C1">
        <w:rPr>
          <w:szCs w:val="24"/>
          <w:lang w:val="en-GB"/>
        </w:rPr>
        <w:t>.</w:t>
      </w:r>
    </w:p>
    <w:p w14:paraId="090BF681" w14:textId="77777777" w:rsidR="00FB3503" w:rsidRPr="00D948C1" w:rsidRDefault="00FB3503" w:rsidP="006C0086">
      <w:pPr>
        <w:pStyle w:val="BodyTextIndent"/>
        <w:spacing w:line="276" w:lineRule="auto"/>
        <w:ind w:left="1440"/>
        <w:rPr>
          <w:szCs w:val="24"/>
          <w:lang w:val="en-GB"/>
        </w:rPr>
      </w:pPr>
      <w:r w:rsidRPr="00D948C1">
        <w:rPr>
          <w:szCs w:val="24"/>
          <w:lang w:val="en-GB"/>
        </w:rPr>
        <w:t>Both schemes provided defined benefits to members (retirement lump sums and pensions), earned as employees worked for the Authority.</w:t>
      </w:r>
    </w:p>
    <w:p w14:paraId="2AFC70AE" w14:textId="77777777" w:rsidR="00703D67" w:rsidRPr="00D948C1" w:rsidRDefault="00703D67" w:rsidP="006C0086">
      <w:pPr>
        <w:spacing w:line="276" w:lineRule="auto"/>
        <w:rPr>
          <w:szCs w:val="24"/>
          <w:u w:val="single"/>
        </w:rPr>
      </w:pPr>
    </w:p>
    <w:p w14:paraId="317B976E" w14:textId="77777777" w:rsidR="00FB3503" w:rsidRPr="00D948C1" w:rsidRDefault="00FB3503" w:rsidP="006C0086">
      <w:pPr>
        <w:pStyle w:val="BodyTextIndent"/>
        <w:spacing w:line="276" w:lineRule="auto"/>
        <w:ind w:left="2160"/>
        <w:rPr>
          <w:szCs w:val="24"/>
          <w:u w:val="single"/>
          <w:lang w:val="en-GB"/>
        </w:rPr>
      </w:pPr>
      <w:r w:rsidRPr="00D948C1">
        <w:rPr>
          <w:szCs w:val="24"/>
          <w:u w:val="single"/>
          <w:lang w:val="en-GB"/>
        </w:rPr>
        <w:t>The Firefighters’ Scheme</w:t>
      </w:r>
    </w:p>
    <w:p w14:paraId="6D6D3717" w14:textId="77777777" w:rsidR="00FB3503" w:rsidRPr="00D948C1" w:rsidRDefault="00FB3503" w:rsidP="006C0086">
      <w:pPr>
        <w:spacing w:line="276" w:lineRule="auto"/>
        <w:ind w:left="720"/>
        <w:rPr>
          <w:szCs w:val="24"/>
        </w:rPr>
      </w:pPr>
    </w:p>
    <w:p w14:paraId="11E76F49" w14:textId="0DD6A375" w:rsidR="00FB3503" w:rsidRPr="00D948C1" w:rsidRDefault="00FB3503" w:rsidP="006C0086">
      <w:pPr>
        <w:pStyle w:val="BodyTextIndent"/>
        <w:spacing w:line="276" w:lineRule="auto"/>
        <w:ind w:left="2160"/>
        <w:rPr>
          <w:szCs w:val="24"/>
          <w:lang w:val="en-GB"/>
        </w:rPr>
      </w:pPr>
      <w:r w:rsidRPr="00D948C1">
        <w:rPr>
          <w:szCs w:val="24"/>
          <w:lang w:val="en-GB"/>
        </w:rPr>
        <w:t xml:space="preserve">Under IAS19 the future costs of retirement benefits </w:t>
      </w:r>
      <w:r w:rsidR="005431D6" w:rsidRPr="00D948C1">
        <w:rPr>
          <w:szCs w:val="24"/>
          <w:lang w:val="en-GB"/>
        </w:rPr>
        <w:t>must</w:t>
      </w:r>
      <w:r w:rsidRPr="00D948C1">
        <w:rPr>
          <w:szCs w:val="24"/>
          <w:lang w:val="en-GB"/>
        </w:rPr>
        <w:t xml:space="preserve"> be recognised in the accounts at the point at which the Authority becomes committed to paying them (the point when the benefits have been earned by the employee), even if the actual payment of benefits will be many years in the future.</w:t>
      </w:r>
    </w:p>
    <w:p w14:paraId="76A4F5CB" w14:textId="77777777" w:rsidR="00FB3503" w:rsidRPr="00D948C1" w:rsidRDefault="00FB3503" w:rsidP="006C0086">
      <w:pPr>
        <w:pStyle w:val="BodyTextIndent"/>
        <w:spacing w:line="276" w:lineRule="auto"/>
        <w:ind w:left="1440"/>
        <w:rPr>
          <w:szCs w:val="24"/>
          <w:lang w:val="en-GB"/>
        </w:rPr>
      </w:pPr>
    </w:p>
    <w:p w14:paraId="31766861" w14:textId="11D59402" w:rsidR="00FB3503" w:rsidRPr="00D948C1" w:rsidRDefault="00FB3503" w:rsidP="006C0086">
      <w:pPr>
        <w:spacing w:line="276" w:lineRule="auto"/>
        <w:ind w:left="2160"/>
        <w:rPr>
          <w:szCs w:val="24"/>
        </w:rPr>
      </w:pPr>
      <w:r w:rsidRPr="00D948C1">
        <w:rPr>
          <w:szCs w:val="24"/>
        </w:rPr>
        <w:t xml:space="preserve">This obligation to pay pensions benefits in the future is recognised as a liability in the Authority’s Balance Sheet. In the service costs part of the Comprehensive Income and Expenditure Statement, transactions are recorded that indicate the change over the year in the pension liability. These are principally the future </w:t>
      </w:r>
      <w:r w:rsidRPr="00D948C1">
        <w:rPr>
          <w:szCs w:val="24"/>
        </w:rPr>
        <w:lastRenderedPageBreak/>
        <w:t>costs of pensions earned by Firefighters in service during the year. The transactions are not cash-</w:t>
      </w:r>
      <w:r w:rsidR="0094180B" w:rsidRPr="00D948C1">
        <w:rPr>
          <w:szCs w:val="24"/>
        </w:rPr>
        <w:t>based but,</w:t>
      </w:r>
      <w:r w:rsidRPr="00D948C1">
        <w:rPr>
          <w:szCs w:val="24"/>
        </w:rPr>
        <w:t xml:space="preserve"> are </w:t>
      </w:r>
      <w:proofErr w:type="gramStart"/>
      <w:r w:rsidR="0094180B" w:rsidRPr="00D948C1">
        <w:rPr>
          <w:szCs w:val="24"/>
        </w:rPr>
        <w:t>actuarially-calculated</w:t>
      </w:r>
      <w:proofErr w:type="gramEnd"/>
      <w:r w:rsidRPr="00D948C1">
        <w:rPr>
          <w:szCs w:val="24"/>
        </w:rPr>
        <w:t xml:space="preserve"> amounts that reflect more closely the true changes in the scheme’s long-term liabilities.</w:t>
      </w:r>
    </w:p>
    <w:p w14:paraId="268F1FFD" w14:textId="77777777" w:rsidR="00FB3503" w:rsidRPr="00D948C1" w:rsidRDefault="00FB3503" w:rsidP="006C0086">
      <w:pPr>
        <w:spacing w:line="276" w:lineRule="auto"/>
        <w:ind w:left="2160"/>
        <w:rPr>
          <w:szCs w:val="24"/>
        </w:rPr>
      </w:pPr>
    </w:p>
    <w:p w14:paraId="5BCB0314" w14:textId="5AF4F530" w:rsidR="00FB3503" w:rsidRPr="00D948C1" w:rsidRDefault="00FB3503" w:rsidP="006C0086">
      <w:pPr>
        <w:pStyle w:val="BodyTextIndent"/>
        <w:spacing w:line="276" w:lineRule="auto"/>
        <w:ind w:left="2160"/>
        <w:rPr>
          <w:szCs w:val="24"/>
        </w:rPr>
      </w:pPr>
      <w:r w:rsidRPr="00D948C1">
        <w:rPr>
          <w:szCs w:val="24"/>
        </w:rPr>
        <w:t xml:space="preserve">In calculating the liability for </w:t>
      </w:r>
      <w:r w:rsidR="00BB513F" w:rsidRPr="00D948C1">
        <w:rPr>
          <w:szCs w:val="24"/>
        </w:rPr>
        <w:t>20</w:t>
      </w:r>
      <w:r w:rsidR="005C14FB" w:rsidRPr="00D948C1">
        <w:rPr>
          <w:szCs w:val="24"/>
        </w:rPr>
        <w:t>2</w:t>
      </w:r>
      <w:r w:rsidR="002823FC" w:rsidRPr="00D948C1">
        <w:rPr>
          <w:szCs w:val="24"/>
        </w:rPr>
        <w:t>3</w:t>
      </w:r>
      <w:r w:rsidR="00CF111B" w:rsidRPr="00D948C1">
        <w:rPr>
          <w:szCs w:val="24"/>
        </w:rPr>
        <w:t>/2</w:t>
      </w:r>
      <w:r w:rsidR="002823FC" w:rsidRPr="00D948C1">
        <w:rPr>
          <w:szCs w:val="24"/>
        </w:rPr>
        <w:t>4</w:t>
      </w:r>
      <w:r w:rsidRPr="00D948C1">
        <w:rPr>
          <w:szCs w:val="24"/>
        </w:rPr>
        <w:t>, the actuary based the valuation on a roll forwards approach.</w:t>
      </w:r>
    </w:p>
    <w:p w14:paraId="1641EBC3" w14:textId="77777777" w:rsidR="00FB3503" w:rsidRPr="00D948C1" w:rsidRDefault="00FB3503" w:rsidP="006C0086">
      <w:pPr>
        <w:pStyle w:val="BodyTextIndent"/>
        <w:spacing w:line="276" w:lineRule="auto"/>
        <w:ind w:left="2160"/>
        <w:rPr>
          <w:szCs w:val="24"/>
        </w:rPr>
      </w:pPr>
    </w:p>
    <w:p w14:paraId="79FE54FA" w14:textId="77777777" w:rsidR="00FB3503" w:rsidRPr="00D948C1" w:rsidRDefault="00FB3503" w:rsidP="006C0086">
      <w:pPr>
        <w:pStyle w:val="BodyTextIndent"/>
        <w:spacing w:line="276" w:lineRule="auto"/>
        <w:ind w:left="2160"/>
        <w:rPr>
          <w:szCs w:val="24"/>
        </w:rPr>
      </w:pPr>
      <w:r w:rsidRPr="00D948C1">
        <w:rPr>
          <w:szCs w:val="24"/>
        </w:rPr>
        <w:t xml:space="preserve">Top up grant received during the year from the Home Office to cover the pension costs of the above scheme are recognized in the Comprehensive Income and Expenditure Statement via adjustments in respect of the actuarial valuation. </w:t>
      </w:r>
    </w:p>
    <w:p w14:paraId="60D951ED" w14:textId="77777777" w:rsidR="003D76C3" w:rsidRPr="00D948C1" w:rsidRDefault="003D76C3" w:rsidP="006C0086">
      <w:pPr>
        <w:spacing w:line="276" w:lineRule="auto"/>
        <w:rPr>
          <w:szCs w:val="24"/>
          <w:u w:val="single"/>
        </w:rPr>
      </w:pPr>
    </w:p>
    <w:p w14:paraId="3402D871" w14:textId="46A27117" w:rsidR="00FB3503" w:rsidRPr="00D948C1" w:rsidRDefault="00FB3503" w:rsidP="006C0086">
      <w:pPr>
        <w:pStyle w:val="BodyTextIndent"/>
        <w:spacing w:line="276" w:lineRule="auto"/>
        <w:ind w:left="2160"/>
        <w:rPr>
          <w:szCs w:val="24"/>
          <w:u w:val="single"/>
          <w:lang w:val="en-GB"/>
        </w:rPr>
      </w:pPr>
      <w:r w:rsidRPr="00D948C1">
        <w:rPr>
          <w:szCs w:val="24"/>
          <w:u w:val="single"/>
          <w:lang w:val="en-GB"/>
        </w:rPr>
        <w:t>The Local Government Pension Scheme</w:t>
      </w:r>
    </w:p>
    <w:p w14:paraId="6C364635" w14:textId="77777777" w:rsidR="00FB3503" w:rsidRPr="00D948C1" w:rsidRDefault="00FB3503" w:rsidP="006C0086">
      <w:pPr>
        <w:pStyle w:val="BodyTextIndent"/>
        <w:spacing w:line="276" w:lineRule="auto"/>
        <w:ind w:left="2160"/>
        <w:rPr>
          <w:szCs w:val="24"/>
          <w:lang w:val="en-GB"/>
        </w:rPr>
      </w:pPr>
    </w:p>
    <w:p w14:paraId="79305351" w14:textId="552FA967" w:rsidR="00FB3503" w:rsidRPr="00D948C1" w:rsidRDefault="00FB3503" w:rsidP="006C0086">
      <w:pPr>
        <w:pStyle w:val="BodyTextIndent"/>
        <w:spacing w:line="276" w:lineRule="auto"/>
        <w:ind w:left="2160"/>
        <w:rPr>
          <w:szCs w:val="24"/>
          <w:lang w:val="en-GB"/>
        </w:rPr>
      </w:pPr>
      <w:r w:rsidRPr="00D948C1">
        <w:rPr>
          <w:szCs w:val="24"/>
          <w:lang w:val="en-GB"/>
        </w:rPr>
        <w:t>The same basic principles apply to the local government scheme with the difference being that, because this is a funded scheme (</w:t>
      </w:r>
      <w:r w:rsidR="00AA3FF8">
        <w:rPr>
          <w:szCs w:val="24"/>
          <w:lang w:val="en-GB"/>
        </w:rPr>
        <w:t>it</w:t>
      </w:r>
      <w:r w:rsidRPr="00D948C1">
        <w:rPr>
          <w:szCs w:val="24"/>
          <w:lang w:val="en-GB"/>
        </w:rPr>
        <w:t xml:space="preserve"> is backed by a portfolio of investments in equities, property etc), there are transactions recorded in the revenue account to reflect changes in the expected return on these assets.</w:t>
      </w:r>
      <w:r w:rsidR="00365CAA" w:rsidRPr="00D948C1">
        <w:rPr>
          <w:szCs w:val="24"/>
          <w:lang w:val="en-GB"/>
        </w:rPr>
        <w:t xml:space="preserve"> </w:t>
      </w:r>
      <w:r w:rsidRPr="00D948C1">
        <w:rPr>
          <w:szCs w:val="24"/>
          <w:lang w:val="en-GB"/>
        </w:rPr>
        <w:t xml:space="preserve">Like the transactions referred to above, these too, are </w:t>
      </w:r>
      <w:proofErr w:type="gramStart"/>
      <w:r w:rsidRPr="00D948C1">
        <w:rPr>
          <w:szCs w:val="24"/>
          <w:lang w:val="en-GB"/>
        </w:rPr>
        <w:t>actuarially-calculated</w:t>
      </w:r>
      <w:proofErr w:type="gramEnd"/>
      <w:r w:rsidRPr="00D948C1">
        <w:rPr>
          <w:szCs w:val="24"/>
          <w:lang w:val="en-GB"/>
        </w:rPr>
        <w:t xml:space="preserve"> figures.</w:t>
      </w:r>
    </w:p>
    <w:p w14:paraId="4DF93233" w14:textId="77777777" w:rsidR="00FB3503" w:rsidRPr="00D948C1" w:rsidRDefault="00FB3503" w:rsidP="006C0086">
      <w:pPr>
        <w:pStyle w:val="BodyTextIndent"/>
        <w:spacing w:line="276" w:lineRule="auto"/>
        <w:ind w:left="1440"/>
        <w:rPr>
          <w:szCs w:val="24"/>
          <w:lang w:val="en-GB"/>
        </w:rPr>
      </w:pPr>
    </w:p>
    <w:p w14:paraId="6C07BE65" w14:textId="2E1EB390" w:rsidR="00FB3503" w:rsidRPr="00D948C1" w:rsidRDefault="00FB3503" w:rsidP="006C0086">
      <w:pPr>
        <w:pStyle w:val="BodyTextIndent"/>
        <w:spacing w:line="276" w:lineRule="auto"/>
        <w:ind w:left="2160"/>
        <w:rPr>
          <w:szCs w:val="24"/>
          <w:lang w:val="en-GB"/>
        </w:rPr>
      </w:pPr>
      <w:r w:rsidRPr="00D948C1">
        <w:rPr>
          <w:szCs w:val="24"/>
          <w:lang w:val="en-GB"/>
        </w:rPr>
        <w:t>On the Balance Sheet, the liability to pay future pensions is balanced by the fund’s investment assets.</w:t>
      </w:r>
    </w:p>
    <w:p w14:paraId="002009CD" w14:textId="77777777" w:rsidR="00FB3503" w:rsidRPr="00D948C1" w:rsidRDefault="00FB3503" w:rsidP="006C0086">
      <w:pPr>
        <w:spacing w:line="276" w:lineRule="auto"/>
        <w:rPr>
          <w:szCs w:val="24"/>
        </w:rPr>
      </w:pPr>
    </w:p>
    <w:p w14:paraId="6824C088" w14:textId="43FDF849" w:rsidR="00FB3503" w:rsidRPr="00D948C1" w:rsidRDefault="00FB3503" w:rsidP="006C0086">
      <w:pPr>
        <w:pStyle w:val="BodyTextIndent"/>
        <w:spacing w:line="276" w:lineRule="auto"/>
        <w:ind w:left="2160"/>
        <w:rPr>
          <w:szCs w:val="24"/>
        </w:rPr>
      </w:pPr>
      <w:r w:rsidRPr="00D948C1">
        <w:rPr>
          <w:szCs w:val="24"/>
        </w:rPr>
        <w:t xml:space="preserve">In calculating the liability for </w:t>
      </w:r>
      <w:r w:rsidR="005C14FB" w:rsidRPr="00D948C1">
        <w:rPr>
          <w:szCs w:val="24"/>
        </w:rPr>
        <w:t>202</w:t>
      </w:r>
      <w:r w:rsidR="00853231" w:rsidRPr="00D948C1">
        <w:rPr>
          <w:szCs w:val="24"/>
        </w:rPr>
        <w:t>3</w:t>
      </w:r>
      <w:r w:rsidR="00CF111B" w:rsidRPr="00D948C1">
        <w:rPr>
          <w:szCs w:val="24"/>
        </w:rPr>
        <w:t>/2</w:t>
      </w:r>
      <w:r w:rsidR="00853231" w:rsidRPr="00D948C1">
        <w:rPr>
          <w:szCs w:val="24"/>
        </w:rPr>
        <w:t>4</w:t>
      </w:r>
      <w:r w:rsidRPr="00D948C1">
        <w:rPr>
          <w:szCs w:val="24"/>
        </w:rPr>
        <w:t>, the actuary based the valuation on a roll forwards approach.</w:t>
      </w:r>
    </w:p>
    <w:p w14:paraId="64FB110D" w14:textId="77777777" w:rsidR="00FB3503" w:rsidRPr="00D948C1" w:rsidRDefault="00FB3503" w:rsidP="006C0086">
      <w:pPr>
        <w:pStyle w:val="BodyTextIndent"/>
        <w:spacing w:line="276" w:lineRule="auto"/>
        <w:ind w:left="2160"/>
        <w:rPr>
          <w:szCs w:val="24"/>
        </w:rPr>
      </w:pPr>
    </w:p>
    <w:p w14:paraId="0EC9FA50" w14:textId="6F130EBF" w:rsidR="00FB3503" w:rsidRPr="00D948C1" w:rsidRDefault="00FB3503" w:rsidP="006C0086">
      <w:pPr>
        <w:spacing w:line="276" w:lineRule="auto"/>
        <w:ind w:left="1440"/>
        <w:rPr>
          <w:szCs w:val="24"/>
        </w:rPr>
      </w:pPr>
      <w:r w:rsidRPr="00D948C1">
        <w:rPr>
          <w:szCs w:val="24"/>
        </w:rPr>
        <w:t xml:space="preserve">In valuing the pension scheme assets for </w:t>
      </w:r>
      <w:r w:rsidR="005C14FB" w:rsidRPr="00D948C1">
        <w:rPr>
          <w:szCs w:val="24"/>
        </w:rPr>
        <w:t>202</w:t>
      </w:r>
      <w:r w:rsidR="00853231" w:rsidRPr="00D948C1">
        <w:rPr>
          <w:szCs w:val="24"/>
        </w:rPr>
        <w:t>3</w:t>
      </w:r>
      <w:r w:rsidR="00CF111B" w:rsidRPr="00D948C1">
        <w:rPr>
          <w:szCs w:val="24"/>
        </w:rPr>
        <w:t>/2</w:t>
      </w:r>
      <w:r w:rsidR="00853231" w:rsidRPr="00D948C1">
        <w:rPr>
          <w:szCs w:val="24"/>
        </w:rPr>
        <w:t>4</w:t>
      </w:r>
      <w:r w:rsidRPr="00D948C1">
        <w:rPr>
          <w:szCs w:val="24"/>
        </w:rPr>
        <w:t>, the actuaries used fair value basis for both derivatives and investments.</w:t>
      </w:r>
    </w:p>
    <w:p w14:paraId="759499B0" w14:textId="77777777" w:rsidR="00FB3503" w:rsidRPr="00D948C1" w:rsidRDefault="00FB3503" w:rsidP="006C0086">
      <w:pPr>
        <w:spacing w:line="276" w:lineRule="auto"/>
        <w:ind w:left="720"/>
        <w:rPr>
          <w:b/>
          <w:szCs w:val="24"/>
        </w:rPr>
      </w:pPr>
    </w:p>
    <w:p w14:paraId="60D8F1D7" w14:textId="77777777" w:rsidR="00FB3503" w:rsidRPr="00D948C1" w:rsidRDefault="00FB3503" w:rsidP="006C0086">
      <w:pPr>
        <w:keepLines/>
        <w:widowControl w:val="0"/>
        <w:spacing w:line="276" w:lineRule="auto"/>
        <w:ind w:left="720"/>
        <w:rPr>
          <w:b/>
          <w:szCs w:val="24"/>
        </w:rPr>
      </w:pPr>
      <w:r w:rsidRPr="00D948C1">
        <w:rPr>
          <w:b/>
          <w:szCs w:val="24"/>
        </w:rPr>
        <w:t>f</w:t>
      </w:r>
      <w:r w:rsidRPr="00D948C1">
        <w:rPr>
          <w:szCs w:val="24"/>
        </w:rPr>
        <w:tab/>
      </w:r>
      <w:r w:rsidRPr="00D948C1">
        <w:rPr>
          <w:b/>
          <w:szCs w:val="24"/>
        </w:rPr>
        <w:t>Financial Liabilities</w:t>
      </w:r>
    </w:p>
    <w:p w14:paraId="7DC2BD83" w14:textId="77777777" w:rsidR="00FB3503" w:rsidRPr="00D948C1" w:rsidRDefault="00FB3503" w:rsidP="006C0086">
      <w:pPr>
        <w:keepLines/>
        <w:widowControl w:val="0"/>
        <w:tabs>
          <w:tab w:val="left" w:pos="0"/>
          <w:tab w:val="right" w:pos="9072"/>
        </w:tabs>
        <w:spacing w:line="276" w:lineRule="auto"/>
        <w:ind w:left="720"/>
        <w:rPr>
          <w:b/>
          <w:szCs w:val="24"/>
        </w:rPr>
      </w:pPr>
    </w:p>
    <w:p w14:paraId="32ED46D2" w14:textId="235E6FF5" w:rsidR="009408FE" w:rsidRPr="00D948C1" w:rsidRDefault="00FB3503" w:rsidP="006C0086">
      <w:pPr>
        <w:keepLines/>
        <w:widowControl w:val="0"/>
        <w:spacing w:line="276" w:lineRule="auto"/>
        <w:ind w:left="1429"/>
        <w:rPr>
          <w:szCs w:val="24"/>
        </w:rPr>
      </w:pPr>
      <w:r w:rsidRPr="00D948C1">
        <w:rPr>
          <w:szCs w:val="24"/>
        </w:rPr>
        <w:t xml:space="preserve">Financial liabilities are initially measured at fair value and carried at their amortised cost. For </w:t>
      </w:r>
      <w:r w:rsidR="007446B1" w:rsidRPr="00D948C1">
        <w:rPr>
          <w:szCs w:val="24"/>
        </w:rPr>
        <w:t>all</w:t>
      </w:r>
      <w:r w:rsidRPr="00D948C1">
        <w:rPr>
          <w:szCs w:val="24"/>
        </w:rPr>
        <w:t xml:space="preserve"> the borrowings the Authority has, this means that the amount presented in the Balance Sheet is the outstanding principle repayable plus accrued interest and the interest charged to the Comprehensive Income and Expenditure Statement is the amount payable for the year in the loan agreement.</w:t>
      </w:r>
    </w:p>
    <w:p w14:paraId="53C2C66C" w14:textId="77777777" w:rsidR="00D45CFC" w:rsidRPr="00D948C1" w:rsidRDefault="00D45CFC" w:rsidP="006C0086">
      <w:pPr>
        <w:keepLines/>
        <w:widowControl w:val="0"/>
        <w:spacing w:line="276" w:lineRule="auto"/>
        <w:ind w:left="1429"/>
        <w:rPr>
          <w:b/>
          <w:szCs w:val="24"/>
        </w:rPr>
      </w:pPr>
    </w:p>
    <w:p w14:paraId="7242F8CB" w14:textId="53AC24A1" w:rsidR="00FB3503" w:rsidRPr="00D948C1" w:rsidRDefault="00FB3503" w:rsidP="006C0086">
      <w:pPr>
        <w:keepLines/>
        <w:widowControl w:val="0"/>
        <w:spacing w:line="276" w:lineRule="auto"/>
        <w:ind w:left="720"/>
        <w:rPr>
          <w:b/>
          <w:szCs w:val="24"/>
        </w:rPr>
      </w:pPr>
      <w:r w:rsidRPr="00D948C1">
        <w:rPr>
          <w:b/>
          <w:szCs w:val="24"/>
        </w:rPr>
        <w:t>g</w:t>
      </w:r>
      <w:r w:rsidRPr="00D948C1">
        <w:rPr>
          <w:b/>
          <w:szCs w:val="24"/>
        </w:rPr>
        <w:tab/>
        <w:t>Financial Assets</w:t>
      </w:r>
      <w:r w:rsidR="00CA61E9" w:rsidRPr="00D948C1">
        <w:rPr>
          <w:b/>
          <w:szCs w:val="24"/>
        </w:rPr>
        <w:t xml:space="preserve"> measured at amortised cost</w:t>
      </w:r>
    </w:p>
    <w:p w14:paraId="0E4F829A" w14:textId="77777777" w:rsidR="00FB3503" w:rsidRPr="00D948C1" w:rsidRDefault="00FB3503" w:rsidP="006C0086">
      <w:pPr>
        <w:keepLines/>
        <w:widowControl w:val="0"/>
        <w:tabs>
          <w:tab w:val="left" w:pos="0"/>
          <w:tab w:val="right" w:pos="9072"/>
        </w:tabs>
        <w:spacing w:line="276" w:lineRule="auto"/>
        <w:ind w:left="720"/>
        <w:rPr>
          <w:b/>
          <w:szCs w:val="24"/>
        </w:rPr>
      </w:pPr>
    </w:p>
    <w:p w14:paraId="1B52155B" w14:textId="78F9C438" w:rsidR="00FB3503" w:rsidRPr="00D948C1" w:rsidRDefault="00FB3503" w:rsidP="006C0086">
      <w:pPr>
        <w:keepLines/>
        <w:widowControl w:val="0"/>
        <w:tabs>
          <w:tab w:val="right" w:pos="9072"/>
        </w:tabs>
        <w:spacing w:line="276" w:lineRule="auto"/>
        <w:ind w:left="1429"/>
        <w:rPr>
          <w:szCs w:val="24"/>
        </w:rPr>
      </w:pPr>
      <w:r w:rsidRPr="00D948C1">
        <w:rPr>
          <w:szCs w:val="24"/>
        </w:rPr>
        <w:t xml:space="preserve">The Authority holds only one type of financial asset, </w:t>
      </w:r>
      <w:r w:rsidR="0094180B" w:rsidRPr="00D948C1">
        <w:rPr>
          <w:szCs w:val="24"/>
        </w:rPr>
        <w:t>loans,</w:t>
      </w:r>
      <w:r w:rsidRPr="00D948C1">
        <w:rPr>
          <w:szCs w:val="24"/>
        </w:rPr>
        <w:t xml:space="preserve"> and receivables. These are its cash investments and debtors - assets that have fixed or determinable payments but are not quoted in an active market.</w:t>
      </w:r>
    </w:p>
    <w:p w14:paraId="3709FB82" w14:textId="77777777" w:rsidR="00FB3503" w:rsidRPr="00D948C1" w:rsidRDefault="00FB3503" w:rsidP="006C0086">
      <w:pPr>
        <w:keepLines/>
        <w:widowControl w:val="0"/>
        <w:spacing w:line="276" w:lineRule="auto"/>
        <w:ind w:left="1429" w:hanging="709"/>
        <w:rPr>
          <w:b/>
          <w:szCs w:val="24"/>
        </w:rPr>
      </w:pPr>
    </w:p>
    <w:p w14:paraId="15026D97" w14:textId="3D545B9C" w:rsidR="00FB3503" w:rsidRPr="00D948C1" w:rsidRDefault="00DF770E" w:rsidP="006C0086">
      <w:pPr>
        <w:spacing w:line="276" w:lineRule="auto"/>
        <w:ind w:left="1429"/>
        <w:rPr>
          <w:szCs w:val="24"/>
        </w:rPr>
      </w:pPr>
      <w:r w:rsidRPr="00D948C1">
        <w:rPr>
          <w:szCs w:val="24"/>
        </w:rPr>
        <w:t>Investments</w:t>
      </w:r>
      <w:r w:rsidR="00FB3503" w:rsidRPr="00D948C1">
        <w:rPr>
          <w:szCs w:val="24"/>
        </w:rPr>
        <w:t xml:space="preserve"> are initially measured at fair value and carried at their amortised cost. For </w:t>
      </w:r>
      <w:r w:rsidR="0094180B" w:rsidRPr="00D948C1">
        <w:rPr>
          <w:szCs w:val="24"/>
        </w:rPr>
        <w:t>all</w:t>
      </w:r>
      <w:r w:rsidR="00FB3503" w:rsidRPr="00D948C1">
        <w:rPr>
          <w:szCs w:val="24"/>
        </w:rPr>
        <w:t xml:space="preserve"> the investments that the Authority has made, this means that the amount presented in the Balance Sheet is the outstanding principal receivable. The interest credited to the </w:t>
      </w:r>
      <w:r w:rsidR="00FB3503" w:rsidRPr="00D948C1">
        <w:rPr>
          <w:szCs w:val="24"/>
        </w:rPr>
        <w:lastRenderedPageBreak/>
        <w:t>Comprehensive Income and Expenditure Statement is the amount receivable for the year under the terms of the deposit agreement.</w:t>
      </w:r>
    </w:p>
    <w:p w14:paraId="1932F8A6" w14:textId="77777777" w:rsidR="00FB3503" w:rsidRPr="00D948C1" w:rsidRDefault="00FB3503" w:rsidP="006C0086">
      <w:pPr>
        <w:spacing w:line="276" w:lineRule="auto"/>
        <w:ind w:left="1429"/>
        <w:rPr>
          <w:szCs w:val="24"/>
        </w:rPr>
      </w:pPr>
    </w:p>
    <w:p w14:paraId="5379B406" w14:textId="77777777" w:rsidR="00FB3503" w:rsidRPr="00D948C1" w:rsidRDefault="00FB3503" w:rsidP="006C0086">
      <w:pPr>
        <w:spacing w:line="276" w:lineRule="auto"/>
        <w:ind w:left="720"/>
        <w:rPr>
          <w:b/>
          <w:szCs w:val="24"/>
        </w:rPr>
      </w:pPr>
      <w:r w:rsidRPr="00D948C1">
        <w:rPr>
          <w:b/>
          <w:szCs w:val="24"/>
        </w:rPr>
        <w:t>h</w:t>
      </w:r>
      <w:r w:rsidRPr="00D948C1">
        <w:rPr>
          <w:b/>
          <w:szCs w:val="24"/>
        </w:rPr>
        <w:tab/>
        <w:t>Government Grants &amp; Contributions</w:t>
      </w:r>
    </w:p>
    <w:p w14:paraId="7EFC1B19" w14:textId="77777777" w:rsidR="00FB3503" w:rsidRPr="00D948C1" w:rsidRDefault="00FB3503" w:rsidP="006C0086">
      <w:pPr>
        <w:spacing w:line="276" w:lineRule="auto"/>
        <w:ind w:left="720"/>
        <w:rPr>
          <w:b/>
          <w:szCs w:val="24"/>
        </w:rPr>
      </w:pPr>
    </w:p>
    <w:p w14:paraId="28A894E1" w14:textId="77777777" w:rsidR="00FB3503" w:rsidRPr="00D948C1" w:rsidRDefault="00FB3503" w:rsidP="006C0086">
      <w:pPr>
        <w:spacing w:line="276" w:lineRule="auto"/>
        <w:ind w:left="1429"/>
        <w:rPr>
          <w:szCs w:val="24"/>
        </w:rPr>
      </w:pPr>
      <w:r w:rsidRPr="00D948C1">
        <w:rPr>
          <w:szCs w:val="24"/>
        </w:rPr>
        <w:t>Government grants and donations are recognised as due to the Authority when there is reasonable assurance that:</w:t>
      </w:r>
    </w:p>
    <w:p w14:paraId="66644CE2" w14:textId="77777777" w:rsidR="00FB3503" w:rsidRPr="00D948C1" w:rsidRDefault="00FB3503" w:rsidP="006C0086">
      <w:pPr>
        <w:spacing w:line="276" w:lineRule="auto"/>
        <w:ind w:left="1429"/>
        <w:rPr>
          <w:szCs w:val="24"/>
        </w:rPr>
      </w:pPr>
    </w:p>
    <w:p w14:paraId="30E66F71" w14:textId="77777777" w:rsidR="00FB3503" w:rsidRPr="00D948C1" w:rsidRDefault="00FB3503" w:rsidP="006C0086">
      <w:pPr>
        <w:numPr>
          <w:ilvl w:val="0"/>
          <w:numId w:val="12"/>
        </w:numPr>
        <w:spacing w:line="276" w:lineRule="auto"/>
        <w:rPr>
          <w:szCs w:val="24"/>
        </w:rPr>
      </w:pPr>
      <w:r w:rsidRPr="00D948C1">
        <w:rPr>
          <w:szCs w:val="24"/>
        </w:rPr>
        <w:t>The Authority will comply with the conditions attached to the payments, and</w:t>
      </w:r>
    </w:p>
    <w:p w14:paraId="134E06C3" w14:textId="77777777" w:rsidR="00FB3503" w:rsidRPr="00D948C1" w:rsidRDefault="00FB3503" w:rsidP="006C0086">
      <w:pPr>
        <w:numPr>
          <w:ilvl w:val="0"/>
          <w:numId w:val="12"/>
        </w:numPr>
        <w:spacing w:line="276" w:lineRule="auto"/>
        <w:rPr>
          <w:szCs w:val="24"/>
        </w:rPr>
      </w:pPr>
      <w:r w:rsidRPr="00D948C1">
        <w:rPr>
          <w:szCs w:val="24"/>
        </w:rPr>
        <w:t>The grants or contributions will be received.</w:t>
      </w:r>
    </w:p>
    <w:p w14:paraId="33662FF9" w14:textId="77777777" w:rsidR="00FB3503" w:rsidRPr="00D948C1" w:rsidRDefault="00FB3503" w:rsidP="006C0086">
      <w:pPr>
        <w:spacing w:line="276" w:lineRule="auto"/>
        <w:ind w:left="1429"/>
        <w:rPr>
          <w:szCs w:val="24"/>
        </w:rPr>
      </w:pPr>
    </w:p>
    <w:p w14:paraId="724B21B8" w14:textId="684B3940" w:rsidR="00FB3503" w:rsidRPr="00D948C1" w:rsidRDefault="00FB3503" w:rsidP="006C0086">
      <w:pPr>
        <w:spacing w:line="276" w:lineRule="auto"/>
        <w:ind w:left="1429"/>
        <w:rPr>
          <w:szCs w:val="24"/>
        </w:rPr>
      </w:pPr>
      <w:r w:rsidRPr="00D948C1">
        <w:rPr>
          <w:szCs w:val="24"/>
        </w:rPr>
        <w:t>Amounts recognised as due to the Authority are not credited to the Comprehensive Income and Expenditure Statement until conditions attached have been satisfied. When conditions have been satisfied, the grant is credited to the non-specific grant income line in the Comprehensive Income and Expenditure Statement.</w:t>
      </w:r>
    </w:p>
    <w:p w14:paraId="47598DDF" w14:textId="77777777" w:rsidR="00FB3503" w:rsidRPr="00D948C1" w:rsidRDefault="00FB3503" w:rsidP="006C0086">
      <w:pPr>
        <w:spacing w:line="276" w:lineRule="auto"/>
        <w:ind w:left="1429"/>
        <w:rPr>
          <w:szCs w:val="24"/>
        </w:rPr>
      </w:pPr>
    </w:p>
    <w:p w14:paraId="51A491EE" w14:textId="3988E4D1" w:rsidR="00FB3503" w:rsidRPr="00D948C1" w:rsidRDefault="00FB3503" w:rsidP="006C0086">
      <w:pPr>
        <w:spacing w:line="276" w:lineRule="auto"/>
        <w:ind w:left="1429"/>
        <w:rPr>
          <w:szCs w:val="24"/>
        </w:rPr>
      </w:pPr>
      <w:r w:rsidRPr="00D948C1">
        <w:rPr>
          <w:szCs w:val="24"/>
        </w:rPr>
        <w:t>Where capital grants are credited to the Comprehensive Income and Expenditure Statement, they are reversed out of the General Fund Balance in the Movement in Reserves Statement.</w:t>
      </w:r>
    </w:p>
    <w:p w14:paraId="53BF07EE" w14:textId="77777777" w:rsidR="003D76C3" w:rsidRPr="00D948C1" w:rsidRDefault="003D76C3" w:rsidP="006C0086">
      <w:pPr>
        <w:spacing w:line="276" w:lineRule="auto"/>
        <w:ind w:left="1429"/>
        <w:rPr>
          <w:szCs w:val="24"/>
        </w:rPr>
      </w:pPr>
    </w:p>
    <w:p w14:paraId="7A4229BB" w14:textId="6F91C7F1" w:rsidR="00FB3503" w:rsidRPr="00D948C1" w:rsidRDefault="00FB3503" w:rsidP="006C0086">
      <w:pPr>
        <w:spacing w:line="276" w:lineRule="auto"/>
        <w:ind w:left="720"/>
        <w:rPr>
          <w:b/>
          <w:szCs w:val="24"/>
        </w:rPr>
      </w:pPr>
      <w:proofErr w:type="spellStart"/>
      <w:r w:rsidRPr="00D948C1">
        <w:rPr>
          <w:b/>
          <w:szCs w:val="24"/>
        </w:rPr>
        <w:t>i</w:t>
      </w:r>
      <w:proofErr w:type="spellEnd"/>
      <w:r w:rsidRPr="00D948C1">
        <w:rPr>
          <w:b/>
          <w:szCs w:val="24"/>
        </w:rPr>
        <w:tab/>
        <w:t>Non</w:t>
      </w:r>
      <w:r w:rsidR="0094180B" w:rsidRPr="00D948C1">
        <w:rPr>
          <w:b/>
          <w:szCs w:val="24"/>
        </w:rPr>
        <w:t>-</w:t>
      </w:r>
      <w:r w:rsidRPr="00D948C1">
        <w:rPr>
          <w:b/>
          <w:szCs w:val="24"/>
        </w:rPr>
        <w:t>Current Assets</w:t>
      </w:r>
    </w:p>
    <w:p w14:paraId="5747F733" w14:textId="77777777" w:rsidR="00FB3503" w:rsidRPr="00D948C1" w:rsidRDefault="00FB3503" w:rsidP="006C0086">
      <w:pPr>
        <w:spacing w:line="276" w:lineRule="auto"/>
        <w:ind w:left="720"/>
        <w:rPr>
          <w:szCs w:val="24"/>
        </w:rPr>
      </w:pPr>
    </w:p>
    <w:p w14:paraId="7EE33A90" w14:textId="28E03454" w:rsidR="00FB3503" w:rsidRPr="00D948C1" w:rsidRDefault="00FB3503" w:rsidP="006C0086">
      <w:pPr>
        <w:spacing w:line="276" w:lineRule="auto"/>
        <w:ind w:left="1440"/>
        <w:rPr>
          <w:szCs w:val="24"/>
        </w:rPr>
      </w:pPr>
      <w:r w:rsidRPr="00D948C1">
        <w:rPr>
          <w:szCs w:val="24"/>
        </w:rPr>
        <w:t>Non</w:t>
      </w:r>
      <w:r w:rsidR="0094180B" w:rsidRPr="00D948C1">
        <w:rPr>
          <w:szCs w:val="24"/>
        </w:rPr>
        <w:t>-</w:t>
      </w:r>
      <w:r w:rsidRPr="00D948C1">
        <w:rPr>
          <w:szCs w:val="24"/>
        </w:rPr>
        <w:t>current assets are included in the Balance Sheet at the estimated current value of the asset. They comprise:</w:t>
      </w:r>
    </w:p>
    <w:p w14:paraId="6E4A9AC0" w14:textId="77777777" w:rsidR="00FB3503" w:rsidRPr="00D948C1" w:rsidRDefault="00FB3503" w:rsidP="006C0086">
      <w:pPr>
        <w:spacing w:line="276" w:lineRule="auto"/>
        <w:ind w:left="1440"/>
        <w:rPr>
          <w:szCs w:val="24"/>
        </w:rPr>
      </w:pPr>
    </w:p>
    <w:p w14:paraId="3F1F9C14" w14:textId="77777777" w:rsidR="00FB3503" w:rsidRPr="00D948C1" w:rsidRDefault="00FB3503" w:rsidP="006C0086">
      <w:pPr>
        <w:pStyle w:val="BodyTextIndent"/>
        <w:numPr>
          <w:ilvl w:val="0"/>
          <w:numId w:val="19"/>
        </w:numPr>
        <w:spacing w:line="276" w:lineRule="auto"/>
        <w:rPr>
          <w:i/>
          <w:szCs w:val="24"/>
        </w:rPr>
      </w:pPr>
      <w:r w:rsidRPr="00D948C1">
        <w:rPr>
          <w:szCs w:val="24"/>
        </w:rPr>
        <w:t>Property, plant &amp; equipment - These are assets that have a physical substance which are used continuously to provide services or for administrative purposes.</w:t>
      </w:r>
    </w:p>
    <w:p w14:paraId="3AB38D7F" w14:textId="77777777" w:rsidR="00FB3503" w:rsidRPr="00D948C1" w:rsidRDefault="00FB3503" w:rsidP="006C0086">
      <w:pPr>
        <w:pStyle w:val="BodyTextIndent"/>
        <w:numPr>
          <w:ilvl w:val="0"/>
          <w:numId w:val="8"/>
        </w:numPr>
        <w:spacing w:line="276" w:lineRule="auto"/>
        <w:ind w:left="2160"/>
        <w:rPr>
          <w:szCs w:val="24"/>
        </w:rPr>
      </w:pPr>
      <w:r w:rsidRPr="00D948C1">
        <w:rPr>
          <w:szCs w:val="24"/>
        </w:rPr>
        <w:t xml:space="preserve">Intangible assets – Assets that do not have a physical substance but can be separately identified and controlled by the Authority (for example, software licenses). Spending on these assets is </w:t>
      </w:r>
      <w:proofErr w:type="spellStart"/>
      <w:r w:rsidRPr="00D948C1">
        <w:rPr>
          <w:szCs w:val="24"/>
        </w:rPr>
        <w:t>capitalised</w:t>
      </w:r>
      <w:proofErr w:type="spellEnd"/>
      <w:r w:rsidRPr="00D948C1">
        <w:rPr>
          <w:szCs w:val="24"/>
        </w:rPr>
        <w:t xml:space="preserve"> if the asset will bring benefit to the Authority for more than one financial year.</w:t>
      </w:r>
    </w:p>
    <w:p w14:paraId="0B0051D5" w14:textId="1B12D208" w:rsidR="00D45CFC" w:rsidRPr="00D948C1" w:rsidRDefault="00D45CFC" w:rsidP="006C0086">
      <w:pPr>
        <w:spacing w:line="276" w:lineRule="auto"/>
        <w:rPr>
          <w:szCs w:val="24"/>
        </w:rPr>
      </w:pPr>
    </w:p>
    <w:p w14:paraId="265003D7" w14:textId="77777777" w:rsidR="00FB3503" w:rsidRPr="00D948C1" w:rsidRDefault="00FB3503" w:rsidP="006C0086">
      <w:pPr>
        <w:spacing w:line="276" w:lineRule="auto"/>
        <w:ind w:left="2160" w:hanging="720"/>
        <w:rPr>
          <w:szCs w:val="24"/>
          <w:u w:val="single"/>
        </w:rPr>
      </w:pPr>
      <w:proofErr w:type="spellStart"/>
      <w:r w:rsidRPr="00D948C1">
        <w:rPr>
          <w:szCs w:val="24"/>
        </w:rPr>
        <w:t>i</w:t>
      </w:r>
      <w:proofErr w:type="spellEnd"/>
      <w:r w:rsidRPr="00D948C1">
        <w:rPr>
          <w:szCs w:val="24"/>
        </w:rPr>
        <w:t>)</w:t>
      </w:r>
      <w:r w:rsidRPr="00D948C1">
        <w:rPr>
          <w:szCs w:val="24"/>
        </w:rPr>
        <w:tab/>
      </w:r>
      <w:r w:rsidRPr="00D948C1">
        <w:rPr>
          <w:szCs w:val="24"/>
          <w:u w:val="single"/>
        </w:rPr>
        <w:t>Recognition</w:t>
      </w:r>
    </w:p>
    <w:p w14:paraId="66B01011" w14:textId="77777777" w:rsidR="00FB3503" w:rsidRPr="00D948C1" w:rsidRDefault="00FB3503" w:rsidP="006C0086">
      <w:pPr>
        <w:pStyle w:val="BodyTextIndent3"/>
        <w:spacing w:after="0" w:line="276" w:lineRule="auto"/>
        <w:ind w:left="720"/>
        <w:rPr>
          <w:szCs w:val="24"/>
        </w:rPr>
      </w:pPr>
    </w:p>
    <w:p w14:paraId="0B654887" w14:textId="1E5C9E76" w:rsidR="00FB3503" w:rsidRPr="00D948C1" w:rsidRDefault="00FB3503" w:rsidP="006C0086">
      <w:pPr>
        <w:pStyle w:val="BodyTextIndent3"/>
        <w:spacing w:after="0" w:line="276" w:lineRule="auto"/>
        <w:ind w:left="2160"/>
        <w:rPr>
          <w:strike/>
          <w:szCs w:val="24"/>
        </w:rPr>
      </w:pPr>
      <w:r w:rsidRPr="00D948C1">
        <w:rPr>
          <w:szCs w:val="24"/>
        </w:rPr>
        <w:t>All capital expenditure over the value of £10,000 on the acquisition or enhancement of non</w:t>
      </w:r>
      <w:r w:rsidR="0094180B" w:rsidRPr="00D948C1">
        <w:rPr>
          <w:szCs w:val="24"/>
        </w:rPr>
        <w:t>-</w:t>
      </w:r>
      <w:r w:rsidRPr="00D948C1">
        <w:rPr>
          <w:szCs w:val="24"/>
        </w:rPr>
        <w:t xml:space="preserve">current assets is capitalised in the accounts on an </w:t>
      </w:r>
      <w:proofErr w:type="gramStart"/>
      <w:r w:rsidRPr="00D948C1">
        <w:rPr>
          <w:szCs w:val="24"/>
        </w:rPr>
        <w:t>accruals</w:t>
      </w:r>
      <w:proofErr w:type="gramEnd"/>
      <w:r w:rsidRPr="00D948C1">
        <w:rPr>
          <w:szCs w:val="24"/>
        </w:rPr>
        <w:t xml:space="preserve"> basis, in accordance with the relevant statute, with the exception of fleet vehicles, which are capitalised providing the cost is over £5,000 and the asset life is over 5 years.</w:t>
      </w:r>
    </w:p>
    <w:p w14:paraId="479C092E" w14:textId="77777777" w:rsidR="00FB3503" w:rsidRPr="00D948C1" w:rsidRDefault="00FB3503" w:rsidP="006C0086">
      <w:pPr>
        <w:pStyle w:val="BodyTextIndent3"/>
        <w:spacing w:after="0" w:line="276" w:lineRule="auto"/>
        <w:ind w:left="720"/>
        <w:rPr>
          <w:szCs w:val="24"/>
        </w:rPr>
      </w:pPr>
    </w:p>
    <w:p w14:paraId="48191502" w14:textId="77777777" w:rsidR="00FB3503" w:rsidRPr="00D948C1" w:rsidRDefault="00FB3503" w:rsidP="006C0086">
      <w:pPr>
        <w:spacing w:line="276" w:lineRule="auto"/>
        <w:ind w:left="2160" w:hanging="720"/>
        <w:rPr>
          <w:szCs w:val="24"/>
          <w:u w:val="single"/>
        </w:rPr>
      </w:pPr>
      <w:r w:rsidRPr="00D948C1">
        <w:rPr>
          <w:szCs w:val="24"/>
        </w:rPr>
        <w:t>ii)</w:t>
      </w:r>
      <w:r w:rsidRPr="00D948C1">
        <w:rPr>
          <w:szCs w:val="24"/>
        </w:rPr>
        <w:tab/>
      </w:r>
      <w:r w:rsidRPr="00D948C1">
        <w:rPr>
          <w:szCs w:val="24"/>
          <w:u w:val="single"/>
        </w:rPr>
        <w:t>Measurement</w:t>
      </w:r>
    </w:p>
    <w:p w14:paraId="0547CBC4" w14:textId="77777777" w:rsidR="00FB3503" w:rsidRPr="00D948C1" w:rsidRDefault="00FB3503" w:rsidP="006C0086">
      <w:pPr>
        <w:pStyle w:val="BodyTextIndent3"/>
        <w:spacing w:after="0" w:line="276" w:lineRule="auto"/>
        <w:ind w:left="720"/>
        <w:rPr>
          <w:szCs w:val="24"/>
        </w:rPr>
      </w:pPr>
    </w:p>
    <w:p w14:paraId="2E60D01B" w14:textId="28D55502" w:rsidR="00FB3503" w:rsidRPr="00D948C1" w:rsidRDefault="00FB3503" w:rsidP="006C0086">
      <w:pPr>
        <w:pStyle w:val="BodyTextIndent3"/>
        <w:spacing w:after="0" w:line="276" w:lineRule="auto"/>
        <w:ind w:left="2160"/>
        <w:rPr>
          <w:szCs w:val="24"/>
        </w:rPr>
      </w:pPr>
      <w:r w:rsidRPr="00D948C1">
        <w:rPr>
          <w:szCs w:val="24"/>
        </w:rPr>
        <w:t xml:space="preserve">Land and buildings are revalued on a rolling </w:t>
      </w:r>
      <w:r w:rsidR="0094180B" w:rsidRPr="00D948C1">
        <w:rPr>
          <w:szCs w:val="24"/>
        </w:rPr>
        <w:t>five-year</w:t>
      </w:r>
      <w:r w:rsidRPr="00D948C1">
        <w:rPr>
          <w:szCs w:val="24"/>
        </w:rPr>
        <w:t xml:space="preserve"> basis by a suitably qualified surveyor. As </w:t>
      </w:r>
      <w:proofErr w:type="gramStart"/>
      <w:r w:rsidRPr="00D948C1">
        <w:rPr>
          <w:szCs w:val="24"/>
        </w:rPr>
        <w:t>at</w:t>
      </w:r>
      <w:proofErr w:type="gramEnd"/>
      <w:r w:rsidRPr="00D948C1">
        <w:rPr>
          <w:szCs w:val="24"/>
        </w:rPr>
        <w:t xml:space="preserve"> 31 March </w:t>
      </w:r>
      <w:r w:rsidR="009F7288" w:rsidRPr="00D948C1">
        <w:rPr>
          <w:szCs w:val="24"/>
        </w:rPr>
        <w:t>202</w:t>
      </w:r>
      <w:r w:rsidR="00853231" w:rsidRPr="00D948C1">
        <w:rPr>
          <w:szCs w:val="24"/>
        </w:rPr>
        <w:t>4</w:t>
      </w:r>
      <w:r w:rsidRPr="00D948C1">
        <w:rPr>
          <w:szCs w:val="24"/>
        </w:rPr>
        <w:t xml:space="preserve">, </w:t>
      </w:r>
      <w:proofErr w:type="spellStart"/>
      <w:r w:rsidRPr="00D948C1">
        <w:rPr>
          <w:szCs w:val="24"/>
        </w:rPr>
        <w:t>Amcat</w:t>
      </w:r>
      <w:proofErr w:type="spellEnd"/>
      <w:r w:rsidRPr="00D948C1">
        <w:rPr>
          <w:szCs w:val="24"/>
        </w:rPr>
        <w:t xml:space="preserve"> Limited, an external organisation, using surveyors qualified by the Royal Institution of Chartered </w:t>
      </w:r>
      <w:r w:rsidRPr="00D948C1">
        <w:rPr>
          <w:szCs w:val="24"/>
        </w:rPr>
        <w:lastRenderedPageBreak/>
        <w:t xml:space="preserve">Surveyors, carried out revaluations on the identified properties. All valuations are </w:t>
      </w:r>
      <w:r w:rsidR="0094180B" w:rsidRPr="00D948C1">
        <w:rPr>
          <w:szCs w:val="24"/>
        </w:rPr>
        <w:t>based on</w:t>
      </w:r>
      <w:r w:rsidRPr="00D948C1">
        <w:rPr>
          <w:szCs w:val="24"/>
        </w:rPr>
        <w:t xml:space="preserve"> depreciated replacement cost, </w:t>
      </w:r>
      <w:r w:rsidR="0094180B" w:rsidRPr="00D948C1">
        <w:rPr>
          <w:szCs w:val="24"/>
        </w:rPr>
        <w:t>except for</w:t>
      </w:r>
      <w:r w:rsidRPr="00D948C1">
        <w:rPr>
          <w:szCs w:val="24"/>
        </w:rPr>
        <w:t xml:space="preserve"> one property used as offices, valued at Existing Use Value. </w:t>
      </w:r>
    </w:p>
    <w:p w14:paraId="531C7499" w14:textId="77777777" w:rsidR="00FB3503" w:rsidRPr="00D948C1" w:rsidRDefault="00FB3503" w:rsidP="006C0086">
      <w:pPr>
        <w:pStyle w:val="BodyTextIndent3"/>
        <w:spacing w:after="0" w:line="276" w:lineRule="auto"/>
        <w:ind w:left="2160"/>
        <w:rPr>
          <w:szCs w:val="24"/>
        </w:rPr>
      </w:pPr>
    </w:p>
    <w:p w14:paraId="05B1F4CA" w14:textId="7BE74585" w:rsidR="00FB3503" w:rsidRPr="00D948C1" w:rsidRDefault="00FB3503" w:rsidP="006C0086">
      <w:pPr>
        <w:pStyle w:val="BodyTextIndent3"/>
        <w:spacing w:after="0" w:line="276" w:lineRule="auto"/>
        <w:ind w:left="2160"/>
        <w:rPr>
          <w:szCs w:val="24"/>
        </w:rPr>
      </w:pPr>
      <w:r w:rsidRPr="00D948C1">
        <w:rPr>
          <w:szCs w:val="24"/>
        </w:rPr>
        <w:t xml:space="preserve">All other </w:t>
      </w:r>
      <w:r w:rsidR="0094180B" w:rsidRPr="00D948C1">
        <w:rPr>
          <w:szCs w:val="24"/>
        </w:rPr>
        <w:t>non-current</w:t>
      </w:r>
      <w:r w:rsidRPr="00D948C1">
        <w:rPr>
          <w:szCs w:val="24"/>
        </w:rPr>
        <w:t xml:space="preserve"> assets are valued at historic cost.</w:t>
      </w:r>
    </w:p>
    <w:p w14:paraId="1708AFBE" w14:textId="77777777" w:rsidR="00FB3503" w:rsidRPr="00D948C1" w:rsidRDefault="00FB3503" w:rsidP="006C0086">
      <w:pPr>
        <w:pStyle w:val="BodyTextIndent3"/>
        <w:spacing w:after="0" w:line="276" w:lineRule="auto"/>
        <w:ind w:left="720"/>
        <w:rPr>
          <w:szCs w:val="24"/>
        </w:rPr>
      </w:pPr>
    </w:p>
    <w:p w14:paraId="434AD501" w14:textId="3C443975" w:rsidR="00FB3503" w:rsidRPr="00D948C1" w:rsidRDefault="00FB3503" w:rsidP="006C0086">
      <w:pPr>
        <w:pStyle w:val="BodyTextIndent3"/>
        <w:spacing w:after="0" w:line="276" w:lineRule="auto"/>
        <w:ind w:left="2160"/>
        <w:rPr>
          <w:szCs w:val="24"/>
        </w:rPr>
      </w:pPr>
      <w:r w:rsidRPr="00D948C1">
        <w:rPr>
          <w:szCs w:val="24"/>
        </w:rPr>
        <w:t>The Revaluation Reserve contains revaluation gains recognised since 1 April 2007, the date of its formal implementation. The Revaluation Reserve was created with effect from 31 March 2007 with a zero</w:t>
      </w:r>
      <w:r w:rsidR="0094180B" w:rsidRPr="00D948C1">
        <w:rPr>
          <w:szCs w:val="24"/>
        </w:rPr>
        <w:t>-</w:t>
      </w:r>
      <w:r w:rsidRPr="00D948C1">
        <w:rPr>
          <w:szCs w:val="24"/>
        </w:rPr>
        <w:t>opening balance. Gains arising before 1 April 2007 have been consolidated into the Capital Adjustment Account.</w:t>
      </w:r>
    </w:p>
    <w:p w14:paraId="28DA5E0F" w14:textId="77777777" w:rsidR="00703D67" w:rsidRPr="00D948C1" w:rsidRDefault="00703D67" w:rsidP="006C0086">
      <w:pPr>
        <w:spacing w:line="276" w:lineRule="auto"/>
        <w:rPr>
          <w:szCs w:val="24"/>
        </w:rPr>
      </w:pPr>
    </w:p>
    <w:p w14:paraId="5C571EFE" w14:textId="77777777" w:rsidR="00FB3503" w:rsidRPr="00D948C1" w:rsidRDefault="00FB3503" w:rsidP="006C0086">
      <w:pPr>
        <w:pStyle w:val="BodyTextIndent3"/>
        <w:spacing w:after="0" w:line="276" w:lineRule="auto"/>
        <w:rPr>
          <w:szCs w:val="24"/>
        </w:rPr>
      </w:pPr>
      <w:r w:rsidRPr="00D948C1">
        <w:rPr>
          <w:szCs w:val="24"/>
        </w:rPr>
        <w:t>iii)</w:t>
      </w:r>
      <w:r w:rsidRPr="00D948C1">
        <w:rPr>
          <w:szCs w:val="24"/>
        </w:rPr>
        <w:tab/>
      </w:r>
      <w:r w:rsidRPr="00D948C1">
        <w:rPr>
          <w:szCs w:val="24"/>
          <w:u w:val="single"/>
        </w:rPr>
        <w:t>Impairment</w:t>
      </w:r>
    </w:p>
    <w:p w14:paraId="154CE34C" w14:textId="77777777" w:rsidR="00FB3503" w:rsidRPr="00D948C1" w:rsidRDefault="00FB3503" w:rsidP="006C0086">
      <w:pPr>
        <w:pStyle w:val="BodyTextIndent3"/>
        <w:spacing w:after="0" w:line="276" w:lineRule="auto"/>
        <w:ind w:left="720"/>
        <w:rPr>
          <w:szCs w:val="24"/>
        </w:rPr>
      </w:pPr>
    </w:p>
    <w:p w14:paraId="41B8991A" w14:textId="538F30B1" w:rsidR="00FB3503" w:rsidRPr="00D948C1" w:rsidRDefault="00FB3503" w:rsidP="006C0086">
      <w:pPr>
        <w:pStyle w:val="BodyTextIndent3"/>
        <w:spacing w:after="0" w:line="276" w:lineRule="auto"/>
        <w:ind w:left="2160"/>
        <w:rPr>
          <w:szCs w:val="24"/>
        </w:rPr>
      </w:pPr>
      <w:r w:rsidRPr="00D948C1">
        <w:rPr>
          <w:szCs w:val="24"/>
        </w:rPr>
        <w:t>The Combined Fire Authority's non</w:t>
      </w:r>
      <w:r w:rsidR="0094180B" w:rsidRPr="00D948C1">
        <w:rPr>
          <w:szCs w:val="24"/>
        </w:rPr>
        <w:t>-</w:t>
      </w:r>
      <w:r w:rsidRPr="00D948C1">
        <w:rPr>
          <w:szCs w:val="24"/>
        </w:rPr>
        <w:t>current assets are considered for impairment at the end of each year by appropriately qualified Property Consultants.</w:t>
      </w:r>
    </w:p>
    <w:p w14:paraId="61D640A7" w14:textId="77777777" w:rsidR="00FB3503" w:rsidRPr="00D948C1" w:rsidRDefault="00FB3503" w:rsidP="006C0086">
      <w:pPr>
        <w:pStyle w:val="BodyTextIndent3"/>
        <w:spacing w:after="0" w:line="276" w:lineRule="auto"/>
        <w:ind w:left="2160"/>
        <w:rPr>
          <w:szCs w:val="24"/>
        </w:rPr>
      </w:pPr>
    </w:p>
    <w:p w14:paraId="737B2812" w14:textId="77777777" w:rsidR="00FB3503" w:rsidRPr="00D948C1" w:rsidRDefault="00FB3503" w:rsidP="006C0086">
      <w:pPr>
        <w:numPr>
          <w:ilvl w:val="0"/>
          <w:numId w:val="20"/>
        </w:numPr>
        <w:spacing w:line="276" w:lineRule="auto"/>
        <w:rPr>
          <w:szCs w:val="24"/>
          <w:u w:val="single"/>
        </w:rPr>
      </w:pPr>
      <w:r w:rsidRPr="00D948C1">
        <w:rPr>
          <w:szCs w:val="24"/>
          <w:u w:val="single"/>
        </w:rPr>
        <w:t>Disposals</w:t>
      </w:r>
    </w:p>
    <w:p w14:paraId="56BD3FD6" w14:textId="77777777" w:rsidR="00FB3503" w:rsidRPr="00D948C1" w:rsidRDefault="00FB3503" w:rsidP="006C0086">
      <w:pPr>
        <w:spacing w:line="276" w:lineRule="auto"/>
        <w:ind w:left="720"/>
        <w:rPr>
          <w:szCs w:val="24"/>
          <w:u w:val="single"/>
        </w:rPr>
      </w:pPr>
    </w:p>
    <w:p w14:paraId="793EF27C" w14:textId="475FC485" w:rsidR="00FB3503" w:rsidRPr="00D948C1" w:rsidRDefault="005C14FB" w:rsidP="006C0086">
      <w:pPr>
        <w:pStyle w:val="BodyTextIndent3"/>
        <w:spacing w:after="0" w:line="276" w:lineRule="auto"/>
        <w:ind w:left="2160"/>
        <w:rPr>
          <w:szCs w:val="24"/>
        </w:rPr>
      </w:pPr>
      <w:r w:rsidRPr="00D948C1">
        <w:rPr>
          <w:szCs w:val="24"/>
        </w:rPr>
        <w:t xml:space="preserve">When an asset is disposed of the value of asset in the balance sheet is written off to the Comprehensive Income and Expenditure Statement (CIES) as part of the gain or loss on disposal. </w:t>
      </w:r>
      <w:r w:rsidR="00426412" w:rsidRPr="00D948C1">
        <w:rPr>
          <w:szCs w:val="24"/>
        </w:rPr>
        <w:t>R</w:t>
      </w:r>
      <w:r w:rsidRPr="00D948C1">
        <w:rPr>
          <w:szCs w:val="24"/>
        </w:rPr>
        <w:t xml:space="preserve">eceipts from disposals are credited to capital receipts, with the sale proceeds being recognised in the CIES. This treatment results in the netting </w:t>
      </w:r>
      <w:r w:rsidR="005431D6" w:rsidRPr="00D948C1">
        <w:rPr>
          <w:szCs w:val="24"/>
        </w:rPr>
        <w:t>off</w:t>
      </w:r>
      <w:r w:rsidRPr="00D948C1">
        <w:rPr>
          <w:szCs w:val="24"/>
        </w:rPr>
        <w:t xml:space="preserve"> receipts against the carrying value of the asset.</w:t>
      </w:r>
    </w:p>
    <w:p w14:paraId="40CD23CF" w14:textId="77777777" w:rsidR="003D76C3" w:rsidRPr="00D948C1" w:rsidRDefault="003D76C3" w:rsidP="006C0086">
      <w:pPr>
        <w:pStyle w:val="BodyTextIndent3"/>
        <w:spacing w:after="0" w:line="276" w:lineRule="auto"/>
        <w:ind w:left="2160"/>
        <w:rPr>
          <w:szCs w:val="24"/>
        </w:rPr>
      </w:pPr>
    </w:p>
    <w:p w14:paraId="7EE988FD" w14:textId="77777777" w:rsidR="00FB3503" w:rsidRPr="00D948C1" w:rsidRDefault="00FB3503" w:rsidP="006C0086">
      <w:pPr>
        <w:numPr>
          <w:ilvl w:val="0"/>
          <w:numId w:val="20"/>
        </w:numPr>
        <w:spacing w:line="276" w:lineRule="auto"/>
        <w:rPr>
          <w:szCs w:val="24"/>
          <w:u w:val="single"/>
        </w:rPr>
      </w:pPr>
      <w:r w:rsidRPr="00D948C1">
        <w:rPr>
          <w:szCs w:val="24"/>
          <w:u w:val="single"/>
        </w:rPr>
        <w:t>Depreciation</w:t>
      </w:r>
    </w:p>
    <w:p w14:paraId="0E2C855F" w14:textId="77777777" w:rsidR="00B620F4" w:rsidRPr="00D948C1" w:rsidRDefault="00B620F4" w:rsidP="006C0086">
      <w:pPr>
        <w:spacing w:line="276" w:lineRule="auto"/>
        <w:ind w:left="2160"/>
        <w:rPr>
          <w:szCs w:val="24"/>
          <w:u w:val="single"/>
        </w:rPr>
      </w:pPr>
    </w:p>
    <w:p w14:paraId="4A2A12BF" w14:textId="08DAB550" w:rsidR="00B620F4" w:rsidRPr="00D948C1" w:rsidRDefault="00B620F4" w:rsidP="006C0086">
      <w:pPr>
        <w:spacing w:line="276" w:lineRule="auto"/>
        <w:ind w:left="2160"/>
        <w:rPr>
          <w:szCs w:val="24"/>
        </w:rPr>
      </w:pPr>
      <w:bookmarkStart w:id="82" w:name="_Hlk170815608"/>
      <w:r w:rsidRPr="00D948C1">
        <w:rPr>
          <w:szCs w:val="24"/>
        </w:rPr>
        <w:t xml:space="preserve">Depreciation is charged </w:t>
      </w:r>
      <w:r w:rsidR="00F02059" w:rsidRPr="00D948C1">
        <w:rPr>
          <w:szCs w:val="24"/>
        </w:rPr>
        <w:t xml:space="preserve">on all assets with a finite useful life by the systematic allocation of the depreciable amounts over </w:t>
      </w:r>
      <w:r w:rsidR="002D6620" w:rsidRPr="00D948C1">
        <w:rPr>
          <w:szCs w:val="24"/>
        </w:rPr>
        <w:t xml:space="preserve">the period for which </w:t>
      </w:r>
      <w:r w:rsidR="00572249" w:rsidRPr="00D948C1">
        <w:rPr>
          <w:szCs w:val="24"/>
        </w:rPr>
        <w:t xml:space="preserve">the asset </w:t>
      </w:r>
      <w:r w:rsidR="002D6620" w:rsidRPr="00D948C1">
        <w:rPr>
          <w:szCs w:val="24"/>
        </w:rPr>
        <w:t>is</w:t>
      </w:r>
      <w:r w:rsidR="00572249" w:rsidRPr="00D948C1">
        <w:rPr>
          <w:szCs w:val="24"/>
        </w:rPr>
        <w:t xml:space="preserve"> </w:t>
      </w:r>
      <w:r w:rsidR="002D6620" w:rsidRPr="00D948C1">
        <w:rPr>
          <w:szCs w:val="24"/>
        </w:rPr>
        <w:t>available for use by the authority</w:t>
      </w:r>
      <w:r w:rsidR="00F02059" w:rsidRPr="00D948C1">
        <w:rPr>
          <w:szCs w:val="24"/>
        </w:rPr>
        <w:t xml:space="preserve">. </w:t>
      </w:r>
    </w:p>
    <w:p w14:paraId="60393B2F" w14:textId="77777777" w:rsidR="00FB3503" w:rsidRPr="00D948C1" w:rsidRDefault="00FB3503" w:rsidP="006C0086">
      <w:pPr>
        <w:spacing w:line="276" w:lineRule="auto"/>
        <w:ind w:left="720"/>
        <w:rPr>
          <w:szCs w:val="24"/>
          <w:u w:val="single"/>
        </w:rPr>
      </w:pPr>
    </w:p>
    <w:p w14:paraId="06680A04" w14:textId="77777777" w:rsidR="00FB3503" w:rsidRPr="00D948C1" w:rsidRDefault="00FB3503" w:rsidP="006C0086">
      <w:pPr>
        <w:pStyle w:val="BodyTextIndent3"/>
        <w:numPr>
          <w:ilvl w:val="0"/>
          <w:numId w:val="7"/>
        </w:numPr>
        <w:tabs>
          <w:tab w:val="clear" w:pos="1800"/>
          <w:tab w:val="num" w:pos="2847"/>
        </w:tabs>
        <w:spacing w:after="0" w:line="276" w:lineRule="auto"/>
        <w:ind w:left="2847" w:hanging="709"/>
        <w:rPr>
          <w:szCs w:val="24"/>
        </w:rPr>
      </w:pPr>
      <w:r w:rsidRPr="00D948C1">
        <w:rPr>
          <w:szCs w:val="24"/>
        </w:rPr>
        <w:t>Intangible assets are assessed over their estimated useful life, 5 years.</w:t>
      </w:r>
    </w:p>
    <w:p w14:paraId="6054E4A9" w14:textId="77777777" w:rsidR="00FB3503" w:rsidRPr="00D948C1" w:rsidRDefault="00FB3503" w:rsidP="006C0086">
      <w:pPr>
        <w:pStyle w:val="BodyTextIndent3"/>
        <w:numPr>
          <w:ilvl w:val="0"/>
          <w:numId w:val="5"/>
        </w:numPr>
        <w:tabs>
          <w:tab w:val="clear" w:pos="720"/>
          <w:tab w:val="num" w:pos="2880"/>
        </w:tabs>
        <w:spacing w:after="0" w:line="276" w:lineRule="auto"/>
        <w:ind w:left="2880"/>
        <w:rPr>
          <w:szCs w:val="24"/>
        </w:rPr>
      </w:pPr>
      <w:r w:rsidRPr="00D948C1">
        <w:rPr>
          <w:szCs w:val="24"/>
        </w:rPr>
        <w:t>Land is assessed as having an infinite life, and therefore is not depreciated.</w:t>
      </w:r>
    </w:p>
    <w:p w14:paraId="33D523DA" w14:textId="77777777" w:rsidR="00FB3503" w:rsidRPr="00D948C1" w:rsidRDefault="00FB3503" w:rsidP="006C0086">
      <w:pPr>
        <w:pStyle w:val="BodyTextIndent3"/>
        <w:numPr>
          <w:ilvl w:val="0"/>
          <w:numId w:val="5"/>
        </w:numPr>
        <w:tabs>
          <w:tab w:val="clear" w:pos="720"/>
          <w:tab w:val="num" w:pos="2880"/>
        </w:tabs>
        <w:spacing w:after="0" w:line="276" w:lineRule="auto"/>
        <w:ind w:left="2880"/>
        <w:rPr>
          <w:szCs w:val="24"/>
        </w:rPr>
      </w:pPr>
      <w:r w:rsidRPr="00D948C1">
        <w:rPr>
          <w:szCs w:val="24"/>
        </w:rPr>
        <w:t>Building assets are assessed for an appropriate property life by property professionals, in 10-year bands up to a maximum of 50 years.</w:t>
      </w:r>
    </w:p>
    <w:p w14:paraId="12CD30B9" w14:textId="77777777" w:rsidR="00FB3503" w:rsidRPr="00D948C1" w:rsidRDefault="00FB3503" w:rsidP="006C0086">
      <w:pPr>
        <w:pStyle w:val="BodyTextIndent3"/>
        <w:numPr>
          <w:ilvl w:val="0"/>
          <w:numId w:val="6"/>
        </w:numPr>
        <w:tabs>
          <w:tab w:val="clear" w:pos="720"/>
          <w:tab w:val="num" w:pos="2880"/>
        </w:tabs>
        <w:spacing w:after="0" w:line="276" w:lineRule="auto"/>
        <w:ind w:left="2880"/>
        <w:rPr>
          <w:szCs w:val="24"/>
        </w:rPr>
      </w:pPr>
      <w:r w:rsidRPr="00D948C1">
        <w:rPr>
          <w:szCs w:val="24"/>
        </w:rPr>
        <w:t>Equipment is depreciated over their estimated useful life, ranging from 5 to 20 years.</w:t>
      </w:r>
    </w:p>
    <w:p w14:paraId="64D2EA78" w14:textId="5036BDAE" w:rsidR="00FB3503" w:rsidRPr="00D948C1" w:rsidRDefault="00FB3503" w:rsidP="006C0086">
      <w:pPr>
        <w:pStyle w:val="BodyTextIndent3"/>
        <w:numPr>
          <w:ilvl w:val="0"/>
          <w:numId w:val="6"/>
        </w:numPr>
        <w:tabs>
          <w:tab w:val="clear" w:pos="720"/>
          <w:tab w:val="num" w:pos="2880"/>
        </w:tabs>
        <w:spacing w:after="0" w:line="276" w:lineRule="auto"/>
        <w:ind w:left="2880"/>
        <w:rPr>
          <w:szCs w:val="24"/>
        </w:rPr>
      </w:pPr>
      <w:r w:rsidRPr="00D948C1">
        <w:rPr>
          <w:szCs w:val="24"/>
        </w:rPr>
        <w:t>Vehicles are depreciated over their estimated useful life, ranging from 5 to 15 years.</w:t>
      </w:r>
    </w:p>
    <w:bookmarkEnd w:id="82"/>
    <w:p w14:paraId="0A79DF74" w14:textId="77777777" w:rsidR="00FB3503" w:rsidRPr="00D948C1" w:rsidRDefault="00FB3503" w:rsidP="006C0086">
      <w:pPr>
        <w:pStyle w:val="BodyTextIndent3"/>
        <w:spacing w:after="0" w:line="276" w:lineRule="auto"/>
        <w:ind w:left="720"/>
        <w:rPr>
          <w:szCs w:val="24"/>
        </w:rPr>
      </w:pPr>
    </w:p>
    <w:p w14:paraId="603FAE77" w14:textId="3C103434" w:rsidR="00D45CFC" w:rsidRPr="00D948C1" w:rsidRDefault="00D45CFC" w:rsidP="006C0086">
      <w:pPr>
        <w:spacing w:line="276" w:lineRule="auto"/>
        <w:rPr>
          <w:szCs w:val="24"/>
        </w:rPr>
      </w:pPr>
    </w:p>
    <w:p w14:paraId="0614E94E" w14:textId="77777777" w:rsidR="00FB3503" w:rsidRPr="00D948C1" w:rsidRDefault="00FB3503" w:rsidP="006C0086">
      <w:pPr>
        <w:pStyle w:val="BodyTextIndent3"/>
        <w:spacing w:after="0" w:line="276" w:lineRule="auto"/>
        <w:rPr>
          <w:szCs w:val="24"/>
        </w:rPr>
      </w:pPr>
      <w:r w:rsidRPr="00D948C1">
        <w:rPr>
          <w:szCs w:val="24"/>
        </w:rPr>
        <w:t>vi)</w:t>
      </w:r>
      <w:r w:rsidRPr="00D948C1">
        <w:rPr>
          <w:szCs w:val="24"/>
        </w:rPr>
        <w:tab/>
      </w:r>
      <w:r w:rsidRPr="00D948C1">
        <w:rPr>
          <w:szCs w:val="24"/>
          <w:u w:val="single"/>
        </w:rPr>
        <w:t>Componentisation</w:t>
      </w:r>
    </w:p>
    <w:p w14:paraId="6B4706F0" w14:textId="77777777" w:rsidR="00FB3503" w:rsidRPr="00D948C1" w:rsidRDefault="00FB3503" w:rsidP="006C0086">
      <w:pPr>
        <w:pStyle w:val="BodyTextIndent3"/>
        <w:spacing w:after="0" w:line="276" w:lineRule="auto"/>
        <w:rPr>
          <w:szCs w:val="24"/>
          <w:u w:val="single"/>
        </w:rPr>
      </w:pPr>
    </w:p>
    <w:p w14:paraId="1EE20878" w14:textId="2A8D583C" w:rsidR="00FB3503" w:rsidRPr="00D948C1" w:rsidRDefault="00FB3503" w:rsidP="006C0086">
      <w:pPr>
        <w:pStyle w:val="BodyTextIndent3"/>
        <w:spacing w:after="0" w:line="276" w:lineRule="auto"/>
        <w:ind w:left="2160"/>
        <w:rPr>
          <w:szCs w:val="24"/>
        </w:rPr>
      </w:pPr>
      <w:r w:rsidRPr="00D948C1">
        <w:rPr>
          <w:szCs w:val="24"/>
        </w:rPr>
        <w:lastRenderedPageBreak/>
        <w:t>From 1 April 2010, the Authority is required to separately recognise, depreciate and de-recognise significant components of assets, where the significant component has a different useful life to the remainder of the asset. Assets with a carrying value of less than £</w:t>
      </w:r>
      <w:r w:rsidR="009A53AD" w:rsidRPr="00D948C1">
        <w:rPr>
          <w:szCs w:val="24"/>
        </w:rPr>
        <w:t>1.0m</w:t>
      </w:r>
      <w:r w:rsidRPr="00D948C1">
        <w:rPr>
          <w:szCs w:val="24"/>
        </w:rPr>
        <w:t xml:space="preserve"> will not be subject to componentisation rules, and a significant component is one of over 25% of the asset carrying value. Components will only be recognised on assets valued after 1 April 2010.</w:t>
      </w:r>
    </w:p>
    <w:p w14:paraId="606BB0FE" w14:textId="77777777" w:rsidR="00FB3503" w:rsidRPr="00D948C1" w:rsidRDefault="00FB3503" w:rsidP="006C0086">
      <w:pPr>
        <w:pStyle w:val="BodyTextIndent3"/>
        <w:spacing w:after="0" w:line="276" w:lineRule="auto"/>
        <w:ind w:left="2160"/>
        <w:rPr>
          <w:szCs w:val="24"/>
        </w:rPr>
      </w:pPr>
    </w:p>
    <w:p w14:paraId="1E71F277" w14:textId="77777777" w:rsidR="00FB3503" w:rsidRPr="00D948C1" w:rsidRDefault="00FB3503" w:rsidP="006C0086">
      <w:pPr>
        <w:pStyle w:val="BodyTextIndent3"/>
        <w:spacing w:after="0" w:line="276" w:lineRule="auto"/>
        <w:rPr>
          <w:szCs w:val="24"/>
        </w:rPr>
      </w:pPr>
      <w:r w:rsidRPr="00D948C1">
        <w:rPr>
          <w:szCs w:val="24"/>
        </w:rPr>
        <w:t>vii)</w:t>
      </w:r>
      <w:r w:rsidRPr="00D948C1">
        <w:rPr>
          <w:szCs w:val="24"/>
        </w:rPr>
        <w:tab/>
      </w:r>
      <w:r w:rsidRPr="00D948C1">
        <w:rPr>
          <w:szCs w:val="24"/>
          <w:u w:val="single"/>
        </w:rPr>
        <w:t>Derecognition</w:t>
      </w:r>
    </w:p>
    <w:p w14:paraId="146F922E" w14:textId="77777777" w:rsidR="00FB3503" w:rsidRPr="00D948C1" w:rsidRDefault="00FB3503" w:rsidP="006C0086">
      <w:pPr>
        <w:pStyle w:val="BodyTextIndent3"/>
        <w:spacing w:after="0" w:line="276" w:lineRule="auto"/>
        <w:rPr>
          <w:szCs w:val="24"/>
        </w:rPr>
      </w:pPr>
    </w:p>
    <w:p w14:paraId="3295F811" w14:textId="125C4860" w:rsidR="00FB3503" w:rsidRPr="00D948C1" w:rsidRDefault="00FB3503" w:rsidP="006C0086">
      <w:pPr>
        <w:pStyle w:val="BodyTextIndent3"/>
        <w:spacing w:after="0" w:line="276" w:lineRule="auto"/>
        <w:ind w:left="2160"/>
        <w:rPr>
          <w:szCs w:val="24"/>
        </w:rPr>
      </w:pPr>
      <w:r w:rsidRPr="00D948C1">
        <w:rPr>
          <w:szCs w:val="24"/>
        </w:rPr>
        <w:t xml:space="preserve">Assets will be derecognised when no further economic benefits are expected from the asset’s use or disposal – when the economic benefits inherent in the asset have been used up. </w:t>
      </w:r>
    </w:p>
    <w:p w14:paraId="79FC8CCA" w14:textId="77777777" w:rsidR="00FB3503" w:rsidRPr="00D948C1" w:rsidRDefault="00FB3503" w:rsidP="006C0086">
      <w:pPr>
        <w:pStyle w:val="BodyTextIndent3"/>
        <w:spacing w:after="0" w:line="276" w:lineRule="auto"/>
        <w:ind w:left="720"/>
        <w:rPr>
          <w:szCs w:val="24"/>
        </w:rPr>
      </w:pPr>
    </w:p>
    <w:p w14:paraId="68B224F4" w14:textId="77777777" w:rsidR="00FB3503" w:rsidRPr="00D948C1" w:rsidRDefault="00FB3503" w:rsidP="006C0086">
      <w:pPr>
        <w:spacing w:line="276" w:lineRule="auto"/>
        <w:ind w:left="720"/>
        <w:rPr>
          <w:szCs w:val="24"/>
        </w:rPr>
      </w:pPr>
      <w:r w:rsidRPr="00D948C1">
        <w:rPr>
          <w:b/>
          <w:szCs w:val="24"/>
        </w:rPr>
        <w:t>j</w:t>
      </w:r>
      <w:r w:rsidRPr="00D948C1">
        <w:rPr>
          <w:b/>
          <w:szCs w:val="24"/>
        </w:rPr>
        <w:tab/>
        <w:t>Private Finance Initiative (PFI) and similar contracts</w:t>
      </w:r>
    </w:p>
    <w:p w14:paraId="1540A359" w14:textId="77777777" w:rsidR="00FB3503" w:rsidRPr="00D948C1" w:rsidRDefault="00FB3503" w:rsidP="006C0086">
      <w:pPr>
        <w:pStyle w:val="BodyTextIndent"/>
        <w:spacing w:line="276" w:lineRule="auto"/>
        <w:ind w:left="1440"/>
        <w:rPr>
          <w:szCs w:val="24"/>
          <w:u w:val="single"/>
          <w:lang w:val="en-GB"/>
        </w:rPr>
      </w:pPr>
    </w:p>
    <w:p w14:paraId="6BC746BA" w14:textId="6047D202" w:rsidR="00FB3503" w:rsidRPr="00D948C1" w:rsidRDefault="00FB3503" w:rsidP="006C0086">
      <w:pPr>
        <w:pStyle w:val="BodyTextIndent"/>
        <w:spacing w:line="276" w:lineRule="auto"/>
        <w:ind w:left="1440"/>
        <w:rPr>
          <w:szCs w:val="24"/>
          <w:u w:val="single"/>
          <w:lang w:val="en-GB"/>
        </w:rPr>
      </w:pPr>
      <w:r w:rsidRPr="00D948C1">
        <w:rPr>
          <w:szCs w:val="24"/>
          <w:u w:val="single"/>
          <w:lang w:val="en-GB"/>
        </w:rPr>
        <w:t xml:space="preserve">Current </w:t>
      </w:r>
      <w:r w:rsidR="0094180B" w:rsidRPr="00D948C1">
        <w:rPr>
          <w:szCs w:val="24"/>
          <w:u w:val="single"/>
          <w:lang w:val="en-GB"/>
        </w:rPr>
        <w:t>S</w:t>
      </w:r>
      <w:r w:rsidRPr="00D948C1">
        <w:rPr>
          <w:szCs w:val="24"/>
          <w:u w:val="single"/>
          <w:lang w:val="en-GB"/>
        </w:rPr>
        <w:t>tatus</w:t>
      </w:r>
    </w:p>
    <w:p w14:paraId="56F12CA7" w14:textId="77777777" w:rsidR="00FB3503" w:rsidRPr="00D948C1" w:rsidRDefault="00FB3503" w:rsidP="006C0086">
      <w:pPr>
        <w:pStyle w:val="BodyTextIndent"/>
        <w:spacing w:line="276" w:lineRule="auto"/>
        <w:ind w:left="1440"/>
        <w:rPr>
          <w:szCs w:val="24"/>
          <w:lang w:val="en-GB"/>
        </w:rPr>
      </w:pPr>
    </w:p>
    <w:p w14:paraId="7D4AEFD6" w14:textId="3A638B71" w:rsidR="00FB3503" w:rsidRPr="00D948C1" w:rsidRDefault="00FB3503" w:rsidP="006C0086">
      <w:pPr>
        <w:pStyle w:val="BodyTextIndent"/>
        <w:spacing w:line="276" w:lineRule="auto"/>
        <w:ind w:left="1440"/>
        <w:rPr>
          <w:szCs w:val="24"/>
          <w:lang w:val="en-GB"/>
        </w:rPr>
      </w:pPr>
      <w:r w:rsidRPr="00D948C1">
        <w:rPr>
          <w:szCs w:val="24"/>
          <w:lang w:val="en-GB"/>
        </w:rPr>
        <w:t>The Authority has two existing P</w:t>
      </w:r>
      <w:r w:rsidR="00B312FC">
        <w:rPr>
          <w:szCs w:val="24"/>
          <w:lang w:val="en-GB"/>
        </w:rPr>
        <w:t xml:space="preserve">rivate Finance Initiative </w:t>
      </w:r>
      <w:r w:rsidRPr="00D948C1">
        <w:rPr>
          <w:szCs w:val="24"/>
          <w:lang w:val="en-GB"/>
        </w:rPr>
        <w:t>arrangements:</w:t>
      </w:r>
    </w:p>
    <w:p w14:paraId="3EDFD788" w14:textId="77777777" w:rsidR="00FB3503" w:rsidRPr="00D948C1" w:rsidRDefault="00FB3503" w:rsidP="006C0086">
      <w:pPr>
        <w:pStyle w:val="BodyTextIndent"/>
        <w:numPr>
          <w:ilvl w:val="0"/>
          <w:numId w:val="21"/>
        </w:numPr>
        <w:spacing w:line="276" w:lineRule="auto"/>
        <w:rPr>
          <w:szCs w:val="24"/>
          <w:lang w:val="en-GB"/>
        </w:rPr>
      </w:pPr>
      <w:r w:rsidRPr="00D948C1">
        <w:rPr>
          <w:szCs w:val="24"/>
          <w:lang w:val="en-GB"/>
        </w:rPr>
        <w:t xml:space="preserve">With PFF Lancashire for Hyndburn and Morecambe fire stations, which is a continuing commitment for 30 years from May 2003; and </w:t>
      </w:r>
    </w:p>
    <w:p w14:paraId="2C5C60BD" w14:textId="7EDF501B" w:rsidR="00FB3503" w:rsidRPr="00D948C1" w:rsidRDefault="00FB3503" w:rsidP="006C0086">
      <w:pPr>
        <w:pStyle w:val="BodyTextIndent"/>
        <w:numPr>
          <w:ilvl w:val="0"/>
          <w:numId w:val="21"/>
        </w:numPr>
        <w:spacing w:line="276" w:lineRule="auto"/>
        <w:rPr>
          <w:szCs w:val="24"/>
          <w:lang w:val="en-GB"/>
        </w:rPr>
      </w:pPr>
      <w:r w:rsidRPr="00D948C1">
        <w:rPr>
          <w:szCs w:val="24"/>
          <w:lang w:val="en-GB"/>
        </w:rPr>
        <w:t>With Fire and Rescue NW Limited to replace four fire stations in Lancashire as part of a wider scheme to replace 16 in total in conjunction with Merseyside Fire and Rescue Authority and Cumbria County Council. The contract will run for 25 years from the date of the final station being handed over during 2013/14.</w:t>
      </w:r>
    </w:p>
    <w:p w14:paraId="6EF7EE73" w14:textId="77777777" w:rsidR="00FB3503" w:rsidRPr="00D948C1" w:rsidRDefault="00FB3503" w:rsidP="006C0086">
      <w:pPr>
        <w:pStyle w:val="BodyTextIndent"/>
        <w:spacing w:line="276" w:lineRule="auto"/>
        <w:ind w:left="1136"/>
        <w:rPr>
          <w:szCs w:val="24"/>
          <w:lang w:val="en-GB"/>
        </w:rPr>
      </w:pPr>
    </w:p>
    <w:p w14:paraId="3883B008" w14:textId="64B4FCA4" w:rsidR="00FB3503" w:rsidRPr="00D948C1" w:rsidRDefault="00FB3503" w:rsidP="006C0086">
      <w:pPr>
        <w:pStyle w:val="BodyTextIndent"/>
        <w:spacing w:line="276" w:lineRule="auto"/>
        <w:ind w:left="1496"/>
        <w:rPr>
          <w:szCs w:val="24"/>
          <w:lang w:val="en-GB"/>
        </w:rPr>
      </w:pPr>
      <w:r w:rsidRPr="00D948C1">
        <w:rPr>
          <w:szCs w:val="24"/>
          <w:lang w:val="en-GB"/>
        </w:rPr>
        <w:t xml:space="preserve">Revenue transactions relating to the above schemes are explained in </w:t>
      </w:r>
      <w:hyperlink w:anchor="N14" w:history="1">
        <w:r w:rsidRPr="00D948C1">
          <w:rPr>
            <w:rStyle w:val="Hyperlink"/>
            <w:szCs w:val="24"/>
            <w:lang w:val="en-GB"/>
          </w:rPr>
          <w:t>Note 14</w:t>
        </w:r>
      </w:hyperlink>
      <w:r w:rsidRPr="00D948C1">
        <w:rPr>
          <w:szCs w:val="24"/>
          <w:lang w:val="en-GB"/>
        </w:rPr>
        <w:t>.</w:t>
      </w:r>
    </w:p>
    <w:p w14:paraId="2F04FF4B" w14:textId="77777777" w:rsidR="00FB3503" w:rsidRPr="00D948C1" w:rsidRDefault="00FB3503" w:rsidP="006C0086">
      <w:pPr>
        <w:pStyle w:val="BodyTextIndent"/>
        <w:spacing w:line="276" w:lineRule="auto"/>
        <w:ind w:left="1496"/>
        <w:rPr>
          <w:szCs w:val="24"/>
          <w:lang w:val="en-GB"/>
        </w:rPr>
      </w:pPr>
    </w:p>
    <w:p w14:paraId="6DC2B8A9" w14:textId="2CBEE024" w:rsidR="00FB3503" w:rsidRPr="00D948C1" w:rsidRDefault="00FB3503" w:rsidP="006C0086">
      <w:pPr>
        <w:pStyle w:val="BodyTextIndent"/>
        <w:spacing w:line="276" w:lineRule="auto"/>
        <w:ind w:left="1440"/>
        <w:rPr>
          <w:szCs w:val="24"/>
          <w:u w:val="single"/>
          <w:lang w:val="en-GB"/>
        </w:rPr>
      </w:pPr>
      <w:r w:rsidRPr="00B312FC">
        <w:rPr>
          <w:szCs w:val="24"/>
          <w:lang w:val="en-GB"/>
        </w:rPr>
        <w:t>Accounting for</w:t>
      </w:r>
      <w:r w:rsidR="00B312FC">
        <w:rPr>
          <w:szCs w:val="24"/>
          <w:u w:val="single"/>
          <w:lang w:val="en-GB"/>
        </w:rPr>
        <w:t xml:space="preserve"> </w:t>
      </w:r>
      <w:r w:rsidR="00B312FC" w:rsidRPr="00D948C1">
        <w:rPr>
          <w:szCs w:val="24"/>
          <w:lang w:val="en-GB"/>
        </w:rPr>
        <w:t>P</w:t>
      </w:r>
      <w:r w:rsidR="00B312FC">
        <w:rPr>
          <w:szCs w:val="24"/>
          <w:lang w:val="en-GB"/>
        </w:rPr>
        <w:t>rivate Finance Initiative</w:t>
      </w:r>
    </w:p>
    <w:p w14:paraId="6233121F" w14:textId="77777777" w:rsidR="00FB3503" w:rsidRPr="00D948C1" w:rsidRDefault="00FB3503" w:rsidP="006C0086">
      <w:pPr>
        <w:pStyle w:val="BodyTextIndent"/>
        <w:spacing w:line="276" w:lineRule="auto"/>
        <w:ind w:left="1440"/>
        <w:rPr>
          <w:szCs w:val="24"/>
          <w:lang w:val="en-GB"/>
        </w:rPr>
      </w:pPr>
    </w:p>
    <w:p w14:paraId="5C4B0A4C" w14:textId="5C50AE73" w:rsidR="00FB3503" w:rsidRPr="00D948C1" w:rsidRDefault="00B312FC" w:rsidP="006C0086">
      <w:pPr>
        <w:pStyle w:val="BodyTextIndent"/>
        <w:spacing w:line="276" w:lineRule="auto"/>
        <w:ind w:left="1440"/>
        <w:rPr>
          <w:szCs w:val="24"/>
          <w:lang w:val="en-GB"/>
        </w:rPr>
      </w:pPr>
      <w:r w:rsidRPr="00D948C1">
        <w:rPr>
          <w:szCs w:val="24"/>
          <w:lang w:val="en-GB"/>
        </w:rPr>
        <w:t>P</w:t>
      </w:r>
      <w:r>
        <w:rPr>
          <w:szCs w:val="24"/>
          <w:lang w:val="en-GB"/>
        </w:rPr>
        <w:t xml:space="preserve">rivate finance initiative </w:t>
      </w:r>
      <w:r w:rsidR="00FB3503" w:rsidRPr="00D948C1">
        <w:rPr>
          <w:szCs w:val="24"/>
          <w:lang w:val="en-GB"/>
        </w:rPr>
        <w:t>contracts are agreements to receive services, where responsibility for making available the non</w:t>
      </w:r>
      <w:r w:rsidR="0094180B" w:rsidRPr="00D948C1">
        <w:rPr>
          <w:szCs w:val="24"/>
          <w:lang w:val="en-GB"/>
        </w:rPr>
        <w:t>-</w:t>
      </w:r>
      <w:r w:rsidR="00FB3503" w:rsidRPr="00D948C1">
        <w:rPr>
          <w:szCs w:val="24"/>
          <w:lang w:val="en-GB"/>
        </w:rPr>
        <w:t xml:space="preserve">current assets to provide services passes to the </w:t>
      </w:r>
      <w:r w:rsidR="0076078A">
        <w:rPr>
          <w:szCs w:val="24"/>
        </w:rPr>
        <w:t>P</w:t>
      </w:r>
      <w:proofErr w:type="spellStart"/>
      <w:r w:rsidR="0076078A">
        <w:rPr>
          <w:szCs w:val="24"/>
          <w:lang w:val="en-GB"/>
        </w:rPr>
        <w:t>rivate</w:t>
      </w:r>
      <w:proofErr w:type="spellEnd"/>
      <w:r w:rsidR="0076078A">
        <w:rPr>
          <w:szCs w:val="24"/>
        </w:rPr>
        <w:t xml:space="preserve"> F</w:t>
      </w:r>
      <w:proofErr w:type="spellStart"/>
      <w:r w:rsidR="0076078A">
        <w:rPr>
          <w:szCs w:val="24"/>
          <w:lang w:val="en-GB"/>
        </w:rPr>
        <w:t>inance</w:t>
      </w:r>
      <w:proofErr w:type="spellEnd"/>
      <w:r w:rsidR="0076078A">
        <w:rPr>
          <w:szCs w:val="24"/>
          <w:lang w:val="en-GB"/>
        </w:rPr>
        <w:t xml:space="preserve"> </w:t>
      </w:r>
      <w:r w:rsidR="0076078A">
        <w:rPr>
          <w:szCs w:val="24"/>
        </w:rPr>
        <w:t>I</w:t>
      </w:r>
      <w:proofErr w:type="spellStart"/>
      <w:r w:rsidR="0076078A">
        <w:rPr>
          <w:szCs w:val="24"/>
          <w:lang w:val="en-GB"/>
        </w:rPr>
        <w:t>nitiative</w:t>
      </w:r>
      <w:proofErr w:type="spellEnd"/>
      <w:r w:rsidR="0076078A" w:rsidRPr="00D948C1">
        <w:rPr>
          <w:szCs w:val="24"/>
        </w:rPr>
        <w:t xml:space="preserve"> </w:t>
      </w:r>
      <w:r w:rsidR="00FB3503" w:rsidRPr="00D948C1">
        <w:rPr>
          <w:szCs w:val="24"/>
          <w:lang w:val="en-GB"/>
        </w:rPr>
        <w:t>contractor.</w:t>
      </w:r>
      <w:r w:rsidR="0094180B" w:rsidRPr="00D948C1">
        <w:rPr>
          <w:szCs w:val="24"/>
          <w:lang w:val="en-GB"/>
        </w:rPr>
        <w:t xml:space="preserve"> </w:t>
      </w:r>
      <w:r w:rsidR="00FB3503" w:rsidRPr="00D948C1">
        <w:rPr>
          <w:szCs w:val="24"/>
          <w:lang w:val="en-GB"/>
        </w:rPr>
        <w:t xml:space="preserve">The </w:t>
      </w:r>
      <w:r w:rsidR="0076078A">
        <w:rPr>
          <w:szCs w:val="24"/>
        </w:rPr>
        <w:t>P</w:t>
      </w:r>
      <w:proofErr w:type="spellStart"/>
      <w:r w:rsidR="0076078A">
        <w:rPr>
          <w:szCs w:val="24"/>
          <w:lang w:val="en-GB"/>
        </w:rPr>
        <w:t>rivate</w:t>
      </w:r>
      <w:proofErr w:type="spellEnd"/>
      <w:r w:rsidR="0076078A">
        <w:rPr>
          <w:szCs w:val="24"/>
        </w:rPr>
        <w:t xml:space="preserve"> F</w:t>
      </w:r>
      <w:proofErr w:type="spellStart"/>
      <w:r w:rsidR="0076078A">
        <w:rPr>
          <w:szCs w:val="24"/>
          <w:lang w:val="en-GB"/>
        </w:rPr>
        <w:t>inance</w:t>
      </w:r>
      <w:proofErr w:type="spellEnd"/>
      <w:r w:rsidR="0076078A">
        <w:rPr>
          <w:szCs w:val="24"/>
          <w:lang w:val="en-GB"/>
        </w:rPr>
        <w:t xml:space="preserve"> </w:t>
      </w:r>
      <w:r w:rsidR="0076078A">
        <w:rPr>
          <w:szCs w:val="24"/>
        </w:rPr>
        <w:t>I</w:t>
      </w:r>
      <w:proofErr w:type="spellStart"/>
      <w:r w:rsidR="0076078A">
        <w:rPr>
          <w:szCs w:val="24"/>
          <w:lang w:val="en-GB"/>
        </w:rPr>
        <w:t>nitiative</w:t>
      </w:r>
      <w:proofErr w:type="spellEnd"/>
      <w:r w:rsidR="00FB3503" w:rsidRPr="00D948C1">
        <w:rPr>
          <w:szCs w:val="24"/>
          <w:lang w:val="en-GB"/>
        </w:rPr>
        <w:t xml:space="preserve"> scheme is accounted for on a consistent basis to IFRIC 12.</w:t>
      </w:r>
    </w:p>
    <w:p w14:paraId="6F97FCF0" w14:textId="77777777" w:rsidR="003D76C3" w:rsidRPr="00D948C1" w:rsidRDefault="003D76C3" w:rsidP="006C0086">
      <w:pPr>
        <w:pStyle w:val="BodyTextIndent"/>
        <w:spacing w:line="276" w:lineRule="auto"/>
        <w:ind w:left="0"/>
        <w:rPr>
          <w:szCs w:val="24"/>
          <w:u w:val="single"/>
          <w:lang w:val="en-GB"/>
        </w:rPr>
      </w:pPr>
    </w:p>
    <w:p w14:paraId="63438289" w14:textId="18E3A0AE" w:rsidR="00FB3503" w:rsidRPr="00D948C1" w:rsidRDefault="00FB3503" w:rsidP="006C0086">
      <w:pPr>
        <w:pStyle w:val="BodyTextIndent"/>
        <w:spacing w:line="276" w:lineRule="auto"/>
        <w:ind w:left="1440"/>
        <w:rPr>
          <w:szCs w:val="24"/>
          <w:u w:val="single"/>
          <w:lang w:val="en-GB"/>
        </w:rPr>
      </w:pPr>
      <w:r w:rsidRPr="00D948C1">
        <w:rPr>
          <w:szCs w:val="24"/>
          <w:u w:val="single"/>
          <w:lang w:val="en-GB"/>
        </w:rPr>
        <w:t>Recognition of assets and liabilities</w:t>
      </w:r>
    </w:p>
    <w:p w14:paraId="2FF3BC5B" w14:textId="77777777" w:rsidR="00FB3503" w:rsidRPr="00D948C1" w:rsidRDefault="00FB3503" w:rsidP="006C0086">
      <w:pPr>
        <w:pStyle w:val="BodyTextIndent"/>
        <w:spacing w:line="276" w:lineRule="auto"/>
        <w:ind w:left="1440"/>
        <w:rPr>
          <w:szCs w:val="24"/>
          <w:lang w:val="en-GB"/>
        </w:rPr>
      </w:pPr>
    </w:p>
    <w:p w14:paraId="348DA8D4" w14:textId="19D4115B" w:rsidR="00FB3503" w:rsidRPr="00D948C1" w:rsidRDefault="00FB3503" w:rsidP="006C0086">
      <w:pPr>
        <w:pStyle w:val="BodyTextIndent"/>
        <w:spacing w:line="276" w:lineRule="auto"/>
        <w:ind w:left="1440"/>
        <w:rPr>
          <w:szCs w:val="24"/>
          <w:lang w:val="en-GB"/>
        </w:rPr>
      </w:pPr>
      <w:r w:rsidRPr="00D948C1">
        <w:rPr>
          <w:szCs w:val="24"/>
          <w:lang w:val="en-GB"/>
        </w:rPr>
        <w:t xml:space="preserve">Fire stations provided under </w:t>
      </w:r>
      <w:r w:rsidR="00B312FC">
        <w:rPr>
          <w:szCs w:val="24"/>
          <w:lang w:val="en-GB"/>
        </w:rPr>
        <w:t xml:space="preserve">private finance initiative </w:t>
      </w:r>
      <w:r w:rsidRPr="00D948C1">
        <w:rPr>
          <w:szCs w:val="24"/>
          <w:lang w:val="en-GB"/>
        </w:rPr>
        <w:t>contracts are recognised as non</w:t>
      </w:r>
      <w:r w:rsidR="0094180B" w:rsidRPr="00D948C1">
        <w:rPr>
          <w:szCs w:val="24"/>
          <w:lang w:val="en-GB"/>
        </w:rPr>
        <w:t>-</w:t>
      </w:r>
      <w:r w:rsidRPr="00D948C1">
        <w:rPr>
          <w:szCs w:val="24"/>
          <w:lang w:val="en-GB"/>
        </w:rPr>
        <w:t>current assets of the Authority. A related liability is also recognised. The asset and liability are recognised when the asset is made available for use. The related liability is initially measured at the value of the related asset and subsequently calculated using the same actuarial method used for finance leases.</w:t>
      </w:r>
    </w:p>
    <w:p w14:paraId="3992A894" w14:textId="77777777" w:rsidR="00FB3503" w:rsidRPr="00D948C1" w:rsidRDefault="00FB3503" w:rsidP="006C0086">
      <w:pPr>
        <w:pStyle w:val="BodyTextIndent"/>
        <w:spacing w:line="276" w:lineRule="auto"/>
        <w:ind w:left="1440"/>
        <w:rPr>
          <w:szCs w:val="24"/>
          <w:lang w:val="en-GB"/>
        </w:rPr>
      </w:pPr>
    </w:p>
    <w:p w14:paraId="4A5A0E41" w14:textId="0A661A67" w:rsidR="00FB3503" w:rsidRPr="00D948C1" w:rsidRDefault="00FB3503" w:rsidP="006C0086">
      <w:pPr>
        <w:pStyle w:val="BodyTextIndent"/>
        <w:spacing w:line="276" w:lineRule="auto"/>
        <w:ind w:left="1440"/>
        <w:rPr>
          <w:szCs w:val="24"/>
          <w:lang w:val="en-GB"/>
        </w:rPr>
      </w:pPr>
      <w:r w:rsidRPr="00D948C1">
        <w:rPr>
          <w:szCs w:val="24"/>
          <w:lang w:val="en-GB"/>
        </w:rPr>
        <w:t xml:space="preserve">Once on the balance sheet the </w:t>
      </w:r>
      <w:r w:rsidR="00B312FC">
        <w:rPr>
          <w:szCs w:val="24"/>
          <w:lang w:val="en-GB"/>
        </w:rPr>
        <w:t xml:space="preserve">private finance initiative </w:t>
      </w:r>
      <w:r w:rsidRPr="00D948C1">
        <w:rPr>
          <w:szCs w:val="24"/>
          <w:lang w:val="en-GB"/>
        </w:rPr>
        <w:t>assets will be treated in the same way as all other non</w:t>
      </w:r>
      <w:r w:rsidR="0094180B" w:rsidRPr="00D948C1">
        <w:rPr>
          <w:szCs w:val="24"/>
          <w:lang w:val="en-GB"/>
        </w:rPr>
        <w:t>-</w:t>
      </w:r>
      <w:r w:rsidRPr="00D948C1">
        <w:rPr>
          <w:szCs w:val="24"/>
          <w:lang w:val="en-GB"/>
        </w:rPr>
        <w:t xml:space="preserve">current assets of the same type including depreciation, </w:t>
      </w:r>
      <w:r w:rsidR="0094180B" w:rsidRPr="00D948C1">
        <w:rPr>
          <w:szCs w:val="24"/>
          <w:lang w:val="en-GB"/>
        </w:rPr>
        <w:t>impairment,</w:t>
      </w:r>
      <w:r w:rsidRPr="00D948C1">
        <w:rPr>
          <w:szCs w:val="24"/>
          <w:lang w:val="en-GB"/>
        </w:rPr>
        <w:t xml:space="preserve"> and revaluation.</w:t>
      </w:r>
    </w:p>
    <w:p w14:paraId="166976AB" w14:textId="77777777" w:rsidR="003D76C3" w:rsidRPr="00D948C1" w:rsidRDefault="003D76C3" w:rsidP="006C0086">
      <w:pPr>
        <w:pStyle w:val="BodyTextIndent"/>
        <w:spacing w:line="276" w:lineRule="auto"/>
        <w:ind w:left="1440"/>
        <w:rPr>
          <w:szCs w:val="24"/>
          <w:lang w:val="en-GB"/>
        </w:rPr>
      </w:pPr>
    </w:p>
    <w:p w14:paraId="1EC1CA8B" w14:textId="77777777" w:rsidR="00FB3503" w:rsidRPr="00D948C1" w:rsidRDefault="00FB3503" w:rsidP="006C0086">
      <w:pPr>
        <w:pStyle w:val="BodyTextIndent"/>
        <w:spacing w:line="276" w:lineRule="auto"/>
        <w:ind w:left="1440"/>
        <w:rPr>
          <w:szCs w:val="24"/>
          <w:u w:val="single"/>
          <w:lang w:val="en-GB"/>
        </w:rPr>
      </w:pPr>
      <w:r w:rsidRPr="00D948C1">
        <w:rPr>
          <w:szCs w:val="24"/>
          <w:u w:val="single"/>
          <w:lang w:val="en-GB"/>
        </w:rPr>
        <w:t>Minimum Revenue Provision (MRP)</w:t>
      </w:r>
    </w:p>
    <w:p w14:paraId="0B83FE0E" w14:textId="77777777" w:rsidR="00FB3503" w:rsidRPr="00D948C1" w:rsidRDefault="00FB3503" w:rsidP="006C0086">
      <w:pPr>
        <w:pStyle w:val="BodyTextIndent"/>
        <w:spacing w:line="276" w:lineRule="auto"/>
        <w:ind w:left="1440"/>
        <w:rPr>
          <w:szCs w:val="24"/>
          <w:lang w:val="en-GB"/>
        </w:rPr>
      </w:pPr>
    </w:p>
    <w:p w14:paraId="61B62478" w14:textId="3A12D829" w:rsidR="00FB3503" w:rsidRPr="00D948C1" w:rsidRDefault="00FB3503" w:rsidP="006C0086">
      <w:pPr>
        <w:pStyle w:val="BodyTextIndent"/>
        <w:spacing w:line="276" w:lineRule="auto"/>
        <w:ind w:left="1440"/>
        <w:rPr>
          <w:szCs w:val="24"/>
          <w:lang w:val="en-GB"/>
        </w:rPr>
      </w:pPr>
      <w:r w:rsidRPr="00D948C1">
        <w:rPr>
          <w:szCs w:val="24"/>
          <w:lang w:val="en-GB"/>
        </w:rPr>
        <w:t>Assets acquired under a</w:t>
      </w:r>
      <w:r w:rsidR="00B312FC">
        <w:rPr>
          <w:szCs w:val="24"/>
          <w:lang w:val="en-GB"/>
        </w:rPr>
        <w:t xml:space="preserve"> private finance initiative</w:t>
      </w:r>
      <w:r w:rsidRPr="00D948C1">
        <w:rPr>
          <w:szCs w:val="24"/>
          <w:lang w:val="en-GB"/>
        </w:rPr>
        <w:t xml:space="preserve"> that are recognised on the balance sheet are subject to </w:t>
      </w:r>
      <w:r w:rsidR="00760249" w:rsidRPr="00D948C1">
        <w:rPr>
          <w:szCs w:val="24"/>
          <w:lang w:val="en-GB"/>
        </w:rPr>
        <w:t>Minimum Revenue Provision</w:t>
      </w:r>
      <w:r w:rsidRPr="00D948C1">
        <w:rPr>
          <w:szCs w:val="24"/>
          <w:lang w:val="en-GB"/>
        </w:rPr>
        <w:t xml:space="preserve"> in the same way as assets acquired using other forms of borrowing. The amounts of </w:t>
      </w:r>
      <w:r w:rsidR="00760249" w:rsidRPr="00D948C1">
        <w:rPr>
          <w:szCs w:val="24"/>
          <w:lang w:val="en-GB"/>
        </w:rPr>
        <w:t>Minimum Revenue Provision</w:t>
      </w:r>
      <w:r w:rsidRPr="00D948C1">
        <w:rPr>
          <w:szCs w:val="24"/>
          <w:lang w:val="en-GB"/>
        </w:rPr>
        <w:t xml:space="preserve"> are calculated in accordance with the appropriate regulations and statutory guidance. MRP is equal to that element of the unitary charge which is applied to repay the outstanding liability.</w:t>
      </w:r>
    </w:p>
    <w:p w14:paraId="23A1F114" w14:textId="77777777" w:rsidR="00FB3503" w:rsidRPr="00D948C1" w:rsidRDefault="00FB3503" w:rsidP="006C0086">
      <w:pPr>
        <w:pStyle w:val="BodyTextIndent"/>
        <w:spacing w:line="276" w:lineRule="auto"/>
        <w:ind w:left="1440"/>
        <w:rPr>
          <w:szCs w:val="24"/>
          <w:u w:val="single"/>
          <w:lang w:val="en-GB"/>
        </w:rPr>
      </w:pPr>
    </w:p>
    <w:p w14:paraId="16AA4BCF" w14:textId="77777777" w:rsidR="00FB3503" w:rsidRPr="00D948C1" w:rsidRDefault="00FB3503" w:rsidP="006C0086">
      <w:pPr>
        <w:pStyle w:val="BodyTextIndent"/>
        <w:spacing w:line="276" w:lineRule="auto"/>
        <w:ind w:left="1440"/>
        <w:rPr>
          <w:szCs w:val="24"/>
          <w:u w:val="single"/>
          <w:lang w:val="en-GB"/>
        </w:rPr>
      </w:pPr>
      <w:r w:rsidRPr="00D948C1">
        <w:rPr>
          <w:szCs w:val="24"/>
          <w:u w:val="single"/>
          <w:lang w:val="en-GB"/>
        </w:rPr>
        <w:t>Unitary Payment</w:t>
      </w:r>
    </w:p>
    <w:p w14:paraId="1E2AF8E0" w14:textId="77777777" w:rsidR="00FB3503" w:rsidRPr="00D948C1" w:rsidRDefault="00FB3503" w:rsidP="006C0086">
      <w:pPr>
        <w:pStyle w:val="BodyTextIndent"/>
        <w:spacing w:line="276" w:lineRule="auto"/>
        <w:ind w:left="1440"/>
        <w:rPr>
          <w:szCs w:val="24"/>
          <w:lang w:val="en-GB"/>
        </w:rPr>
      </w:pPr>
    </w:p>
    <w:p w14:paraId="719A7773" w14:textId="697CDE3E" w:rsidR="00FB3503" w:rsidRPr="00D948C1" w:rsidRDefault="00FB3503" w:rsidP="006C0086">
      <w:pPr>
        <w:pStyle w:val="BodyTextIndent"/>
        <w:spacing w:line="276" w:lineRule="auto"/>
        <w:ind w:left="1440"/>
        <w:rPr>
          <w:szCs w:val="24"/>
          <w:lang w:val="en-GB"/>
        </w:rPr>
      </w:pPr>
      <w:r w:rsidRPr="00D948C1">
        <w:rPr>
          <w:szCs w:val="24"/>
          <w:lang w:val="en-GB"/>
        </w:rPr>
        <w:t xml:space="preserve">The unitary payment is a monthly charge payable to the </w:t>
      </w:r>
      <w:r w:rsidR="00B312FC">
        <w:rPr>
          <w:szCs w:val="24"/>
          <w:lang w:val="en-GB"/>
        </w:rPr>
        <w:t>private finance initiative</w:t>
      </w:r>
      <w:r w:rsidRPr="00D948C1">
        <w:rPr>
          <w:szCs w:val="24"/>
          <w:lang w:val="en-GB"/>
        </w:rPr>
        <w:t xml:space="preserve"> contractor in return for the services provided. This payment is analysed into elements for the fair value of services, capital and revenue lifecycle (planned maintenance), contingent lease rentals, the repayment of the outstanding liability and interest payable on the outstanding liability. The fair value of the services and the revenue lifecycle element are charged to the revenue account. The capital lifecycle element is charged to the non</w:t>
      </w:r>
      <w:r w:rsidR="0094180B" w:rsidRPr="00D948C1">
        <w:rPr>
          <w:szCs w:val="24"/>
          <w:lang w:val="en-GB"/>
        </w:rPr>
        <w:t>-</w:t>
      </w:r>
      <w:r w:rsidRPr="00D948C1">
        <w:rPr>
          <w:szCs w:val="24"/>
          <w:lang w:val="en-GB"/>
        </w:rPr>
        <w:t>current assets and funded by a revenue contribution. The contingent lease rentals and interest payable are recorded in the “interest payable and similar charges” account outside the net cost of services but within net operating expenditure in the income and expenditure account.</w:t>
      </w:r>
    </w:p>
    <w:p w14:paraId="4DE55AF5" w14:textId="77777777" w:rsidR="00FB3503" w:rsidRPr="00D948C1" w:rsidRDefault="00FB3503" w:rsidP="006C0086">
      <w:pPr>
        <w:pStyle w:val="BodyTextIndent"/>
        <w:spacing w:line="276" w:lineRule="auto"/>
        <w:ind w:left="1440"/>
        <w:rPr>
          <w:szCs w:val="24"/>
          <w:lang w:val="en-GB"/>
        </w:rPr>
      </w:pPr>
    </w:p>
    <w:p w14:paraId="72DF3D4C" w14:textId="77777777" w:rsidR="00FB3503" w:rsidRPr="00D948C1" w:rsidRDefault="00FB3503" w:rsidP="006C0086">
      <w:pPr>
        <w:pStyle w:val="BodyTextIndent"/>
        <w:spacing w:line="276" w:lineRule="auto"/>
        <w:ind w:left="1440"/>
        <w:rPr>
          <w:szCs w:val="24"/>
          <w:u w:val="single"/>
          <w:lang w:val="en-GB"/>
        </w:rPr>
      </w:pPr>
      <w:r w:rsidRPr="00D948C1">
        <w:rPr>
          <w:szCs w:val="24"/>
          <w:u w:val="single"/>
          <w:lang w:val="en-GB"/>
        </w:rPr>
        <w:t>Deductions from the Unitary Payment</w:t>
      </w:r>
    </w:p>
    <w:p w14:paraId="793F73B5" w14:textId="77777777" w:rsidR="00FB3503" w:rsidRPr="00D948C1" w:rsidRDefault="00FB3503" w:rsidP="006C0086">
      <w:pPr>
        <w:pStyle w:val="BodyTextIndent"/>
        <w:spacing w:line="276" w:lineRule="auto"/>
        <w:ind w:left="1440"/>
        <w:rPr>
          <w:szCs w:val="24"/>
          <w:lang w:val="en-GB"/>
        </w:rPr>
      </w:pPr>
    </w:p>
    <w:p w14:paraId="1246E490" w14:textId="56270225" w:rsidR="00FB3503" w:rsidRPr="00D948C1" w:rsidRDefault="00FB3503" w:rsidP="006C0086">
      <w:pPr>
        <w:pStyle w:val="BodyTextIndent"/>
        <w:spacing w:line="276" w:lineRule="auto"/>
        <w:ind w:left="1440"/>
        <w:rPr>
          <w:szCs w:val="24"/>
          <w:lang w:val="en-GB"/>
        </w:rPr>
      </w:pPr>
      <w:r w:rsidRPr="00D948C1">
        <w:rPr>
          <w:szCs w:val="24"/>
          <w:lang w:val="en-GB"/>
        </w:rPr>
        <w:t xml:space="preserve">The </w:t>
      </w:r>
      <w:r w:rsidR="00B312FC">
        <w:rPr>
          <w:szCs w:val="24"/>
          <w:lang w:val="en-GB"/>
        </w:rPr>
        <w:t>private finance initiative</w:t>
      </w:r>
      <w:r w:rsidRPr="00D948C1">
        <w:rPr>
          <w:szCs w:val="24"/>
          <w:lang w:val="en-GB"/>
        </w:rPr>
        <w:t xml:space="preserve"> contracts provide for deductions from the unitary payment in the case of </w:t>
      </w:r>
      <w:r w:rsidR="0094180B" w:rsidRPr="00D948C1">
        <w:rPr>
          <w:szCs w:val="24"/>
          <w:lang w:val="en-GB"/>
        </w:rPr>
        <w:t>substandard</w:t>
      </w:r>
      <w:r w:rsidRPr="00D948C1">
        <w:rPr>
          <w:szCs w:val="24"/>
          <w:lang w:val="en-GB"/>
        </w:rPr>
        <w:t xml:space="preserve"> performance or when the facilities are unavailable. Deductions for </w:t>
      </w:r>
      <w:r w:rsidR="0094180B" w:rsidRPr="00D948C1">
        <w:rPr>
          <w:szCs w:val="24"/>
          <w:lang w:val="en-GB"/>
        </w:rPr>
        <w:t>substandard</w:t>
      </w:r>
      <w:r w:rsidRPr="00D948C1">
        <w:rPr>
          <w:szCs w:val="24"/>
          <w:lang w:val="en-GB"/>
        </w:rPr>
        <w:t xml:space="preserve"> performance are accounted for as a reduction in the amount paid for the affected services. Deductions arising from the unavailability of the property are apportioned pro rata to the proportions of the service and property elements of the unitary payment:</w:t>
      </w:r>
    </w:p>
    <w:p w14:paraId="44BB1AE4" w14:textId="59E09263" w:rsidR="00FB3503" w:rsidRPr="00D948C1" w:rsidRDefault="00FB3503" w:rsidP="006C0086">
      <w:pPr>
        <w:pStyle w:val="BodyTextIndent"/>
        <w:numPr>
          <w:ilvl w:val="0"/>
          <w:numId w:val="7"/>
        </w:numPr>
        <w:tabs>
          <w:tab w:val="clear" w:pos="1800"/>
          <w:tab w:val="num" w:pos="2520"/>
        </w:tabs>
        <w:spacing w:line="276" w:lineRule="auto"/>
        <w:ind w:left="2520"/>
        <w:rPr>
          <w:szCs w:val="24"/>
          <w:lang w:val="en-GB"/>
        </w:rPr>
      </w:pPr>
      <w:r w:rsidRPr="00D948C1">
        <w:rPr>
          <w:szCs w:val="24"/>
          <w:lang w:val="en-GB"/>
        </w:rPr>
        <w:t xml:space="preserve">A reduction for part or </w:t>
      </w:r>
      <w:r w:rsidR="0094180B" w:rsidRPr="00D948C1">
        <w:rPr>
          <w:szCs w:val="24"/>
          <w:lang w:val="en-GB"/>
        </w:rPr>
        <w:t>all</w:t>
      </w:r>
      <w:r w:rsidRPr="00D948C1">
        <w:rPr>
          <w:szCs w:val="24"/>
          <w:lang w:val="en-GB"/>
        </w:rPr>
        <w:t xml:space="preserve"> the property being unavailable for use – this will first be accounted for as an abatement of the contingent lease rentals, then finance costs if contingent rents are insufficient; and </w:t>
      </w:r>
    </w:p>
    <w:p w14:paraId="5903679B" w14:textId="77777777" w:rsidR="00FB3503" w:rsidRPr="00D948C1" w:rsidRDefault="00FB3503" w:rsidP="006C0086">
      <w:pPr>
        <w:pStyle w:val="BodyTextIndent"/>
        <w:numPr>
          <w:ilvl w:val="0"/>
          <w:numId w:val="7"/>
        </w:numPr>
        <w:tabs>
          <w:tab w:val="clear" w:pos="1800"/>
          <w:tab w:val="num" w:pos="2520"/>
        </w:tabs>
        <w:spacing w:line="276" w:lineRule="auto"/>
        <w:ind w:left="2520"/>
        <w:rPr>
          <w:szCs w:val="24"/>
          <w:lang w:val="en-GB"/>
        </w:rPr>
      </w:pPr>
      <w:r w:rsidRPr="00D948C1">
        <w:rPr>
          <w:szCs w:val="24"/>
          <w:lang w:val="en-GB"/>
        </w:rPr>
        <w:t>A reduction in the price paid for services whilst services are not being provided accounted for as a reduction in the amount paid for the affected services.</w:t>
      </w:r>
    </w:p>
    <w:p w14:paraId="72AA89C9" w14:textId="77777777" w:rsidR="00FB3503" w:rsidRPr="00D948C1" w:rsidRDefault="00FB3503" w:rsidP="006C0086">
      <w:pPr>
        <w:pStyle w:val="BodyTextIndent"/>
        <w:spacing w:line="276" w:lineRule="auto"/>
        <w:ind w:left="1440"/>
        <w:rPr>
          <w:szCs w:val="24"/>
          <w:lang w:val="en-GB"/>
        </w:rPr>
      </w:pPr>
    </w:p>
    <w:p w14:paraId="1374D41E" w14:textId="77777777" w:rsidR="00FB3503" w:rsidRPr="00D948C1" w:rsidRDefault="00FB3503" w:rsidP="006C0086">
      <w:pPr>
        <w:pStyle w:val="BodyTextIndent"/>
        <w:spacing w:line="276" w:lineRule="auto"/>
        <w:ind w:left="1440"/>
        <w:rPr>
          <w:szCs w:val="24"/>
          <w:lang w:val="en-GB"/>
        </w:rPr>
      </w:pPr>
      <w:r w:rsidRPr="00D948C1">
        <w:rPr>
          <w:szCs w:val="24"/>
          <w:lang w:val="en-GB"/>
        </w:rPr>
        <w:t>Deductions of either type are accounted for when the Authority’s entitlement has been established and it is probable that the Authority will be able to make the deduction.</w:t>
      </w:r>
    </w:p>
    <w:p w14:paraId="03FA2C30" w14:textId="77777777" w:rsidR="00FB3503" w:rsidRPr="00D948C1" w:rsidRDefault="00FB3503" w:rsidP="006C0086">
      <w:pPr>
        <w:pStyle w:val="BodyTextIndent"/>
        <w:spacing w:line="276" w:lineRule="auto"/>
        <w:ind w:left="1440"/>
        <w:rPr>
          <w:szCs w:val="24"/>
          <w:lang w:val="en-GB"/>
        </w:rPr>
      </w:pPr>
    </w:p>
    <w:p w14:paraId="2F7DE423" w14:textId="6868280D" w:rsidR="00FB3503" w:rsidRPr="00D948C1" w:rsidRDefault="00FB3503" w:rsidP="006C0086">
      <w:pPr>
        <w:spacing w:line="276" w:lineRule="auto"/>
        <w:ind w:firstLine="720"/>
        <w:rPr>
          <w:b/>
          <w:szCs w:val="24"/>
        </w:rPr>
      </w:pPr>
      <w:r w:rsidRPr="00D948C1">
        <w:rPr>
          <w:b/>
          <w:szCs w:val="24"/>
        </w:rPr>
        <w:tab/>
      </w:r>
      <w:r w:rsidR="0076078A" w:rsidRPr="0076078A">
        <w:rPr>
          <w:b/>
          <w:bCs/>
          <w:szCs w:val="24"/>
        </w:rPr>
        <w:t xml:space="preserve">Private Finance Initiative </w:t>
      </w:r>
      <w:r w:rsidRPr="0076078A">
        <w:rPr>
          <w:b/>
          <w:bCs/>
          <w:szCs w:val="24"/>
        </w:rPr>
        <w:t>Equalisation</w:t>
      </w:r>
      <w:r w:rsidRPr="00D948C1">
        <w:rPr>
          <w:b/>
          <w:szCs w:val="24"/>
        </w:rPr>
        <w:t xml:space="preserve"> Reserve</w:t>
      </w:r>
    </w:p>
    <w:p w14:paraId="0BA5DD1F" w14:textId="77777777" w:rsidR="00FB3503" w:rsidRPr="00D948C1" w:rsidRDefault="00FB3503" w:rsidP="006C0086">
      <w:pPr>
        <w:spacing w:line="276" w:lineRule="auto"/>
        <w:ind w:left="720"/>
        <w:rPr>
          <w:szCs w:val="24"/>
        </w:rPr>
      </w:pPr>
    </w:p>
    <w:p w14:paraId="7520AFE5" w14:textId="2D9DFFC3" w:rsidR="00FB3503" w:rsidRPr="00D948C1" w:rsidRDefault="00FB3503" w:rsidP="006C0086">
      <w:pPr>
        <w:pStyle w:val="BodyTextIndent"/>
        <w:spacing w:line="276" w:lineRule="auto"/>
        <w:ind w:left="1440"/>
        <w:rPr>
          <w:szCs w:val="24"/>
          <w:lang w:val="en-GB"/>
        </w:rPr>
      </w:pPr>
      <w:r w:rsidRPr="00D948C1">
        <w:rPr>
          <w:szCs w:val="24"/>
          <w:lang w:val="en-GB"/>
        </w:rPr>
        <w:lastRenderedPageBreak/>
        <w:t>The Authority holds two</w:t>
      </w:r>
      <w:r w:rsidR="00B312FC">
        <w:rPr>
          <w:szCs w:val="24"/>
          <w:lang w:val="en-GB"/>
        </w:rPr>
        <w:t xml:space="preserve"> private finance initiative </w:t>
      </w:r>
      <w:r w:rsidRPr="00D948C1">
        <w:rPr>
          <w:szCs w:val="24"/>
          <w:lang w:val="en-GB"/>
        </w:rPr>
        <w:t xml:space="preserve">I equalisation reserves for the purpose of smoothing out, within the revenue account, the annual net cost to the Authority of payments under </w:t>
      </w:r>
      <w:r w:rsidR="00B312FC">
        <w:rPr>
          <w:szCs w:val="24"/>
          <w:lang w:val="en-GB"/>
        </w:rPr>
        <w:t>private finance initiative</w:t>
      </w:r>
      <w:r w:rsidRPr="00D948C1">
        <w:rPr>
          <w:szCs w:val="24"/>
          <w:lang w:val="en-GB"/>
        </w:rPr>
        <w:t xml:space="preserve"> contracts:</w:t>
      </w:r>
    </w:p>
    <w:p w14:paraId="0208E8E5" w14:textId="77777777" w:rsidR="00FB3503" w:rsidRPr="00D948C1" w:rsidRDefault="00FB3503" w:rsidP="006C0086">
      <w:pPr>
        <w:pStyle w:val="BodyTextIndent"/>
        <w:spacing w:line="276" w:lineRule="auto"/>
        <w:ind w:left="1440"/>
        <w:rPr>
          <w:szCs w:val="24"/>
          <w:lang w:val="en-GB"/>
        </w:rPr>
      </w:pPr>
    </w:p>
    <w:p w14:paraId="2ADB40AE" w14:textId="54433B96" w:rsidR="00FB3503" w:rsidRPr="00D948C1" w:rsidRDefault="00FB3503" w:rsidP="006C0086">
      <w:pPr>
        <w:pStyle w:val="BodyTextIndent"/>
        <w:numPr>
          <w:ilvl w:val="0"/>
          <w:numId w:val="22"/>
        </w:numPr>
        <w:spacing w:line="276" w:lineRule="auto"/>
        <w:rPr>
          <w:szCs w:val="24"/>
          <w:lang w:val="en-GB"/>
        </w:rPr>
      </w:pPr>
      <w:r w:rsidRPr="00D948C1">
        <w:rPr>
          <w:szCs w:val="24"/>
          <w:lang w:val="en-GB"/>
        </w:rPr>
        <w:t xml:space="preserve">In </w:t>
      </w:r>
      <w:r w:rsidRPr="00D948C1">
        <w:rPr>
          <w:caps/>
          <w:szCs w:val="24"/>
        </w:rPr>
        <w:t xml:space="preserve">2003/04 </w:t>
      </w:r>
      <w:r w:rsidRPr="00D948C1">
        <w:rPr>
          <w:szCs w:val="24"/>
          <w:lang w:val="en-GB"/>
        </w:rPr>
        <w:t xml:space="preserve">the Authority established a </w:t>
      </w:r>
      <w:r w:rsidR="00B312FC">
        <w:rPr>
          <w:szCs w:val="24"/>
          <w:lang w:val="en-GB"/>
        </w:rPr>
        <w:t>private finance initiative</w:t>
      </w:r>
      <w:r w:rsidRPr="00D948C1">
        <w:rPr>
          <w:szCs w:val="24"/>
          <w:lang w:val="en-GB"/>
        </w:rPr>
        <w:t xml:space="preserve"> equalisation reserve for the </w:t>
      </w:r>
      <w:r w:rsidR="00B312FC">
        <w:rPr>
          <w:szCs w:val="24"/>
          <w:lang w:val="en-GB"/>
        </w:rPr>
        <w:t>private finance initiative</w:t>
      </w:r>
      <w:r w:rsidRPr="00D948C1">
        <w:rPr>
          <w:szCs w:val="24"/>
          <w:lang w:val="en-GB"/>
        </w:rPr>
        <w:t xml:space="preserve"> contract with PFF Lancashire </w:t>
      </w:r>
      <w:r w:rsidRPr="00D948C1">
        <w:rPr>
          <w:rFonts w:cs="Arial"/>
          <w:szCs w:val="24"/>
          <w:lang w:eastAsia="en-GB"/>
        </w:rPr>
        <w:t>Limited</w:t>
      </w:r>
      <w:r w:rsidRPr="00D948C1">
        <w:rPr>
          <w:szCs w:val="24"/>
          <w:lang w:val="en-GB"/>
        </w:rPr>
        <w:t xml:space="preserve">. The contract relates to the provision and maintenance by PFF Lancashire Limited of two fire stations at Morecambe and Hyndburn; and </w:t>
      </w:r>
    </w:p>
    <w:p w14:paraId="384D227D" w14:textId="7DBEE9E5" w:rsidR="00FB3503" w:rsidRPr="00D948C1" w:rsidRDefault="00FB3503" w:rsidP="006C0086">
      <w:pPr>
        <w:pStyle w:val="BodyTextIndent"/>
        <w:numPr>
          <w:ilvl w:val="0"/>
          <w:numId w:val="22"/>
        </w:numPr>
        <w:spacing w:line="276" w:lineRule="auto"/>
        <w:rPr>
          <w:szCs w:val="24"/>
          <w:lang w:val="en-GB"/>
        </w:rPr>
      </w:pPr>
      <w:r w:rsidRPr="00D948C1">
        <w:rPr>
          <w:szCs w:val="24"/>
          <w:lang w:val="en-GB"/>
        </w:rPr>
        <w:t xml:space="preserve">In 2011/12 the Authority created a new </w:t>
      </w:r>
      <w:r w:rsidR="0076078A">
        <w:rPr>
          <w:szCs w:val="24"/>
          <w:lang w:val="en-GB"/>
        </w:rPr>
        <w:t>private finance initiative</w:t>
      </w:r>
      <w:r w:rsidRPr="00D948C1">
        <w:rPr>
          <w:szCs w:val="24"/>
          <w:lang w:val="en-GB"/>
        </w:rPr>
        <w:t xml:space="preserve"> equalisation reserve in relation to the Authority’s share of the </w:t>
      </w:r>
      <w:r w:rsidR="0076078A">
        <w:rPr>
          <w:szCs w:val="24"/>
          <w:lang w:val="en-GB"/>
        </w:rPr>
        <w:t>private finance initiative</w:t>
      </w:r>
      <w:r w:rsidRPr="00D948C1">
        <w:rPr>
          <w:szCs w:val="24"/>
          <w:lang w:val="en-GB"/>
        </w:rPr>
        <w:t xml:space="preserve"> contract with Fire and Rescue NW Limited. The contract relates to the provision and maintenance of Blackburn, Burnley, Chorley, and Fleetwood fire stations.</w:t>
      </w:r>
    </w:p>
    <w:p w14:paraId="0230E6A3" w14:textId="77777777" w:rsidR="00FB3503" w:rsidRPr="00D948C1" w:rsidRDefault="00FB3503" w:rsidP="006C0086">
      <w:pPr>
        <w:pStyle w:val="BodyTextIndent"/>
        <w:spacing w:line="276" w:lineRule="auto"/>
        <w:ind w:left="1080"/>
        <w:rPr>
          <w:szCs w:val="24"/>
          <w:lang w:val="en-GB"/>
        </w:rPr>
      </w:pPr>
    </w:p>
    <w:p w14:paraId="290CAACC" w14:textId="420B39A8" w:rsidR="00FB3503" w:rsidRPr="00D948C1" w:rsidRDefault="00FB3503" w:rsidP="006C0086">
      <w:pPr>
        <w:pStyle w:val="BodyTextIndent"/>
        <w:spacing w:line="276" w:lineRule="auto"/>
        <w:ind w:left="1440"/>
        <w:rPr>
          <w:szCs w:val="24"/>
          <w:lang w:val="en-GB"/>
        </w:rPr>
      </w:pPr>
      <w:r w:rsidRPr="00D948C1">
        <w:rPr>
          <w:szCs w:val="24"/>
          <w:lang w:val="en-GB"/>
        </w:rPr>
        <w:t>An annual revenue contribution in lieu of interest will be made to the reserve. The reserve balance will be reviewed each year at which time the amount of any revenue contribution to or from the reserve will be determined.</w:t>
      </w:r>
    </w:p>
    <w:p w14:paraId="660114B3" w14:textId="77777777" w:rsidR="00FB3503" w:rsidRPr="00D948C1" w:rsidRDefault="00FB3503" w:rsidP="006C0086">
      <w:pPr>
        <w:pStyle w:val="BodyTextIndent"/>
        <w:spacing w:line="276" w:lineRule="auto"/>
        <w:ind w:left="1440"/>
        <w:rPr>
          <w:szCs w:val="24"/>
          <w:lang w:val="en-GB"/>
        </w:rPr>
      </w:pPr>
    </w:p>
    <w:p w14:paraId="5283F789" w14:textId="77777777" w:rsidR="00FB3503" w:rsidRPr="00D948C1" w:rsidRDefault="00FB3503" w:rsidP="006C0086">
      <w:pPr>
        <w:spacing w:line="276" w:lineRule="auto"/>
        <w:ind w:left="720"/>
        <w:rPr>
          <w:szCs w:val="24"/>
        </w:rPr>
      </w:pPr>
      <w:r w:rsidRPr="00D948C1">
        <w:rPr>
          <w:b/>
          <w:szCs w:val="24"/>
        </w:rPr>
        <w:t>l</w:t>
      </w:r>
      <w:r w:rsidRPr="00D948C1">
        <w:rPr>
          <w:b/>
          <w:szCs w:val="24"/>
        </w:rPr>
        <w:tab/>
        <w:t>Provisions</w:t>
      </w:r>
    </w:p>
    <w:p w14:paraId="2BBC1AD0" w14:textId="77777777" w:rsidR="00FB3503" w:rsidRPr="00D948C1" w:rsidRDefault="00FB3503" w:rsidP="006C0086">
      <w:pPr>
        <w:spacing w:line="276" w:lineRule="auto"/>
        <w:ind w:left="720"/>
        <w:rPr>
          <w:szCs w:val="24"/>
        </w:rPr>
      </w:pPr>
    </w:p>
    <w:p w14:paraId="57C86422" w14:textId="3D132808" w:rsidR="000C2384" w:rsidRPr="00D948C1" w:rsidRDefault="000C2384" w:rsidP="006C0086">
      <w:pPr>
        <w:pStyle w:val="BodyTextIndent"/>
        <w:spacing w:line="276" w:lineRule="auto"/>
        <w:ind w:left="1440"/>
        <w:rPr>
          <w:szCs w:val="24"/>
          <w:lang w:val="en-GB"/>
        </w:rPr>
      </w:pPr>
      <w:r w:rsidRPr="00D948C1">
        <w:rPr>
          <w:szCs w:val="24"/>
          <w:lang w:val="en-GB"/>
        </w:rPr>
        <w:t xml:space="preserve">Provisions are made where an event has taken place that gives the Authority a legal or constructive obligation that probably requires settlement by a transfer of economic benefits, and a reliable estimate can be made of the amount of the obligation. Provisions are charged as an expense to the appropriate service line in the Comprehensive Income and Expenditure Statement when the Authority has an obligation and are measured at the best estimate at the balance sheet date of the expenditure required to settle the obligation, </w:t>
      </w:r>
      <w:r w:rsidR="0094180B" w:rsidRPr="00D948C1">
        <w:rPr>
          <w:szCs w:val="24"/>
          <w:lang w:val="en-GB"/>
        </w:rPr>
        <w:t>considering</w:t>
      </w:r>
      <w:r w:rsidRPr="00D948C1">
        <w:rPr>
          <w:szCs w:val="24"/>
          <w:lang w:val="en-GB"/>
        </w:rPr>
        <w:t xml:space="preserve"> relevant risks and uncertainties.</w:t>
      </w:r>
    </w:p>
    <w:p w14:paraId="49FC2B5F" w14:textId="6A18ADEE" w:rsidR="000C2384" w:rsidRPr="00D948C1" w:rsidRDefault="000C2384" w:rsidP="006C0086">
      <w:pPr>
        <w:pStyle w:val="BodyTextIndent"/>
        <w:spacing w:line="276" w:lineRule="auto"/>
        <w:ind w:left="1440"/>
        <w:rPr>
          <w:szCs w:val="24"/>
          <w:lang w:val="en-GB"/>
        </w:rPr>
      </w:pPr>
    </w:p>
    <w:p w14:paraId="4FD57C2B" w14:textId="43AFB833" w:rsidR="000C2384" w:rsidRPr="00D948C1" w:rsidRDefault="000C2384" w:rsidP="006C0086">
      <w:pPr>
        <w:pStyle w:val="BodyTextIndent"/>
        <w:spacing w:line="276" w:lineRule="auto"/>
        <w:ind w:left="1440"/>
        <w:rPr>
          <w:szCs w:val="24"/>
          <w:lang w:val="en-GB"/>
        </w:rPr>
      </w:pPr>
      <w:r w:rsidRPr="00D948C1">
        <w:rPr>
          <w:szCs w:val="24"/>
          <w:lang w:val="en-GB"/>
        </w:rPr>
        <w:t>When payments are eventually made, they are charged to the provision carried in the balance sheet. Estimated settlements are reviewed at the end of each financial year, and where it becomes less probable that a transfer of economic benefits will now be required (or a lower settlement than anticipated is made), the provision is reversed and credited back to the relevant service line.</w:t>
      </w:r>
    </w:p>
    <w:p w14:paraId="1858AD51" w14:textId="77777777" w:rsidR="000C2384" w:rsidRPr="00D948C1" w:rsidRDefault="000C2384" w:rsidP="006C0086">
      <w:pPr>
        <w:pStyle w:val="BodyTextIndent"/>
        <w:spacing w:line="276" w:lineRule="auto"/>
        <w:ind w:left="1440"/>
        <w:rPr>
          <w:szCs w:val="24"/>
          <w:lang w:val="en-GB"/>
        </w:rPr>
      </w:pPr>
    </w:p>
    <w:p w14:paraId="6A5D6172" w14:textId="03B4918F" w:rsidR="00FB3503" w:rsidRPr="00D948C1" w:rsidRDefault="00FB3503" w:rsidP="006C0086">
      <w:pPr>
        <w:pStyle w:val="BodyTextIndent"/>
        <w:spacing w:line="276" w:lineRule="auto"/>
        <w:ind w:left="1440"/>
        <w:rPr>
          <w:szCs w:val="24"/>
          <w:lang w:val="en-GB"/>
        </w:rPr>
      </w:pPr>
      <w:r w:rsidRPr="00D948C1">
        <w:rPr>
          <w:szCs w:val="24"/>
          <w:lang w:val="en-GB"/>
        </w:rPr>
        <w:t xml:space="preserve">Details of the Authority’s provisions are given in </w:t>
      </w:r>
      <w:hyperlink w:anchor="N12" w:history="1">
        <w:r w:rsidR="00EF26ED" w:rsidRPr="00D948C1">
          <w:rPr>
            <w:rStyle w:val="Hyperlink"/>
            <w:szCs w:val="24"/>
            <w:lang w:val="en-GB"/>
          </w:rPr>
          <w:t>N</w:t>
        </w:r>
        <w:r w:rsidRPr="00D948C1">
          <w:rPr>
            <w:rStyle w:val="Hyperlink"/>
            <w:szCs w:val="24"/>
            <w:lang w:val="en-GB"/>
          </w:rPr>
          <w:t xml:space="preserve">ote </w:t>
        </w:r>
        <w:r w:rsidR="00ED35A7" w:rsidRPr="00D948C1">
          <w:rPr>
            <w:rStyle w:val="Hyperlink"/>
            <w:szCs w:val="24"/>
            <w:lang w:val="en-GB"/>
          </w:rPr>
          <w:t>12</w:t>
        </w:r>
      </w:hyperlink>
      <w:r w:rsidR="00ED35A7" w:rsidRPr="00D948C1">
        <w:rPr>
          <w:szCs w:val="24"/>
          <w:lang w:val="en-GB"/>
        </w:rPr>
        <w:t xml:space="preserve"> </w:t>
      </w:r>
      <w:r w:rsidRPr="00D948C1">
        <w:rPr>
          <w:szCs w:val="24"/>
          <w:lang w:val="en-GB"/>
        </w:rPr>
        <w:t>to the Balance Sheet</w:t>
      </w:r>
      <w:r w:rsidR="000C2384" w:rsidRPr="00D948C1">
        <w:rPr>
          <w:szCs w:val="24"/>
          <w:lang w:val="en-GB"/>
        </w:rPr>
        <w:t>, and currently comprise insurance liabilities and business rates appeals</w:t>
      </w:r>
      <w:r w:rsidRPr="00D948C1">
        <w:rPr>
          <w:szCs w:val="24"/>
          <w:lang w:val="en-GB"/>
        </w:rPr>
        <w:t>.</w:t>
      </w:r>
    </w:p>
    <w:p w14:paraId="3CA025C8" w14:textId="54AF8AAD" w:rsidR="00D45CFC" w:rsidRPr="00D948C1" w:rsidRDefault="00D45CFC" w:rsidP="006C0086">
      <w:pPr>
        <w:spacing w:line="276" w:lineRule="auto"/>
        <w:rPr>
          <w:b/>
          <w:szCs w:val="24"/>
        </w:rPr>
      </w:pPr>
    </w:p>
    <w:p w14:paraId="66D63D33" w14:textId="77777777" w:rsidR="00FB3503" w:rsidRPr="00D948C1" w:rsidRDefault="00FB3503" w:rsidP="006C0086">
      <w:pPr>
        <w:keepLines/>
        <w:widowControl w:val="0"/>
        <w:spacing w:line="276" w:lineRule="auto"/>
        <w:ind w:left="720"/>
        <w:rPr>
          <w:b/>
          <w:szCs w:val="24"/>
        </w:rPr>
      </w:pPr>
      <w:r w:rsidRPr="00D948C1">
        <w:rPr>
          <w:b/>
          <w:szCs w:val="24"/>
        </w:rPr>
        <w:t>m</w:t>
      </w:r>
      <w:r w:rsidRPr="00D948C1">
        <w:rPr>
          <w:b/>
          <w:szCs w:val="24"/>
        </w:rPr>
        <w:tab/>
        <w:t>Reserves</w:t>
      </w:r>
    </w:p>
    <w:p w14:paraId="43F6BBAC" w14:textId="77777777" w:rsidR="00FB3503" w:rsidRPr="00D948C1" w:rsidRDefault="00FB3503" w:rsidP="006C0086">
      <w:pPr>
        <w:spacing w:line="276" w:lineRule="auto"/>
        <w:ind w:left="720"/>
        <w:rPr>
          <w:szCs w:val="24"/>
        </w:rPr>
      </w:pPr>
    </w:p>
    <w:p w14:paraId="6B8A8FC5" w14:textId="5B9D5001" w:rsidR="00FB3503" w:rsidRPr="00D948C1" w:rsidRDefault="00FB3503" w:rsidP="006C0086">
      <w:pPr>
        <w:pStyle w:val="BodyTextIndent"/>
        <w:spacing w:line="276" w:lineRule="auto"/>
        <w:ind w:left="1440"/>
        <w:rPr>
          <w:szCs w:val="24"/>
          <w:lang w:val="en-GB"/>
        </w:rPr>
      </w:pPr>
      <w:r w:rsidRPr="00D948C1">
        <w:rPr>
          <w:szCs w:val="24"/>
          <w:lang w:val="en-GB"/>
        </w:rPr>
        <w:t xml:space="preserve">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against the net cost of services in that year in the Comprehensive Income and Expenditure Statement. The reserve is then </w:t>
      </w:r>
      <w:r w:rsidRPr="00D948C1">
        <w:rPr>
          <w:szCs w:val="24"/>
          <w:lang w:val="en-GB"/>
        </w:rPr>
        <w:lastRenderedPageBreak/>
        <w:t>appropriated back into the General Fund Balance in the Movement in Reserves Statement so that there is no net charge against council tax for the expenditure.</w:t>
      </w:r>
    </w:p>
    <w:p w14:paraId="3DBA740C" w14:textId="77777777" w:rsidR="00FB3503" w:rsidRPr="00D948C1" w:rsidRDefault="00FB3503" w:rsidP="006C0086">
      <w:pPr>
        <w:pStyle w:val="BodyTextIndent"/>
        <w:spacing w:line="276" w:lineRule="auto"/>
        <w:ind w:left="1440"/>
        <w:rPr>
          <w:szCs w:val="24"/>
          <w:lang w:val="en-GB"/>
        </w:rPr>
      </w:pPr>
    </w:p>
    <w:p w14:paraId="3502D763" w14:textId="77777777" w:rsidR="00FB3503" w:rsidRPr="00D948C1" w:rsidRDefault="00FB3503" w:rsidP="006C0086">
      <w:pPr>
        <w:pStyle w:val="BodyTextIndent"/>
        <w:spacing w:line="276" w:lineRule="auto"/>
        <w:ind w:left="1440"/>
        <w:rPr>
          <w:szCs w:val="24"/>
          <w:lang w:val="en-GB"/>
        </w:rPr>
      </w:pPr>
      <w:r w:rsidRPr="00D948C1">
        <w:rPr>
          <w:szCs w:val="24"/>
          <w:lang w:val="en-GB"/>
        </w:rPr>
        <w:t xml:space="preserve">Certain reserves are kept </w:t>
      </w:r>
      <w:proofErr w:type="gramStart"/>
      <w:r w:rsidRPr="00D948C1">
        <w:rPr>
          <w:szCs w:val="24"/>
          <w:lang w:val="en-GB"/>
        </w:rPr>
        <w:t>to manage</w:t>
      </w:r>
      <w:proofErr w:type="gramEnd"/>
      <w:r w:rsidRPr="00D948C1">
        <w:rPr>
          <w:szCs w:val="24"/>
          <w:lang w:val="en-GB"/>
        </w:rPr>
        <w:t xml:space="preserve"> the accounting processes for non-current assets, financial instruments, retirements and employee benefits and do not represent usable resources for the Authority.</w:t>
      </w:r>
    </w:p>
    <w:p w14:paraId="490DC170" w14:textId="77777777" w:rsidR="00FB3503" w:rsidRPr="00D948C1" w:rsidRDefault="00FB3503" w:rsidP="006C0086">
      <w:pPr>
        <w:pStyle w:val="BodyTextIndent"/>
        <w:spacing w:line="276" w:lineRule="auto"/>
        <w:ind w:left="1440"/>
        <w:rPr>
          <w:szCs w:val="24"/>
          <w:lang w:val="en-GB"/>
        </w:rPr>
      </w:pPr>
    </w:p>
    <w:p w14:paraId="2FC2C2AD" w14:textId="77777777" w:rsidR="00FB3503" w:rsidRPr="00D948C1" w:rsidRDefault="00FB3503" w:rsidP="006C0086">
      <w:pPr>
        <w:spacing w:line="276" w:lineRule="auto"/>
        <w:ind w:left="720"/>
        <w:rPr>
          <w:b/>
          <w:szCs w:val="24"/>
        </w:rPr>
      </w:pPr>
      <w:r w:rsidRPr="00D948C1">
        <w:rPr>
          <w:b/>
          <w:szCs w:val="24"/>
        </w:rPr>
        <w:t>n</w:t>
      </w:r>
      <w:r w:rsidRPr="00D948C1">
        <w:rPr>
          <w:b/>
          <w:szCs w:val="24"/>
        </w:rPr>
        <w:tab/>
        <w:t>Contingent liabilities</w:t>
      </w:r>
    </w:p>
    <w:p w14:paraId="5DB32A48" w14:textId="77777777" w:rsidR="00FB3503" w:rsidRPr="00D948C1" w:rsidRDefault="00FB3503" w:rsidP="006C0086">
      <w:pPr>
        <w:pStyle w:val="BodyTextIndent"/>
        <w:spacing w:line="276" w:lineRule="auto"/>
        <w:ind w:left="1440"/>
        <w:rPr>
          <w:b/>
          <w:szCs w:val="24"/>
        </w:rPr>
      </w:pPr>
    </w:p>
    <w:p w14:paraId="3D69F847" w14:textId="22F38370" w:rsidR="00FB3503" w:rsidRPr="00D948C1" w:rsidRDefault="00FB3503" w:rsidP="006C0086">
      <w:pPr>
        <w:pStyle w:val="BodyTextIndent"/>
        <w:spacing w:line="276" w:lineRule="auto"/>
        <w:ind w:left="1440"/>
        <w:rPr>
          <w:szCs w:val="24"/>
        </w:rPr>
      </w:pPr>
      <w:r w:rsidRPr="00D948C1">
        <w:rPr>
          <w:szCs w:val="24"/>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are not </w:t>
      </w:r>
      <w:proofErr w:type="spellStart"/>
      <w:r w:rsidRPr="00D948C1">
        <w:rPr>
          <w:szCs w:val="24"/>
        </w:rPr>
        <w:t>recognised</w:t>
      </w:r>
      <w:proofErr w:type="spellEnd"/>
      <w:r w:rsidRPr="00D948C1">
        <w:rPr>
          <w:szCs w:val="24"/>
        </w:rPr>
        <w:t xml:space="preserve"> in the Balance </w:t>
      </w:r>
      <w:r w:rsidR="00245686" w:rsidRPr="00D948C1">
        <w:rPr>
          <w:szCs w:val="24"/>
        </w:rPr>
        <w:t>Sheet but</w:t>
      </w:r>
      <w:r w:rsidRPr="00D948C1">
        <w:rPr>
          <w:szCs w:val="24"/>
        </w:rPr>
        <w:t xml:space="preserve"> disclosed in a note to the accounts. </w:t>
      </w:r>
    </w:p>
    <w:p w14:paraId="256699C1" w14:textId="77777777" w:rsidR="009408FE" w:rsidRPr="00D948C1" w:rsidRDefault="009408FE" w:rsidP="006C0086">
      <w:pPr>
        <w:spacing w:line="276" w:lineRule="auto"/>
        <w:rPr>
          <w:b/>
          <w:szCs w:val="24"/>
        </w:rPr>
      </w:pPr>
    </w:p>
    <w:p w14:paraId="6C255268" w14:textId="77777777" w:rsidR="007528AB" w:rsidRPr="00D948C1" w:rsidRDefault="00D573A1" w:rsidP="006C0086">
      <w:pPr>
        <w:spacing w:line="276" w:lineRule="auto"/>
        <w:ind w:left="720"/>
        <w:rPr>
          <w:b/>
          <w:szCs w:val="24"/>
        </w:rPr>
      </w:pPr>
      <w:r w:rsidRPr="00D948C1">
        <w:rPr>
          <w:b/>
          <w:szCs w:val="24"/>
        </w:rPr>
        <w:t>o</w:t>
      </w:r>
      <w:r w:rsidR="007528AB" w:rsidRPr="00D948C1">
        <w:rPr>
          <w:b/>
          <w:szCs w:val="24"/>
        </w:rPr>
        <w:tab/>
        <w:t>Going Concern</w:t>
      </w:r>
    </w:p>
    <w:p w14:paraId="6ED7630E" w14:textId="77777777" w:rsidR="007528AB" w:rsidRPr="00D948C1" w:rsidRDefault="007528AB" w:rsidP="006C0086">
      <w:pPr>
        <w:spacing w:line="276" w:lineRule="auto"/>
        <w:ind w:left="720"/>
        <w:rPr>
          <w:szCs w:val="24"/>
        </w:rPr>
      </w:pPr>
    </w:p>
    <w:p w14:paraId="57FFF2EA" w14:textId="730632EE" w:rsidR="00EF26ED" w:rsidRPr="00D948C1" w:rsidRDefault="00EF26ED" w:rsidP="006C0086">
      <w:pPr>
        <w:pStyle w:val="BodyTextIndent"/>
        <w:spacing w:line="276" w:lineRule="auto"/>
        <w:ind w:left="1440"/>
        <w:rPr>
          <w:szCs w:val="24"/>
        </w:rPr>
      </w:pPr>
      <w:r w:rsidRPr="00D948C1">
        <w:rPr>
          <w:szCs w:val="24"/>
        </w:rPr>
        <w:t xml:space="preserve">These accounts are prepared on a going concern basis, on the assumption that the Authority’s functions will continue in operational existence for the foreseeable future. </w:t>
      </w:r>
      <w:r w:rsidR="00865F1A" w:rsidRPr="00D948C1">
        <w:rPr>
          <w:szCs w:val="24"/>
        </w:rPr>
        <w:t xml:space="preserve">Our current Medium Term Financial Strategy (MTFS) shows a healthy reserves position, </w:t>
      </w:r>
      <w:r w:rsidR="00CF111B" w:rsidRPr="00D948C1">
        <w:rPr>
          <w:szCs w:val="24"/>
        </w:rPr>
        <w:t>and a balanced</w:t>
      </w:r>
      <w:r w:rsidR="00865F1A" w:rsidRPr="00D948C1">
        <w:rPr>
          <w:szCs w:val="24"/>
        </w:rPr>
        <w:t xml:space="preserve"> budget in the short and medium term. We await the outcome of </w:t>
      </w:r>
      <w:r w:rsidR="009566C1" w:rsidRPr="00D948C1">
        <w:rPr>
          <w:szCs w:val="24"/>
        </w:rPr>
        <w:t xml:space="preserve">the </w:t>
      </w:r>
      <w:r w:rsidR="00CF111B" w:rsidRPr="00D948C1">
        <w:rPr>
          <w:szCs w:val="24"/>
        </w:rPr>
        <w:t xml:space="preserve">multi-year settlement </w:t>
      </w:r>
      <w:r w:rsidR="00865F1A" w:rsidRPr="00D948C1">
        <w:rPr>
          <w:szCs w:val="24"/>
        </w:rPr>
        <w:t>to clarify our estimates within our MTFS.</w:t>
      </w:r>
    </w:p>
    <w:p w14:paraId="1116EB54" w14:textId="77777777" w:rsidR="00D573A1" w:rsidRPr="00D948C1" w:rsidRDefault="00D573A1" w:rsidP="006C0086">
      <w:pPr>
        <w:pStyle w:val="BodyTextIndent"/>
        <w:spacing w:line="276" w:lineRule="auto"/>
        <w:ind w:left="0"/>
        <w:rPr>
          <w:szCs w:val="24"/>
        </w:rPr>
      </w:pPr>
    </w:p>
    <w:p w14:paraId="374EB3B5" w14:textId="77777777" w:rsidR="00D573A1" w:rsidRPr="00D948C1" w:rsidRDefault="00D573A1" w:rsidP="006C0086">
      <w:pPr>
        <w:spacing w:line="276" w:lineRule="auto"/>
        <w:ind w:left="1418" w:hanging="709"/>
        <w:rPr>
          <w:b/>
          <w:szCs w:val="24"/>
        </w:rPr>
      </w:pPr>
      <w:bookmarkStart w:id="83" w:name="_Hlk56594024"/>
      <w:r w:rsidRPr="00D948C1">
        <w:rPr>
          <w:b/>
          <w:szCs w:val="24"/>
        </w:rPr>
        <w:t>p</w:t>
      </w:r>
      <w:r w:rsidRPr="00D948C1">
        <w:rPr>
          <w:b/>
          <w:szCs w:val="24"/>
        </w:rPr>
        <w:tab/>
        <w:t>Prior Period Adjustments, Changes in Accounting Policies and Estimates and Errors</w:t>
      </w:r>
    </w:p>
    <w:p w14:paraId="6150F773" w14:textId="77777777" w:rsidR="00D573A1" w:rsidRPr="00D948C1" w:rsidRDefault="00D573A1" w:rsidP="006C0086">
      <w:pPr>
        <w:spacing w:line="276" w:lineRule="auto"/>
        <w:ind w:left="720"/>
        <w:rPr>
          <w:b/>
          <w:szCs w:val="24"/>
        </w:rPr>
      </w:pPr>
    </w:p>
    <w:p w14:paraId="7A31E8AA" w14:textId="2D7FFD00" w:rsidR="00D573A1" w:rsidRPr="00D948C1" w:rsidRDefault="00D573A1" w:rsidP="006C0086">
      <w:pPr>
        <w:pStyle w:val="BodyTextIndent"/>
        <w:spacing w:line="276" w:lineRule="auto"/>
        <w:ind w:left="1440"/>
        <w:rPr>
          <w:szCs w:val="24"/>
        </w:rPr>
      </w:pPr>
      <w:r w:rsidRPr="00D948C1">
        <w:rPr>
          <w:szCs w:val="24"/>
        </w:rPr>
        <w:t xml:space="preserve">Prior period adjustments may arise </w:t>
      </w:r>
      <w:r w:rsidR="0094180B" w:rsidRPr="00D948C1">
        <w:rPr>
          <w:szCs w:val="24"/>
        </w:rPr>
        <w:t>due to</w:t>
      </w:r>
      <w:r w:rsidRPr="00D948C1">
        <w:rPr>
          <w:szCs w:val="24"/>
        </w:rPr>
        <w:t xml:space="preserve"> </w:t>
      </w:r>
      <w:r w:rsidR="0094180B" w:rsidRPr="00D948C1">
        <w:rPr>
          <w:szCs w:val="24"/>
        </w:rPr>
        <w:t xml:space="preserve">a </w:t>
      </w:r>
      <w:r w:rsidRPr="00D948C1">
        <w:rPr>
          <w:szCs w:val="24"/>
        </w:rPr>
        <w:t>change in accounting policies or to correct a material error. Changes in accounting estimates are accounted for prospectively, in the current and future years affected by the change and do not give rise to a prior period adjustment.</w:t>
      </w:r>
    </w:p>
    <w:p w14:paraId="67B7C58E" w14:textId="77777777" w:rsidR="00D573A1" w:rsidRPr="00D948C1" w:rsidRDefault="00D573A1" w:rsidP="006C0086">
      <w:pPr>
        <w:pStyle w:val="BodyTextIndent"/>
        <w:spacing w:line="276" w:lineRule="auto"/>
        <w:ind w:left="1440"/>
        <w:rPr>
          <w:szCs w:val="24"/>
        </w:rPr>
      </w:pPr>
    </w:p>
    <w:p w14:paraId="1022C5E9" w14:textId="6AD44E77" w:rsidR="00276650" w:rsidRPr="00D948C1" w:rsidRDefault="00D573A1" w:rsidP="006C0086">
      <w:pPr>
        <w:pStyle w:val="BodyTextIndent"/>
        <w:spacing w:line="276" w:lineRule="auto"/>
        <w:ind w:left="1440"/>
        <w:rPr>
          <w:rFonts w:ascii="Calibri" w:hAnsi="Calibri"/>
          <w:szCs w:val="24"/>
        </w:rPr>
      </w:pPr>
      <w:r w:rsidRPr="00D948C1">
        <w:rPr>
          <w:szCs w:val="24"/>
        </w:rPr>
        <w:t>Changes in accounting policies are only made when required by proper accounting practices or the change provides more reliable or relevant information about the effect of transactions, other events and conditions on the Authority’s financial position or financial performance. Where a change is made, it is applied retrospectively (unless stated otherwise) by adjusting opening balances and comparative amounts for the prior period as if the new policy had always been applied.</w:t>
      </w:r>
      <w:bookmarkEnd w:id="83"/>
      <w:r w:rsidR="00276650" w:rsidRPr="00D948C1">
        <w:rPr>
          <w:szCs w:val="24"/>
        </w:rPr>
        <w:t xml:space="preserve"> </w:t>
      </w:r>
      <w:r w:rsidR="00276650" w:rsidRPr="00D948C1">
        <w:rPr>
          <w:color w:val="000000"/>
          <w:szCs w:val="24"/>
        </w:rPr>
        <w:t>Material errors discovered in prior period figures are corrected retrospectively by amending opening balances and comparative amounts for the prior period.</w:t>
      </w:r>
    </w:p>
    <w:bookmarkEnd w:id="80"/>
    <w:p w14:paraId="123E266A" w14:textId="77777777" w:rsidR="00555960" w:rsidRPr="00D948C1" w:rsidRDefault="00555960" w:rsidP="006C0086">
      <w:pPr>
        <w:pStyle w:val="BodyTextIndent"/>
        <w:spacing w:line="276" w:lineRule="auto"/>
        <w:ind w:left="0"/>
        <w:rPr>
          <w:szCs w:val="24"/>
        </w:rPr>
      </w:pPr>
    </w:p>
    <w:p w14:paraId="75545F43" w14:textId="2E809C07" w:rsidR="00555960" w:rsidRPr="00D948C1" w:rsidRDefault="00555960" w:rsidP="006C0086">
      <w:pPr>
        <w:spacing w:line="276" w:lineRule="auto"/>
        <w:ind w:firstLine="720"/>
        <w:rPr>
          <w:b/>
          <w:szCs w:val="24"/>
        </w:rPr>
      </w:pPr>
      <w:r w:rsidRPr="00D948C1">
        <w:rPr>
          <w:b/>
          <w:szCs w:val="24"/>
        </w:rPr>
        <w:t>q</w:t>
      </w:r>
      <w:r w:rsidRPr="00D948C1">
        <w:rPr>
          <w:b/>
          <w:szCs w:val="24"/>
        </w:rPr>
        <w:tab/>
      </w:r>
      <w:bookmarkStart w:id="84" w:name="_Hlk170821542"/>
      <w:r w:rsidRPr="00D948C1">
        <w:rPr>
          <w:b/>
          <w:szCs w:val="24"/>
        </w:rPr>
        <w:t>Accounting Standards issued but not yet adopted</w:t>
      </w:r>
    </w:p>
    <w:p w14:paraId="40D7745E" w14:textId="77777777" w:rsidR="00555960" w:rsidRPr="00D948C1" w:rsidRDefault="00555960" w:rsidP="006C0086">
      <w:pPr>
        <w:spacing w:line="276" w:lineRule="auto"/>
        <w:ind w:left="720"/>
        <w:rPr>
          <w:szCs w:val="24"/>
        </w:rPr>
      </w:pPr>
    </w:p>
    <w:p w14:paraId="0D464938" w14:textId="6E6C14B6" w:rsidR="00FD3E57" w:rsidRPr="00D948C1" w:rsidRDefault="00FD3E57" w:rsidP="006C0086">
      <w:pPr>
        <w:spacing w:line="276" w:lineRule="auto"/>
        <w:ind w:left="1440"/>
        <w:rPr>
          <w:szCs w:val="24"/>
        </w:rPr>
      </w:pPr>
      <w:bookmarkStart w:id="85" w:name="_Hlk80358184"/>
      <w:r w:rsidRPr="00D948C1">
        <w:rPr>
          <w:szCs w:val="24"/>
        </w:rPr>
        <w:t xml:space="preserve">The Authority is required to disclose the impact of an accounting change required by a new accounting standard that has been issued on or before 1 January but not yet </w:t>
      </w:r>
      <w:r w:rsidRPr="00D948C1">
        <w:rPr>
          <w:szCs w:val="24"/>
        </w:rPr>
        <w:lastRenderedPageBreak/>
        <w:t xml:space="preserve">adopted by the Code of Practice on Local Authority Accounting in the United Kingdom (the Code). </w:t>
      </w:r>
      <w:r w:rsidR="00A678B5" w:rsidRPr="00D948C1">
        <w:rPr>
          <w:szCs w:val="24"/>
        </w:rPr>
        <w:t>There have been no amendments to the code since 2021/22</w:t>
      </w:r>
      <w:r w:rsidR="00661532" w:rsidRPr="00D948C1">
        <w:rPr>
          <w:szCs w:val="24"/>
        </w:rPr>
        <w:t>.</w:t>
      </w:r>
    </w:p>
    <w:p w14:paraId="4D2DBD7C" w14:textId="04E2537B" w:rsidR="00227088" w:rsidRPr="00D948C1" w:rsidRDefault="00227088" w:rsidP="006C0086">
      <w:pPr>
        <w:spacing w:line="276" w:lineRule="auto"/>
        <w:ind w:left="1440"/>
        <w:rPr>
          <w:szCs w:val="24"/>
        </w:rPr>
      </w:pPr>
    </w:p>
    <w:p w14:paraId="590C1288" w14:textId="384FB16F" w:rsidR="00844496" w:rsidRDefault="00A678B5" w:rsidP="006C0086">
      <w:pPr>
        <w:spacing w:line="276" w:lineRule="auto"/>
        <w:ind w:left="1440"/>
        <w:rPr>
          <w:szCs w:val="24"/>
        </w:rPr>
      </w:pPr>
      <w:r w:rsidRPr="00D948C1">
        <w:rPr>
          <w:szCs w:val="24"/>
        </w:rPr>
        <w:t>Accounting of Leases (</w:t>
      </w:r>
      <w:r w:rsidR="00760249" w:rsidRPr="00D948C1">
        <w:rPr>
          <w:szCs w:val="24"/>
        </w:rPr>
        <w:t xml:space="preserve">International Financial Reporting Standards </w:t>
      </w:r>
      <w:r w:rsidRPr="00D948C1">
        <w:rPr>
          <w:szCs w:val="24"/>
        </w:rPr>
        <w:t>16) implementation has been de</w:t>
      </w:r>
      <w:r w:rsidR="00135351" w:rsidRPr="00D948C1">
        <w:rPr>
          <w:szCs w:val="24"/>
        </w:rPr>
        <w:t>ferred</w:t>
      </w:r>
      <w:r w:rsidRPr="00D948C1">
        <w:rPr>
          <w:szCs w:val="24"/>
        </w:rPr>
        <w:t xml:space="preserve"> </w:t>
      </w:r>
      <w:r w:rsidR="00135351" w:rsidRPr="00D948C1">
        <w:rPr>
          <w:szCs w:val="24"/>
        </w:rPr>
        <w:t xml:space="preserve">to </w:t>
      </w:r>
      <w:r w:rsidRPr="00D948C1">
        <w:rPr>
          <w:szCs w:val="24"/>
        </w:rPr>
        <w:t>1</w:t>
      </w:r>
      <w:r w:rsidRPr="00D948C1">
        <w:rPr>
          <w:szCs w:val="24"/>
          <w:vertAlign w:val="superscript"/>
        </w:rPr>
        <w:t>st</w:t>
      </w:r>
      <w:r w:rsidRPr="00D948C1">
        <w:rPr>
          <w:szCs w:val="24"/>
        </w:rPr>
        <w:t xml:space="preserve"> April 2024</w:t>
      </w:r>
      <w:r w:rsidR="000859CE" w:rsidRPr="00D948C1">
        <w:rPr>
          <w:szCs w:val="24"/>
        </w:rPr>
        <w:t xml:space="preserve"> as agreed by </w:t>
      </w:r>
      <w:r w:rsidR="00B312FC" w:rsidRPr="00B312FC">
        <w:rPr>
          <w:rFonts w:cs="Arial"/>
          <w:szCs w:val="24"/>
        </w:rPr>
        <w:t>Chartered Institute of Public Finance &amp; Accountanc</w:t>
      </w:r>
      <w:r w:rsidR="00B312FC">
        <w:rPr>
          <w:rFonts w:cs="Arial"/>
          <w:szCs w:val="24"/>
        </w:rPr>
        <w:t xml:space="preserve">y/ </w:t>
      </w:r>
      <w:r w:rsidR="00B312FC" w:rsidRPr="00B312FC">
        <w:rPr>
          <w:rFonts w:cs="Arial"/>
          <w:szCs w:val="24"/>
        </w:rPr>
        <w:t>Local Authority Accounting Code Board</w:t>
      </w:r>
      <w:r w:rsidR="00B312FC">
        <w:rPr>
          <w:szCs w:val="24"/>
        </w:rPr>
        <w:t xml:space="preserve">, </w:t>
      </w:r>
      <w:r w:rsidR="000859CE" w:rsidRPr="00D948C1">
        <w:rPr>
          <w:szCs w:val="24"/>
        </w:rPr>
        <w:t>in spring 2022.</w:t>
      </w:r>
      <w:r w:rsidRPr="00D948C1">
        <w:rPr>
          <w:szCs w:val="24"/>
        </w:rPr>
        <w:t xml:space="preserve"> However, both the 2022-23 and the 2023-24 codes allow for early adoption should an authority consider early implementation. Under the new standard, a right of use asset and lease liability will be recognised on the balance sheet. The depreciation of leased assets and interest on lease liabilities will go through the CIES</w:t>
      </w:r>
      <w:r w:rsidR="000859CE" w:rsidRPr="00D948C1">
        <w:rPr>
          <w:szCs w:val="24"/>
        </w:rPr>
        <w:t xml:space="preserve">. </w:t>
      </w:r>
      <w:r w:rsidR="00B37774" w:rsidRPr="00D948C1">
        <w:rPr>
          <w:szCs w:val="24"/>
        </w:rPr>
        <w:t>There are</w:t>
      </w:r>
      <w:r w:rsidR="001D49D0" w:rsidRPr="00D948C1">
        <w:rPr>
          <w:szCs w:val="24"/>
        </w:rPr>
        <w:t xml:space="preserve"> </w:t>
      </w:r>
      <w:r w:rsidR="00B37774" w:rsidRPr="00D948C1">
        <w:rPr>
          <w:szCs w:val="24"/>
        </w:rPr>
        <w:t xml:space="preserve">deemed </w:t>
      </w:r>
      <w:r w:rsidR="001D49D0" w:rsidRPr="00D948C1">
        <w:rPr>
          <w:szCs w:val="24"/>
        </w:rPr>
        <w:t xml:space="preserve">to be no </w:t>
      </w:r>
      <w:r w:rsidR="00B37774" w:rsidRPr="00D948C1">
        <w:rPr>
          <w:szCs w:val="24"/>
        </w:rPr>
        <w:t>assets affected by the standard.</w:t>
      </w:r>
      <w:bookmarkEnd w:id="84"/>
      <w:bookmarkEnd w:id="85"/>
    </w:p>
    <w:p w14:paraId="405E1169" w14:textId="77777777" w:rsidR="00844496" w:rsidRDefault="00844496" w:rsidP="006C0086">
      <w:pPr>
        <w:spacing w:line="276" w:lineRule="auto"/>
        <w:rPr>
          <w:szCs w:val="24"/>
        </w:rPr>
      </w:pPr>
      <w:r>
        <w:rPr>
          <w:szCs w:val="24"/>
        </w:rPr>
        <w:br w:type="page"/>
      </w:r>
    </w:p>
    <w:p w14:paraId="0335938F" w14:textId="08E40BE9" w:rsidR="005C4093" w:rsidRPr="00D948C1" w:rsidRDefault="005C4093" w:rsidP="006C0086">
      <w:pPr>
        <w:spacing w:line="276" w:lineRule="auto"/>
        <w:ind w:left="720"/>
        <w:rPr>
          <w:b/>
          <w:szCs w:val="24"/>
        </w:rPr>
      </w:pPr>
      <w:r w:rsidRPr="00D948C1">
        <w:rPr>
          <w:b/>
          <w:szCs w:val="24"/>
        </w:rPr>
        <w:lastRenderedPageBreak/>
        <w:t>r</w:t>
      </w:r>
      <w:r w:rsidRPr="00D948C1">
        <w:rPr>
          <w:b/>
          <w:szCs w:val="24"/>
        </w:rPr>
        <w:tab/>
        <w:t>Joint Operations</w:t>
      </w:r>
    </w:p>
    <w:p w14:paraId="484280CA" w14:textId="77777777" w:rsidR="005C4093" w:rsidRPr="00D948C1" w:rsidRDefault="005C4093" w:rsidP="006C0086">
      <w:pPr>
        <w:spacing w:line="276" w:lineRule="auto"/>
        <w:ind w:left="720"/>
        <w:rPr>
          <w:szCs w:val="24"/>
        </w:rPr>
      </w:pPr>
    </w:p>
    <w:p w14:paraId="44934166" w14:textId="68497AAF" w:rsidR="00CB4FDF" w:rsidRPr="00D948C1" w:rsidRDefault="00CB4FDF" w:rsidP="006C0086">
      <w:pPr>
        <w:spacing w:line="276" w:lineRule="auto"/>
        <w:ind w:left="1440"/>
        <w:rPr>
          <w:szCs w:val="24"/>
        </w:rPr>
      </w:pPr>
      <w:r w:rsidRPr="00D948C1">
        <w:rPr>
          <w:szCs w:val="24"/>
        </w:rPr>
        <w:t xml:space="preserve">Joint operations are arrangements where the parties that have joint control of the arrangement have rights to the assets and obligations for the liabilities relating to the arrangement. The activities undertaken by the Authority in conjunction with other joint operators involve the use of the assets and resources of those joint operators. The Authority has one joint operation, </w:t>
      </w:r>
      <w:proofErr w:type="gramStart"/>
      <w:r w:rsidRPr="00D948C1">
        <w:rPr>
          <w:szCs w:val="24"/>
        </w:rPr>
        <w:t>North West</w:t>
      </w:r>
      <w:proofErr w:type="gramEnd"/>
      <w:r w:rsidRPr="00D948C1">
        <w:rPr>
          <w:szCs w:val="24"/>
        </w:rPr>
        <w:t xml:space="preserve"> </w:t>
      </w:r>
      <w:proofErr w:type="spellStart"/>
      <w:r w:rsidRPr="00D948C1">
        <w:rPr>
          <w:szCs w:val="24"/>
        </w:rPr>
        <w:t>FireControl</w:t>
      </w:r>
      <w:proofErr w:type="spellEnd"/>
      <w:r w:rsidRPr="00D948C1">
        <w:rPr>
          <w:szCs w:val="24"/>
        </w:rPr>
        <w:t xml:space="preserve"> Ltd (see </w:t>
      </w:r>
      <w:hyperlink w:anchor="N22" w:history="1">
        <w:r w:rsidRPr="00D948C1">
          <w:rPr>
            <w:rStyle w:val="Hyperlink"/>
            <w:szCs w:val="24"/>
          </w:rPr>
          <w:t>note 22</w:t>
        </w:r>
      </w:hyperlink>
      <w:r w:rsidRPr="00D948C1">
        <w:rPr>
          <w:szCs w:val="24"/>
        </w:rPr>
        <w:t xml:space="preserve"> for details), and recognises:</w:t>
      </w:r>
    </w:p>
    <w:p w14:paraId="635F1F63" w14:textId="77777777" w:rsidR="00555960" w:rsidRPr="00D948C1" w:rsidRDefault="00555960" w:rsidP="006C0086">
      <w:pPr>
        <w:spacing w:line="276" w:lineRule="auto"/>
        <w:rPr>
          <w:szCs w:val="24"/>
        </w:rPr>
      </w:pPr>
    </w:p>
    <w:p w14:paraId="5C313E24" w14:textId="1CEA9758" w:rsidR="00CB4FDF" w:rsidRPr="00D948C1" w:rsidRDefault="0024304C" w:rsidP="006C0086">
      <w:pPr>
        <w:pStyle w:val="ListParagraph"/>
        <w:numPr>
          <w:ilvl w:val="0"/>
          <w:numId w:val="38"/>
        </w:numPr>
        <w:spacing w:line="276" w:lineRule="auto"/>
        <w:rPr>
          <w:szCs w:val="24"/>
        </w:rPr>
      </w:pPr>
      <w:r w:rsidRPr="00D948C1">
        <w:rPr>
          <w:szCs w:val="24"/>
        </w:rPr>
        <w:t>its assets, including its share of any assets held jointly</w:t>
      </w:r>
      <w:r w:rsidR="000A40E3" w:rsidRPr="00D948C1">
        <w:rPr>
          <w:szCs w:val="24"/>
        </w:rPr>
        <w:t>.</w:t>
      </w:r>
    </w:p>
    <w:p w14:paraId="34E444C4" w14:textId="6EBCD4D8" w:rsidR="0024304C" w:rsidRPr="00D948C1" w:rsidRDefault="0024304C" w:rsidP="006C0086">
      <w:pPr>
        <w:pStyle w:val="ListParagraph"/>
        <w:numPr>
          <w:ilvl w:val="0"/>
          <w:numId w:val="38"/>
        </w:numPr>
        <w:spacing w:line="276" w:lineRule="auto"/>
        <w:rPr>
          <w:szCs w:val="24"/>
        </w:rPr>
      </w:pPr>
      <w:r w:rsidRPr="00D948C1">
        <w:rPr>
          <w:szCs w:val="24"/>
        </w:rPr>
        <w:t>its liabilities, including its share of any liabilities held jointly</w:t>
      </w:r>
      <w:r w:rsidR="000A40E3" w:rsidRPr="00D948C1">
        <w:rPr>
          <w:szCs w:val="24"/>
        </w:rPr>
        <w:t>.</w:t>
      </w:r>
    </w:p>
    <w:p w14:paraId="2AB18726" w14:textId="5D3E666B" w:rsidR="0024304C" w:rsidRPr="00D948C1" w:rsidRDefault="0024304C" w:rsidP="006C0086">
      <w:pPr>
        <w:pStyle w:val="ListParagraph"/>
        <w:numPr>
          <w:ilvl w:val="0"/>
          <w:numId w:val="38"/>
        </w:numPr>
        <w:spacing w:line="276" w:lineRule="auto"/>
        <w:rPr>
          <w:szCs w:val="24"/>
        </w:rPr>
      </w:pPr>
      <w:r w:rsidRPr="00D948C1">
        <w:rPr>
          <w:szCs w:val="24"/>
        </w:rPr>
        <w:t>its revenue from the sale of its share of the output arising from the joint operation</w:t>
      </w:r>
      <w:r w:rsidR="000A40E3" w:rsidRPr="00D948C1">
        <w:rPr>
          <w:szCs w:val="24"/>
        </w:rPr>
        <w:t>.</w:t>
      </w:r>
    </w:p>
    <w:p w14:paraId="20740E16" w14:textId="3DEBEBC4" w:rsidR="0024304C" w:rsidRPr="00D948C1" w:rsidRDefault="0024304C" w:rsidP="006C0086">
      <w:pPr>
        <w:pStyle w:val="ListParagraph"/>
        <w:numPr>
          <w:ilvl w:val="0"/>
          <w:numId w:val="38"/>
        </w:numPr>
        <w:spacing w:line="276" w:lineRule="auto"/>
        <w:rPr>
          <w:szCs w:val="24"/>
        </w:rPr>
      </w:pPr>
      <w:r w:rsidRPr="00D948C1">
        <w:rPr>
          <w:szCs w:val="24"/>
        </w:rPr>
        <w:t>its share of the revenue from the sale of the output by the joint operation</w:t>
      </w:r>
      <w:r w:rsidR="000A40E3" w:rsidRPr="00D948C1">
        <w:rPr>
          <w:szCs w:val="24"/>
        </w:rPr>
        <w:t>.</w:t>
      </w:r>
    </w:p>
    <w:p w14:paraId="4EB2DE14" w14:textId="6FA96023" w:rsidR="00E216EE" w:rsidRPr="00D948C1" w:rsidRDefault="007446B1" w:rsidP="006C0086">
      <w:pPr>
        <w:pStyle w:val="ListParagraph"/>
        <w:numPr>
          <w:ilvl w:val="0"/>
          <w:numId w:val="38"/>
        </w:numPr>
        <w:spacing w:line="276" w:lineRule="auto"/>
        <w:rPr>
          <w:szCs w:val="24"/>
        </w:rPr>
      </w:pPr>
      <w:r w:rsidRPr="00D948C1">
        <w:rPr>
          <w:szCs w:val="24"/>
        </w:rPr>
        <w:t>its expenses, including its share of any expenses incurred jointly.</w:t>
      </w:r>
    </w:p>
    <w:p w14:paraId="7DD84F6D" w14:textId="77777777" w:rsidR="007446B1" w:rsidRPr="00D948C1" w:rsidRDefault="007446B1" w:rsidP="006C0086">
      <w:pPr>
        <w:spacing w:line="276" w:lineRule="auto"/>
        <w:rPr>
          <w:b/>
          <w:szCs w:val="24"/>
        </w:rPr>
      </w:pPr>
      <w:bookmarkStart w:id="86" w:name="FF_Pension"/>
      <w:bookmarkEnd w:id="86"/>
      <w:r w:rsidRPr="00D948C1">
        <w:rPr>
          <w:szCs w:val="24"/>
        </w:rPr>
        <w:br w:type="page"/>
      </w:r>
    </w:p>
    <w:p w14:paraId="47985473" w14:textId="18086050" w:rsidR="00D90216" w:rsidRPr="00D948C1" w:rsidRDefault="006563F1" w:rsidP="006C0086">
      <w:pPr>
        <w:pStyle w:val="Heading1"/>
        <w:spacing w:line="276" w:lineRule="auto"/>
      </w:pPr>
      <w:bookmarkStart w:id="87" w:name="_Toc171068814"/>
      <w:r w:rsidRPr="00D948C1">
        <w:lastRenderedPageBreak/>
        <w:t>Fire Fighters Pension Fund Account and Net Assets Statement</w:t>
      </w:r>
      <w:bookmarkEnd w:id="87"/>
    </w:p>
    <w:p w14:paraId="39EC90A0" w14:textId="77777777" w:rsidR="00D90216" w:rsidRPr="00D948C1" w:rsidRDefault="00D90216" w:rsidP="006C0086">
      <w:pPr>
        <w:spacing w:line="276" w:lineRule="auto"/>
        <w:rPr>
          <w:sz w:val="22"/>
        </w:rPr>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670DBF" w:rsidRPr="00D948C1" w14:paraId="55AAD781" w14:textId="77777777" w:rsidTr="00982FEC">
        <w:trPr>
          <w:trHeight w:val="247"/>
        </w:trPr>
        <w:tc>
          <w:tcPr>
            <w:tcW w:w="6207" w:type="dxa"/>
            <w:shd w:val="clear" w:color="auto" w:fill="BD2716"/>
            <w:vAlign w:val="bottom"/>
          </w:tcPr>
          <w:p w14:paraId="43752397" w14:textId="77777777" w:rsidR="00670DBF" w:rsidRPr="00D948C1" w:rsidRDefault="00670DBF" w:rsidP="006C0086">
            <w:pPr>
              <w:spacing w:line="276" w:lineRule="auto"/>
              <w:rPr>
                <w:bCs/>
                <w:snapToGrid w:val="0"/>
                <w:color w:val="FFFFFF" w:themeColor="background1"/>
                <w:szCs w:val="24"/>
              </w:rPr>
            </w:pPr>
            <w:r w:rsidRPr="00D948C1">
              <w:rPr>
                <w:bCs/>
                <w:snapToGrid w:val="0"/>
                <w:color w:val="FFFFFF" w:themeColor="background1"/>
                <w:szCs w:val="24"/>
              </w:rPr>
              <w:t>Fund Account</w:t>
            </w:r>
          </w:p>
        </w:tc>
        <w:tc>
          <w:tcPr>
            <w:tcW w:w="1418" w:type="dxa"/>
            <w:shd w:val="clear" w:color="auto" w:fill="BD2716"/>
          </w:tcPr>
          <w:p w14:paraId="13E4C1F1" w14:textId="29617CB9" w:rsidR="00670DBF" w:rsidRPr="00D948C1" w:rsidRDefault="00670DBF" w:rsidP="006C0086">
            <w:pPr>
              <w:spacing w:line="276" w:lineRule="auto"/>
              <w:jc w:val="right"/>
              <w:rPr>
                <w:color w:val="FFFFFF" w:themeColor="background1"/>
                <w:szCs w:val="24"/>
              </w:rPr>
            </w:pPr>
            <w:r w:rsidRPr="00D948C1">
              <w:rPr>
                <w:color w:val="FFFFFF" w:themeColor="background1"/>
                <w:szCs w:val="24"/>
              </w:rPr>
              <w:t>202</w:t>
            </w:r>
            <w:r w:rsidR="00853231" w:rsidRPr="00D948C1">
              <w:rPr>
                <w:color w:val="FFFFFF" w:themeColor="background1"/>
                <w:szCs w:val="24"/>
              </w:rPr>
              <w:t>3</w:t>
            </w:r>
            <w:r w:rsidRPr="00D948C1">
              <w:rPr>
                <w:color w:val="FFFFFF" w:themeColor="background1"/>
                <w:szCs w:val="24"/>
              </w:rPr>
              <w:t>/2</w:t>
            </w:r>
            <w:r w:rsidR="00853231" w:rsidRPr="00D948C1">
              <w:rPr>
                <w:color w:val="FFFFFF" w:themeColor="background1"/>
                <w:szCs w:val="24"/>
              </w:rPr>
              <w:t>4</w:t>
            </w:r>
          </w:p>
          <w:p w14:paraId="7FE32D0C" w14:textId="3534650E" w:rsidR="001431C3" w:rsidRPr="00D948C1" w:rsidRDefault="001431C3" w:rsidP="006C0086">
            <w:pPr>
              <w:spacing w:line="276" w:lineRule="auto"/>
              <w:jc w:val="right"/>
              <w:rPr>
                <w:snapToGrid w:val="0"/>
                <w:color w:val="FFFFFF" w:themeColor="background1"/>
                <w:szCs w:val="24"/>
              </w:rPr>
            </w:pPr>
            <w:r w:rsidRPr="00D948C1">
              <w:rPr>
                <w:color w:val="FFFFFF" w:themeColor="background1"/>
                <w:szCs w:val="24"/>
              </w:rPr>
              <w:t>£000</w:t>
            </w:r>
          </w:p>
        </w:tc>
        <w:tc>
          <w:tcPr>
            <w:tcW w:w="1275" w:type="dxa"/>
            <w:shd w:val="clear" w:color="auto" w:fill="BD2716"/>
          </w:tcPr>
          <w:p w14:paraId="6F23C8A0" w14:textId="77777777" w:rsidR="00853231" w:rsidRPr="00D948C1" w:rsidRDefault="00853231" w:rsidP="006C0086">
            <w:pPr>
              <w:spacing w:line="276" w:lineRule="auto"/>
              <w:jc w:val="right"/>
              <w:rPr>
                <w:color w:val="FFFFFF" w:themeColor="background1"/>
                <w:szCs w:val="24"/>
              </w:rPr>
            </w:pPr>
            <w:r w:rsidRPr="00D948C1">
              <w:rPr>
                <w:color w:val="FFFFFF" w:themeColor="background1"/>
                <w:szCs w:val="24"/>
              </w:rPr>
              <w:t>2022/23</w:t>
            </w:r>
          </w:p>
          <w:p w14:paraId="53A75669" w14:textId="4AD49849" w:rsidR="001431C3" w:rsidRPr="00D948C1" w:rsidRDefault="00853231" w:rsidP="006C0086">
            <w:pPr>
              <w:spacing w:line="276" w:lineRule="auto"/>
              <w:jc w:val="right"/>
              <w:rPr>
                <w:snapToGrid w:val="0"/>
                <w:color w:val="FFFFFF" w:themeColor="background1"/>
                <w:szCs w:val="24"/>
              </w:rPr>
            </w:pPr>
            <w:r w:rsidRPr="00D948C1">
              <w:rPr>
                <w:color w:val="FFFFFF" w:themeColor="background1"/>
                <w:szCs w:val="24"/>
              </w:rPr>
              <w:t>£000</w:t>
            </w:r>
          </w:p>
        </w:tc>
      </w:tr>
      <w:tr w:rsidR="00526A3B" w:rsidRPr="00D948C1" w14:paraId="37AD83E1" w14:textId="77777777" w:rsidTr="003572E5">
        <w:trPr>
          <w:trHeight w:val="278"/>
        </w:trPr>
        <w:tc>
          <w:tcPr>
            <w:tcW w:w="8900" w:type="dxa"/>
            <w:gridSpan w:val="3"/>
            <w:shd w:val="clear" w:color="auto" w:fill="D9D9D9" w:themeFill="background1" w:themeFillShade="D9"/>
          </w:tcPr>
          <w:p w14:paraId="0A108AE7" w14:textId="51755985" w:rsidR="00526A3B" w:rsidRPr="00D948C1" w:rsidRDefault="00526A3B" w:rsidP="006C0086">
            <w:pPr>
              <w:tabs>
                <w:tab w:val="decimal" w:pos="962"/>
              </w:tabs>
              <w:spacing w:line="276" w:lineRule="auto"/>
              <w:rPr>
                <w:b/>
                <w:snapToGrid w:val="0"/>
                <w:szCs w:val="24"/>
              </w:rPr>
            </w:pPr>
            <w:r w:rsidRPr="00D948C1">
              <w:rPr>
                <w:b/>
                <w:snapToGrid w:val="0"/>
                <w:szCs w:val="24"/>
              </w:rPr>
              <w:t>Income to the fund</w:t>
            </w:r>
          </w:p>
        </w:tc>
      </w:tr>
      <w:tr w:rsidR="00526A3B" w:rsidRPr="00D948C1" w14:paraId="153574EE" w14:textId="77777777" w:rsidTr="003572E5">
        <w:trPr>
          <w:trHeight w:val="278"/>
        </w:trPr>
        <w:tc>
          <w:tcPr>
            <w:tcW w:w="8900" w:type="dxa"/>
            <w:gridSpan w:val="3"/>
            <w:shd w:val="clear" w:color="auto" w:fill="D9D9D9" w:themeFill="background1" w:themeFillShade="D9"/>
          </w:tcPr>
          <w:p w14:paraId="27B63C56" w14:textId="19A5EF4F" w:rsidR="00526A3B" w:rsidRPr="00D948C1" w:rsidRDefault="00526A3B" w:rsidP="006C0086">
            <w:pPr>
              <w:tabs>
                <w:tab w:val="decimal" w:pos="962"/>
              </w:tabs>
              <w:spacing w:line="276" w:lineRule="auto"/>
              <w:rPr>
                <w:b/>
                <w:snapToGrid w:val="0"/>
                <w:szCs w:val="24"/>
              </w:rPr>
            </w:pPr>
            <w:r w:rsidRPr="00D948C1">
              <w:rPr>
                <w:b/>
                <w:snapToGrid w:val="0"/>
                <w:szCs w:val="24"/>
              </w:rPr>
              <w:t>Contributions receivable:</w:t>
            </w:r>
          </w:p>
        </w:tc>
      </w:tr>
      <w:tr w:rsidR="00526A3B" w:rsidRPr="00D948C1" w14:paraId="3E68FB9D" w14:textId="77777777" w:rsidTr="003572E5">
        <w:trPr>
          <w:trHeight w:val="278"/>
        </w:trPr>
        <w:tc>
          <w:tcPr>
            <w:tcW w:w="8900" w:type="dxa"/>
            <w:gridSpan w:val="3"/>
            <w:shd w:val="clear" w:color="auto" w:fill="D9D9D9" w:themeFill="background1" w:themeFillShade="D9"/>
          </w:tcPr>
          <w:p w14:paraId="294E5D96" w14:textId="1E6EFC29" w:rsidR="00526A3B" w:rsidRPr="00D948C1" w:rsidRDefault="00526A3B" w:rsidP="006C0086">
            <w:pPr>
              <w:pStyle w:val="ListParagraph"/>
              <w:numPr>
                <w:ilvl w:val="0"/>
                <w:numId w:val="42"/>
              </w:numPr>
              <w:tabs>
                <w:tab w:val="decimal" w:pos="962"/>
              </w:tabs>
              <w:spacing w:line="276" w:lineRule="auto"/>
              <w:rPr>
                <w:b/>
                <w:snapToGrid w:val="0"/>
                <w:szCs w:val="24"/>
              </w:rPr>
            </w:pPr>
            <w:r w:rsidRPr="00D948C1">
              <w:rPr>
                <w:b/>
                <w:snapToGrid w:val="0"/>
                <w:szCs w:val="24"/>
              </w:rPr>
              <w:t>From employer</w:t>
            </w:r>
          </w:p>
        </w:tc>
      </w:tr>
      <w:tr w:rsidR="00853231" w:rsidRPr="00D948C1" w14:paraId="173AECCD" w14:textId="77777777" w:rsidTr="003572E5">
        <w:trPr>
          <w:trHeight w:val="278"/>
        </w:trPr>
        <w:tc>
          <w:tcPr>
            <w:tcW w:w="6207" w:type="dxa"/>
          </w:tcPr>
          <w:p w14:paraId="5C8991BF" w14:textId="77777777" w:rsidR="00853231" w:rsidRPr="00D948C1" w:rsidRDefault="00853231" w:rsidP="006C0086">
            <w:pPr>
              <w:pStyle w:val="ListParagraph"/>
              <w:numPr>
                <w:ilvl w:val="0"/>
                <w:numId w:val="28"/>
              </w:numPr>
              <w:spacing w:line="276" w:lineRule="auto"/>
              <w:rPr>
                <w:snapToGrid w:val="0"/>
                <w:szCs w:val="24"/>
              </w:rPr>
            </w:pPr>
            <w:r w:rsidRPr="00D948C1">
              <w:rPr>
                <w:snapToGrid w:val="0"/>
                <w:szCs w:val="24"/>
              </w:rPr>
              <w:t>contributions in relation to pensionable pay</w:t>
            </w:r>
          </w:p>
        </w:tc>
        <w:tc>
          <w:tcPr>
            <w:tcW w:w="1418" w:type="dxa"/>
            <w:vAlign w:val="center"/>
          </w:tcPr>
          <w:p w14:paraId="24A932D1" w14:textId="61B46C36" w:rsidR="00853231" w:rsidRPr="00D948C1" w:rsidRDefault="00853231" w:rsidP="006C0086">
            <w:pPr>
              <w:tabs>
                <w:tab w:val="decimal" w:pos="1104"/>
              </w:tabs>
              <w:spacing w:line="276" w:lineRule="auto"/>
              <w:ind w:left="111"/>
              <w:jc w:val="right"/>
              <w:rPr>
                <w:szCs w:val="24"/>
              </w:rPr>
            </w:pPr>
            <w:r w:rsidRPr="00D948C1">
              <w:rPr>
                <w:szCs w:val="24"/>
              </w:rPr>
              <w:t>(</w:t>
            </w:r>
            <w:r w:rsidR="002B5862" w:rsidRPr="00D948C1">
              <w:rPr>
                <w:szCs w:val="24"/>
              </w:rPr>
              <w:t>8,012</w:t>
            </w:r>
            <w:r w:rsidRPr="00D948C1">
              <w:rPr>
                <w:szCs w:val="24"/>
              </w:rPr>
              <w:t>)</w:t>
            </w:r>
          </w:p>
        </w:tc>
        <w:tc>
          <w:tcPr>
            <w:tcW w:w="1275" w:type="dxa"/>
            <w:vAlign w:val="center"/>
          </w:tcPr>
          <w:p w14:paraId="0557E00C" w14:textId="492F23DE" w:rsidR="00853231" w:rsidRPr="00D948C1" w:rsidRDefault="00853231" w:rsidP="006C0086">
            <w:pPr>
              <w:tabs>
                <w:tab w:val="decimal" w:pos="1104"/>
              </w:tabs>
              <w:spacing w:line="276" w:lineRule="auto"/>
              <w:ind w:left="111"/>
              <w:jc w:val="right"/>
              <w:rPr>
                <w:szCs w:val="24"/>
              </w:rPr>
            </w:pPr>
            <w:r w:rsidRPr="00D948C1">
              <w:rPr>
                <w:szCs w:val="24"/>
              </w:rPr>
              <w:t>(7,631)</w:t>
            </w:r>
          </w:p>
        </w:tc>
      </w:tr>
      <w:tr w:rsidR="00853231" w:rsidRPr="00D948C1" w14:paraId="01CD8CF1" w14:textId="77777777" w:rsidTr="003572E5">
        <w:trPr>
          <w:trHeight w:val="278"/>
        </w:trPr>
        <w:tc>
          <w:tcPr>
            <w:tcW w:w="6207" w:type="dxa"/>
          </w:tcPr>
          <w:p w14:paraId="4A9B300A" w14:textId="77777777" w:rsidR="00853231" w:rsidRPr="00D948C1" w:rsidRDefault="00853231" w:rsidP="006C0086">
            <w:pPr>
              <w:pStyle w:val="ListParagraph"/>
              <w:numPr>
                <w:ilvl w:val="0"/>
                <w:numId w:val="27"/>
              </w:numPr>
              <w:spacing w:line="276" w:lineRule="auto"/>
              <w:rPr>
                <w:snapToGrid w:val="0"/>
                <w:szCs w:val="24"/>
              </w:rPr>
            </w:pPr>
            <w:r w:rsidRPr="00D948C1">
              <w:rPr>
                <w:snapToGrid w:val="0"/>
                <w:szCs w:val="24"/>
              </w:rPr>
              <w:t>other contributions</w:t>
            </w:r>
          </w:p>
        </w:tc>
        <w:tc>
          <w:tcPr>
            <w:tcW w:w="1418" w:type="dxa"/>
            <w:vAlign w:val="center"/>
          </w:tcPr>
          <w:p w14:paraId="3E8ED8FB" w14:textId="1BEFB91D" w:rsidR="00853231" w:rsidRPr="00D948C1" w:rsidRDefault="00853231" w:rsidP="006C0086">
            <w:pPr>
              <w:tabs>
                <w:tab w:val="decimal" w:pos="1104"/>
              </w:tabs>
              <w:spacing w:line="276" w:lineRule="auto"/>
              <w:jc w:val="right"/>
              <w:rPr>
                <w:szCs w:val="24"/>
              </w:rPr>
            </w:pPr>
            <w:r w:rsidRPr="00D948C1">
              <w:rPr>
                <w:szCs w:val="24"/>
              </w:rPr>
              <w:t>(</w:t>
            </w:r>
            <w:r w:rsidR="002B5862" w:rsidRPr="00D948C1">
              <w:rPr>
                <w:szCs w:val="24"/>
              </w:rPr>
              <w:t>216</w:t>
            </w:r>
            <w:r w:rsidRPr="00D948C1">
              <w:rPr>
                <w:szCs w:val="24"/>
              </w:rPr>
              <w:t>)</w:t>
            </w:r>
          </w:p>
        </w:tc>
        <w:tc>
          <w:tcPr>
            <w:tcW w:w="1275" w:type="dxa"/>
            <w:vAlign w:val="center"/>
          </w:tcPr>
          <w:p w14:paraId="37E5B13F" w14:textId="346A1FDB" w:rsidR="00853231" w:rsidRPr="00D948C1" w:rsidRDefault="00853231" w:rsidP="006C0086">
            <w:pPr>
              <w:tabs>
                <w:tab w:val="decimal" w:pos="1104"/>
              </w:tabs>
              <w:spacing w:line="276" w:lineRule="auto"/>
              <w:jc w:val="right"/>
              <w:rPr>
                <w:szCs w:val="24"/>
              </w:rPr>
            </w:pPr>
            <w:r w:rsidRPr="00D948C1">
              <w:rPr>
                <w:szCs w:val="24"/>
              </w:rPr>
              <w:t>(166)</w:t>
            </w:r>
          </w:p>
        </w:tc>
      </w:tr>
      <w:tr w:rsidR="00853231" w:rsidRPr="00D948C1" w14:paraId="63755E1B" w14:textId="77777777" w:rsidTr="003572E5">
        <w:trPr>
          <w:trHeight w:val="278"/>
        </w:trPr>
        <w:tc>
          <w:tcPr>
            <w:tcW w:w="6207" w:type="dxa"/>
          </w:tcPr>
          <w:p w14:paraId="45A49EDD" w14:textId="77777777" w:rsidR="00853231" w:rsidRPr="00D948C1" w:rsidRDefault="00853231" w:rsidP="006C0086">
            <w:pPr>
              <w:pStyle w:val="ListParagraph"/>
              <w:numPr>
                <w:ilvl w:val="0"/>
                <w:numId w:val="26"/>
              </w:numPr>
              <w:spacing w:line="276" w:lineRule="auto"/>
              <w:rPr>
                <w:snapToGrid w:val="0"/>
                <w:szCs w:val="24"/>
              </w:rPr>
            </w:pPr>
            <w:r w:rsidRPr="00D948C1">
              <w:rPr>
                <w:snapToGrid w:val="0"/>
                <w:szCs w:val="24"/>
              </w:rPr>
              <w:t>Members contributions</w:t>
            </w:r>
          </w:p>
        </w:tc>
        <w:tc>
          <w:tcPr>
            <w:tcW w:w="1418" w:type="dxa"/>
            <w:vAlign w:val="center"/>
          </w:tcPr>
          <w:p w14:paraId="576F6FA9" w14:textId="219E5DED" w:rsidR="00853231" w:rsidRPr="00D948C1" w:rsidRDefault="00853231" w:rsidP="006C0086">
            <w:pPr>
              <w:tabs>
                <w:tab w:val="decimal" w:pos="1104"/>
              </w:tabs>
              <w:spacing w:line="276" w:lineRule="auto"/>
              <w:jc w:val="right"/>
              <w:rPr>
                <w:szCs w:val="24"/>
              </w:rPr>
            </w:pPr>
            <w:r w:rsidRPr="00D948C1">
              <w:rPr>
                <w:szCs w:val="24"/>
              </w:rPr>
              <w:t>(3,</w:t>
            </w:r>
            <w:r w:rsidR="002B5862" w:rsidRPr="00D948C1">
              <w:rPr>
                <w:szCs w:val="24"/>
              </w:rPr>
              <w:t>723</w:t>
            </w:r>
            <w:r w:rsidRPr="00D948C1">
              <w:rPr>
                <w:szCs w:val="24"/>
              </w:rPr>
              <w:t>)</w:t>
            </w:r>
          </w:p>
        </w:tc>
        <w:tc>
          <w:tcPr>
            <w:tcW w:w="1275" w:type="dxa"/>
            <w:vAlign w:val="center"/>
          </w:tcPr>
          <w:p w14:paraId="5E7256B6" w14:textId="64478558" w:rsidR="00853231" w:rsidRPr="00D948C1" w:rsidRDefault="00853231" w:rsidP="006C0086">
            <w:pPr>
              <w:tabs>
                <w:tab w:val="decimal" w:pos="1104"/>
              </w:tabs>
              <w:spacing w:line="276" w:lineRule="auto"/>
              <w:jc w:val="right"/>
              <w:rPr>
                <w:szCs w:val="24"/>
              </w:rPr>
            </w:pPr>
            <w:r w:rsidRPr="00D948C1">
              <w:rPr>
                <w:szCs w:val="24"/>
              </w:rPr>
              <w:t>(3,448)</w:t>
            </w:r>
          </w:p>
        </w:tc>
      </w:tr>
    </w:tbl>
    <w:p w14:paraId="2218DC73" w14:textId="77777777" w:rsidR="00EC3487" w:rsidRPr="00D948C1" w:rsidRDefault="00EC3487" w:rsidP="006C0086">
      <w:pPr>
        <w:spacing w:line="276" w:lineRule="auto"/>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D948C1" w14:paraId="445662B5" w14:textId="77777777" w:rsidTr="003572E5">
        <w:trPr>
          <w:trHeight w:val="278"/>
        </w:trPr>
        <w:tc>
          <w:tcPr>
            <w:tcW w:w="8900" w:type="dxa"/>
            <w:gridSpan w:val="3"/>
            <w:shd w:val="clear" w:color="auto" w:fill="D9D9D9" w:themeFill="background1" w:themeFillShade="D9"/>
          </w:tcPr>
          <w:p w14:paraId="4A554574" w14:textId="0A650FF8" w:rsidR="00AC5949" w:rsidRPr="00D948C1" w:rsidRDefault="00AC5949" w:rsidP="006C0086">
            <w:pPr>
              <w:tabs>
                <w:tab w:val="decimal" w:pos="1104"/>
              </w:tabs>
              <w:spacing w:line="276" w:lineRule="auto"/>
              <w:rPr>
                <w:b/>
                <w:snapToGrid w:val="0"/>
                <w:szCs w:val="24"/>
              </w:rPr>
            </w:pPr>
            <w:r w:rsidRPr="00D948C1">
              <w:rPr>
                <w:b/>
                <w:snapToGrid w:val="0"/>
                <w:szCs w:val="24"/>
              </w:rPr>
              <w:t>Transfers in:</w:t>
            </w:r>
          </w:p>
        </w:tc>
      </w:tr>
      <w:tr w:rsidR="00853231" w:rsidRPr="00D948C1" w14:paraId="134117FD" w14:textId="77777777" w:rsidTr="003572E5">
        <w:trPr>
          <w:trHeight w:val="278"/>
        </w:trPr>
        <w:tc>
          <w:tcPr>
            <w:tcW w:w="6207" w:type="dxa"/>
          </w:tcPr>
          <w:p w14:paraId="4115A55A" w14:textId="77777777" w:rsidR="00853231" w:rsidRPr="00D948C1" w:rsidRDefault="00853231" w:rsidP="006C0086">
            <w:pPr>
              <w:pStyle w:val="ListParagraph"/>
              <w:numPr>
                <w:ilvl w:val="0"/>
                <w:numId w:val="25"/>
              </w:numPr>
              <w:spacing w:line="276" w:lineRule="auto"/>
              <w:rPr>
                <w:snapToGrid w:val="0"/>
                <w:szCs w:val="24"/>
              </w:rPr>
            </w:pPr>
            <w:r w:rsidRPr="00D948C1">
              <w:rPr>
                <w:snapToGrid w:val="0"/>
                <w:szCs w:val="24"/>
              </w:rPr>
              <w:t>Individual transfers from other schemes</w:t>
            </w:r>
          </w:p>
        </w:tc>
        <w:tc>
          <w:tcPr>
            <w:tcW w:w="1418" w:type="dxa"/>
            <w:vAlign w:val="center"/>
          </w:tcPr>
          <w:p w14:paraId="7675413D" w14:textId="4E64104F" w:rsidR="00853231" w:rsidRPr="00D948C1" w:rsidRDefault="00853231" w:rsidP="006C0086">
            <w:pPr>
              <w:tabs>
                <w:tab w:val="decimal" w:pos="1104"/>
              </w:tabs>
              <w:spacing w:line="276" w:lineRule="auto"/>
              <w:jc w:val="right"/>
              <w:rPr>
                <w:snapToGrid w:val="0"/>
                <w:szCs w:val="24"/>
              </w:rPr>
            </w:pPr>
            <w:r w:rsidRPr="00D948C1">
              <w:rPr>
                <w:snapToGrid w:val="0"/>
                <w:szCs w:val="24"/>
              </w:rPr>
              <w:t>(</w:t>
            </w:r>
            <w:r w:rsidR="002B5862" w:rsidRPr="00D948C1">
              <w:rPr>
                <w:snapToGrid w:val="0"/>
                <w:szCs w:val="24"/>
              </w:rPr>
              <w:t>254</w:t>
            </w:r>
            <w:r w:rsidRPr="00D948C1">
              <w:rPr>
                <w:snapToGrid w:val="0"/>
                <w:szCs w:val="24"/>
              </w:rPr>
              <w:t>)</w:t>
            </w:r>
          </w:p>
        </w:tc>
        <w:tc>
          <w:tcPr>
            <w:tcW w:w="1275" w:type="dxa"/>
            <w:vAlign w:val="center"/>
          </w:tcPr>
          <w:p w14:paraId="4AD61DC6" w14:textId="32247A5A" w:rsidR="00853231" w:rsidRPr="00D948C1" w:rsidRDefault="00853231" w:rsidP="006C0086">
            <w:pPr>
              <w:tabs>
                <w:tab w:val="decimal" w:pos="1104"/>
              </w:tabs>
              <w:spacing w:line="276" w:lineRule="auto"/>
              <w:jc w:val="right"/>
              <w:rPr>
                <w:snapToGrid w:val="0"/>
                <w:szCs w:val="24"/>
              </w:rPr>
            </w:pPr>
            <w:r w:rsidRPr="00D948C1">
              <w:rPr>
                <w:snapToGrid w:val="0"/>
                <w:szCs w:val="24"/>
              </w:rPr>
              <w:t>(182)</w:t>
            </w:r>
          </w:p>
        </w:tc>
      </w:tr>
      <w:tr w:rsidR="00853231" w:rsidRPr="00D948C1" w14:paraId="70FB3365" w14:textId="77777777" w:rsidTr="003572E5">
        <w:trPr>
          <w:trHeight w:val="278"/>
        </w:trPr>
        <w:tc>
          <w:tcPr>
            <w:tcW w:w="6207" w:type="dxa"/>
          </w:tcPr>
          <w:p w14:paraId="347EDC7C" w14:textId="77777777" w:rsidR="00853231" w:rsidRPr="00D948C1" w:rsidRDefault="00853231" w:rsidP="006C0086">
            <w:pPr>
              <w:spacing w:line="276" w:lineRule="auto"/>
              <w:ind w:left="396" w:hanging="284"/>
              <w:rPr>
                <w:b/>
                <w:snapToGrid w:val="0"/>
                <w:szCs w:val="24"/>
              </w:rPr>
            </w:pPr>
            <w:r w:rsidRPr="00D948C1">
              <w:rPr>
                <w:b/>
                <w:snapToGrid w:val="0"/>
                <w:szCs w:val="24"/>
              </w:rPr>
              <w:t>Total Income to the Fund</w:t>
            </w:r>
          </w:p>
        </w:tc>
        <w:tc>
          <w:tcPr>
            <w:tcW w:w="1418" w:type="dxa"/>
            <w:vAlign w:val="center"/>
          </w:tcPr>
          <w:p w14:paraId="01DD441D" w14:textId="0164046E" w:rsidR="00853231" w:rsidRPr="00D948C1" w:rsidRDefault="00853231" w:rsidP="006C0086">
            <w:pPr>
              <w:tabs>
                <w:tab w:val="decimal" w:pos="1104"/>
              </w:tabs>
              <w:spacing w:line="276" w:lineRule="auto"/>
              <w:jc w:val="right"/>
              <w:rPr>
                <w:b/>
                <w:snapToGrid w:val="0"/>
                <w:szCs w:val="24"/>
              </w:rPr>
            </w:pPr>
            <w:r w:rsidRPr="00D948C1">
              <w:rPr>
                <w:b/>
                <w:snapToGrid w:val="0"/>
                <w:szCs w:val="24"/>
              </w:rPr>
              <w:t>(</w:t>
            </w:r>
            <w:r w:rsidR="002B5862" w:rsidRPr="00D948C1">
              <w:rPr>
                <w:b/>
                <w:snapToGrid w:val="0"/>
                <w:szCs w:val="24"/>
              </w:rPr>
              <w:t>12,205</w:t>
            </w:r>
            <w:r w:rsidRPr="00D948C1">
              <w:rPr>
                <w:b/>
                <w:snapToGrid w:val="0"/>
                <w:szCs w:val="24"/>
              </w:rPr>
              <w:t>)</w:t>
            </w:r>
          </w:p>
        </w:tc>
        <w:tc>
          <w:tcPr>
            <w:tcW w:w="1275" w:type="dxa"/>
            <w:vAlign w:val="center"/>
          </w:tcPr>
          <w:p w14:paraId="0379C159" w14:textId="2ABA14A8" w:rsidR="00853231" w:rsidRPr="00D948C1" w:rsidRDefault="00853231" w:rsidP="006C0086">
            <w:pPr>
              <w:tabs>
                <w:tab w:val="decimal" w:pos="1104"/>
              </w:tabs>
              <w:spacing w:line="276" w:lineRule="auto"/>
              <w:jc w:val="right"/>
              <w:rPr>
                <w:b/>
                <w:snapToGrid w:val="0"/>
                <w:szCs w:val="24"/>
              </w:rPr>
            </w:pPr>
            <w:r w:rsidRPr="00D948C1">
              <w:rPr>
                <w:b/>
                <w:snapToGrid w:val="0"/>
                <w:szCs w:val="24"/>
              </w:rPr>
              <w:t>(11,427)</w:t>
            </w:r>
          </w:p>
        </w:tc>
      </w:tr>
    </w:tbl>
    <w:p w14:paraId="2ECDE9A4" w14:textId="77777777" w:rsidR="00EC3487" w:rsidRPr="00D948C1" w:rsidRDefault="00EC3487" w:rsidP="006C0086">
      <w:pPr>
        <w:spacing w:line="276" w:lineRule="auto"/>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D948C1" w14:paraId="52E0944A" w14:textId="77777777" w:rsidTr="003572E5">
        <w:trPr>
          <w:trHeight w:val="278"/>
        </w:trPr>
        <w:tc>
          <w:tcPr>
            <w:tcW w:w="8900" w:type="dxa"/>
            <w:gridSpan w:val="3"/>
            <w:shd w:val="clear" w:color="auto" w:fill="D9D9D9" w:themeFill="background1" w:themeFillShade="D9"/>
          </w:tcPr>
          <w:p w14:paraId="6E62799E" w14:textId="4DDC0A4A" w:rsidR="00AC5949" w:rsidRPr="00D948C1" w:rsidRDefault="00AC5949" w:rsidP="006C0086">
            <w:pPr>
              <w:tabs>
                <w:tab w:val="decimal" w:pos="1104"/>
              </w:tabs>
              <w:spacing w:line="276" w:lineRule="auto"/>
              <w:rPr>
                <w:b/>
                <w:snapToGrid w:val="0"/>
                <w:szCs w:val="24"/>
              </w:rPr>
            </w:pPr>
            <w:r w:rsidRPr="00D948C1">
              <w:rPr>
                <w:b/>
                <w:snapToGrid w:val="0"/>
                <w:szCs w:val="24"/>
              </w:rPr>
              <w:t>Spending by the fund</w:t>
            </w:r>
          </w:p>
        </w:tc>
      </w:tr>
      <w:tr w:rsidR="00AC5949" w:rsidRPr="00D948C1" w14:paraId="291BAA72" w14:textId="77777777" w:rsidTr="003572E5">
        <w:trPr>
          <w:trHeight w:val="278"/>
        </w:trPr>
        <w:tc>
          <w:tcPr>
            <w:tcW w:w="8900" w:type="dxa"/>
            <w:gridSpan w:val="3"/>
            <w:shd w:val="clear" w:color="auto" w:fill="D9D9D9" w:themeFill="background1" w:themeFillShade="D9"/>
          </w:tcPr>
          <w:p w14:paraId="496454F2" w14:textId="055355E2" w:rsidR="00AC5949" w:rsidRPr="00D948C1" w:rsidRDefault="00AC5949" w:rsidP="006C0086">
            <w:pPr>
              <w:tabs>
                <w:tab w:val="decimal" w:pos="1104"/>
              </w:tabs>
              <w:spacing w:line="276" w:lineRule="auto"/>
              <w:rPr>
                <w:b/>
                <w:snapToGrid w:val="0"/>
                <w:szCs w:val="24"/>
              </w:rPr>
            </w:pPr>
            <w:r w:rsidRPr="00D948C1">
              <w:rPr>
                <w:b/>
                <w:snapToGrid w:val="0"/>
                <w:szCs w:val="24"/>
              </w:rPr>
              <w:t>Benefits payable:</w:t>
            </w:r>
          </w:p>
        </w:tc>
      </w:tr>
      <w:tr w:rsidR="00853231" w:rsidRPr="00D948C1" w14:paraId="773EC1D3" w14:textId="77777777" w:rsidTr="003572E5">
        <w:trPr>
          <w:trHeight w:val="278"/>
        </w:trPr>
        <w:tc>
          <w:tcPr>
            <w:tcW w:w="6207" w:type="dxa"/>
          </w:tcPr>
          <w:p w14:paraId="2566ABC9" w14:textId="77777777" w:rsidR="00853231" w:rsidRPr="00D948C1" w:rsidRDefault="00853231" w:rsidP="006C0086">
            <w:pPr>
              <w:pStyle w:val="ListParagraph"/>
              <w:numPr>
                <w:ilvl w:val="0"/>
                <w:numId w:val="24"/>
              </w:numPr>
              <w:spacing w:line="276" w:lineRule="auto"/>
              <w:rPr>
                <w:snapToGrid w:val="0"/>
                <w:szCs w:val="24"/>
              </w:rPr>
            </w:pPr>
            <w:r w:rsidRPr="00D948C1">
              <w:rPr>
                <w:snapToGrid w:val="0"/>
                <w:szCs w:val="24"/>
              </w:rPr>
              <w:t>Pension payments</w:t>
            </w:r>
          </w:p>
        </w:tc>
        <w:tc>
          <w:tcPr>
            <w:tcW w:w="1418" w:type="dxa"/>
            <w:vAlign w:val="center"/>
          </w:tcPr>
          <w:p w14:paraId="6ED905B9" w14:textId="1FF31734" w:rsidR="00853231" w:rsidRPr="00D948C1" w:rsidRDefault="002B5862" w:rsidP="006C0086">
            <w:pPr>
              <w:tabs>
                <w:tab w:val="decimal" w:pos="1104"/>
              </w:tabs>
              <w:spacing w:line="276" w:lineRule="auto"/>
              <w:jc w:val="right"/>
              <w:rPr>
                <w:snapToGrid w:val="0"/>
                <w:szCs w:val="24"/>
              </w:rPr>
            </w:pPr>
            <w:r w:rsidRPr="00D948C1">
              <w:rPr>
                <w:snapToGrid w:val="0"/>
                <w:szCs w:val="24"/>
              </w:rPr>
              <w:t>25,508</w:t>
            </w:r>
          </w:p>
        </w:tc>
        <w:tc>
          <w:tcPr>
            <w:tcW w:w="1275" w:type="dxa"/>
            <w:vAlign w:val="center"/>
          </w:tcPr>
          <w:p w14:paraId="7F799B10" w14:textId="601F639B" w:rsidR="00853231" w:rsidRPr="00D948C1" w:rsidRDefault="00853231" w:rsidP="006C0086">
            <w:pPr>
              <w:tabs>
                <w:tab w:val="decimal" w:pos="1104"/>
              </w:tabs>
              <w:spacing w:line="276" w:lineRule="auto"/>
              <w:jc w:val="right"/>
              <w:rPr>
                <w:snapToGrid w:val="0"/>
                <w:szCs w:val="24"/>
              </w:rPr>
            </w:pPr>
            <w:r w:rsidRPr="00D948C1">
              <w:rPr>
                <w:snapToGrid w:val="0"/>
                <w:szCs w:val="24"/>
              </w:rPr>
              <w:t>23,170</w:t>
            </w:r>
          </w:p>
        </w:tc>
      </w:tr>
      <w:tr w:rsidR="00853231" w:rsidRPr="00D948C1" w14:paraId="48ED29A6" w14:textId="77777777" w:rsidTr="003572E5">
        <w:trPr>
          <w:trHeight w:val="556"/>
        </w:trPr>
        <w:tc>
          <w:tcPr>
            <w:tcW w:w="6207" w:type="dxa"/>
          </w:tcPr>
          <w:p w14:paraId="3D9EB629" w14:textId="77777777" w:rsidR="00853231" w:rsidRPr="00D948C1" w:rsidRDefault="00853231" w:rsidP="006C0086">
            <w:pPr>
              <w:pStyle w:val="ListParagraph"/>
              <w:numPr>
                <w:ilvl w:val="0"/>
                <w:numId w:val="24"/>
              </w:numPr>
              <w:spacing w:line="276" w:lineRule="auto"/>
              <w:rPr>
                <w:snapToGrid w:val="0"/>
                <w:szCs w:val="24"/>
              </w:rPr>
            </w:pPr>
            <w:r w:rsidRPr="00D948C1">
              <w:rPr>
                <w:snapToGrid w:val="0"/>
                <w:szCs w:val="24"/>
              </w:rPr>
              <w:t>Commutations of pensions and lump-sum retirement benefits</w:t>
            </w:r>
          </w:p>
        </w:tc>
        <w:tc>
          <w:tcPr>
            <w:tcW w:w="1418" w:type="dxa"/>
            <w:vAlign w:val="center"/>
          </w:tcPr>
          <w:p w14:paraId="0CBF1C23" w14:textId="6C6F5354" w:rsidR="00853231" w:rsidRPr="00D948C1" w:rsidRDefault="002B5862" w:rsidP="006C0086">
            <w:pPr>
              <w:tabs>
                <w:tab w:val="decimal" w:pos="1104"/>
              </w:tabs>
              <w:spacing w:line="276" w:lineRule="auto"/>
              <w:jc w:val="right"/>
              <w:rPr>
                <w:snapToGrid w:val="0"/>
                <w:szCs w:val="24"/>
              </w:rPr>
            </w:pPr>
            <w:r w:rsidRPr="00D948C1">
              <w:rPr>
                <w:snapToGrid w:val="0"/>
                <w:szCs w:val="24"/>
              </w:rPr>
              <w:t>5,923</w:t>
            </w:r>
          </w:p>
        </w:tc>
        <w:tc>
          <w:tcPr>
            <w:tcW w:w="1275" w:type="dxa"/>
            <w:vAlign w:val="center"/>
          </w:tcPr>
          <w:p w14:paraId="1A29995C" w14:textId="56290839" w:rsidR="00853231" w:rsidRPr="00D948C1" w:rsidRDefault="00853231" w:rsidP="006C0086">
            <w:pPr>
              <w:tabs>
                <w:tab w:val="decimal" w:pos="1104"/>
              </w:tabs>
              <w:spacing w:line="276" w:lineRule="auto"/>
              <w:jc w:val="right"/>
              <w:rPr>
                <w:snapToGrid w:val="0"/>
                <w:szCs w:val="24"/>
              </w:rPr>
            </w:pPr>
            <w:r w:rsidRPr="00D948C1">
              <w:rPr>
                <w:snapToGrid w:val="0"/>
                <w:szCs w:val="24"/>
              </w:rPr>
              <w:t>6,041</w:t>
            </w:r>
          </w:p>
        </w:tc>
      </w:tr>
    </w:tbl>
    <w:p w14:paraId="2C8913D8" w14:textId="77777777" w:rsidR="00EC3487" w:rsidRPr="00D948C1" w:rsidRDefault="00EC3487" w:rsidP="006C0086">
      <w:pPr>
        <w:spacing w:line="276" w:lineRule="auto"/>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3"/>
        <w:gridCol w:w="1280"/>
      </w:tblGrid>
      <w:tr w:rsidR="00AC5949" w:rsidRPr="00D948C1" w14:paraId="30EF4847" w14:textId="77777777" w:rsidTr="003572E5">
        <w:trPr>
          <w:trHeight w:val="278"/>
        </w:trPr>
        <w:tc>
          <w:tcPr>
            <w:tcW w:w="8900" w:type="dxa"/>
            <w:gridSpan w:val="3"/>
            <w:shd w:val="clear" w:color="auto" w:fill="D9D9D9" w:themeFill="background1" w:themeFillShade="D9"/>
          </w:tcPr>
          <w:p w14:paraId="00FE2572" w14:textId="1392B119" w:rsidR="00AC5949" w:rsidRPr="00D948C1" w:rsidRDefault="00AC5949" w:rsidP="006C0086">
            <w:pPr>
              <w:tabs>
                <w:tab w:val="decimal" w:pos="1104"/>
              </w:tabs>
              <w:spacing w:line="276" w:lineRule="auto"/>
              <w:rPr>
                <w:b/>
                <w:snapToGrid w:val="0"/>
                <w:szCs w:val="24"/>
              </w:rPr>
            </w:pPr>
            <w:r w:rsidRPr="00D948C1">
              <w:rPr>
                <w:b/>
                <w:snapToGrid w:val="0"/>
                <w:szCs w:val="24"/>
              </w:rPr>
              <w:t>Transfers out:</w:t>
            </w:r>
          </w:p>
        </w:tc>
      </w:tr>
      <w:tr w:rsidR="00853231" w:rsidRPr="00D948C1" w14:paraId="54677730" w14:textId="77777777" w:rsidTr="003572E5">
        <w:trPr>
          <w:trHeight w:val="278"/>
        </w:trPr>
        <w:tc>
          <w:tcPr>
            <w:tcW w:w="6207" w:type="dxa"/>
          </w:tcPr>
          <w:p w14:paraId="66B498AB" w14:textId="77777777" w:rsidR="00853231" w:rsidRPr="00D948C1" w:rsidRDefault="00853231" w:rsidP="006C0086">
            <w:pPr>
              <w:pStyle w:val="ListParagraph"/>
              <w:numPr>
                <w:ilvl w:val="0"/>
                <w:numId w:val="23"/>
              </w:numPr>
              <w:spacing w:line="276" w:lineRule="auto"/>
              <w:rPr>
                <w:snapToGrid w:val="0"/>
                <w:szCs w:val="24"/>
              </w:rPr>
            </w:pPr>
            <w:r w:rsidRPr="00D948C1">
              <w:rPr>
                <w:snapToGrid w:val="0"/>
                <w:szCs w:val="24"/>
              </w:rPr>
              <w:t>Individual transfers out to other schemes</w:t>
            </w:r>
          </w:p>
        </w:tc>
        <w:tc>
          <w:tcPr>
            <w:tcW w:w="1413" w:type="dxa"/>
            <w:vAlign w:val="center"/>
          </w:tcPr>
          <w:p w14:paraId="3951CB66" w14:textId="0124EFE7" w:rsidR="00853231" w:rsidRPr="00D948C1" w:rsidRDefault="002B5862" w:rsidP="006C0086">
            <w:pPr>
              <w:tabs>
                <w:tab w:val="decimal" w:pos="1104"/>
              </w:tabs>
              <w:spacing w:line="276" w:lineRule="auto"/>
              <w:jc w:val="right"/>
              <w:rPr>
                <w:snapToGrid w:val="0"/>
                <w:szCs w:val="24"/>
              </w:rPr>
            </w:pPr>
            <w:r w:rsidRPr="00D948C1">
              <w:rPr>
                <w:snapToGrid w:val="0"/>
                <w:szCs w:val="24"/>
              </w:rPr>
              <w:t>282</w:t>
            </w:r>
          </w:p>
        </w:tc>
        <w:tc>
          <w:tcPr>
            <w:tcW w:w="1280" w:type="dxa"/>
            <w:vAlign w:val="center"/>
          </w:tcPr>
          <w:p w14:paraId="7A48C2D6" w14:textId="22189F1D" w:rsidR="00853231" w:rsidRPr="00D948C1" w:rsidRDefault="00853231" w:rsidP="006C0086">
            <w:pPr>
              <w:tabs>
                <w:tab w:val="decimal" w:pos="1104"/>
              </w:tabs>
              <w:spacing w:line="276" w:lineRule="auto"/>
              <w:jc w:val="right"/>
              <w:rPr>
                <w:snapToGrid w:val="0"/>
                <w:szCs w:val="24"/>
              </w:rPr>
            </w:pPr>
            <w:r w:rsidRPr="00D948C1">
              <w:rPr>
                <w:snapToGrid w:val="0"/>
                <w:szCs w:val="24"/>
              </w:rPr>
              <w:t>-</w:t>
            </w:r>
          </w:p>
        </w:tc>
      </w:tr>
      <w:tr w:rsidR="00853231" w:rsidRPr="00D948C1" w14:paraId="531585B2" w14:textId="77777777" w:rsidTr="003572E5">
        <w:trPr>
          <w:trHeight w:val="278"/>
        </w:trPr>
        <w:tc>
          <w:tcPr>
            <w:tcW w:w="6207" w:type="dxa"/>
          </w:tcPr>
          <w:p w14:paraId="20545890" w14:textId="77777777" w:rsidR="00853231" w:rsidRPr="00D948C1" w:rsidRDefault="00853231" w:rsidP="006C0086">
            <w:pPr>
              <w:pStyle w:val="ListParagraph"/>
              <w:numPr>
                <w:ilvl w:val="0"/>
                <w:numId w:val="23"/>
              </w:numPr>
              <w:spacing w:line="276" w:lineRule="auto"/>
              <w:rPr>
                <w:snapToGrid w:val="0"/>
                <w:szCs w:val="24"/>
              </w:rPr>
            </w:pPr>
            <w:r w:rsidRPr="00D948C1">
              <w:rPr>
                <w:snapToGrid w:val="0"/>
                <w:szCs w:val="24"/>
              </w:rPr>
              <w:t>Refunds of contributions</w:t>
            </w:r>
          </w:p>
        </w:tc>
        <w:tc>
          <w:tcPr>
            <w:tcW w:w="1413" w:type="dxa"/>
            <w:vAlign w:val="center"/>
          </w:tcPr>
          <w:p w14:paraId="5ED643E8" w14:textId="77777777" w:rsidR="00853231" w:rsidRPr="00D948C1" w:rsidRDefault="00853231" w:rsidP="006C0086">
            <w:pPr>
              <w:tabs>
                <w:tab w:val="decimal" w:pos="1104"/>
              </w:tabs>
              <w:spacing w:line="276" w:lineRule="auto"/>
              <w:jc w:val="right"/>
              <w:rPr>
                <w:snapToGrid w:val="0"/>
                <w:szCs w:val="24"/>
              </w:rPr>
            </w:pPr>
            <w:r w:rsidRPr="00D948C1">
              <w:rPr>
                <w:snapToGrid w:val="0"/>
                <w:szCs w:val="24"/>
              </w:rPr>
              <w:t>-</w:t>
            </w:r>
          </w:p>
        </w:tc>
        <w:tc>
          <w:tcPr>
            <w:tcW w:w="1280" w:type="dxa"/>
            <w:vAlign w:val="center"/>
          </w:tcPr>
          <w:p w14:paraId="33FB8477" w14:textId="0C56D0E9" w:rsidR="00853231" w:rsidRPr="00D948C1" w:rsidRDefault="00853231" w:rsidP="006C0086">
            <w:pPr>
              <w:tabs>
                <w:tab w:val="decimal" w:pos="1104"/>
              </w:tabs>
              <w:spacing w:line="276" w:lineRule="auto"/>
              <w:jc w:val="right"/>
              <w:rPr>
                <w:snapToGrid w:val="0"/>
                <w:szCs w:val="24"/>
              </w:rPr>
            </w:pPr>
            <w:r w:rsidRPr="00D948C1">
              <w:rPr>
                <w:snapToGrid w:val="0"/>
                <w:szCs w:val="24"/>
              </w:rPr>
              <w:t>-</w:t>
            </w:r>
          </w:p>
        </w:tc>
      </w:tr>
      <w:tr w:rsidR="00853231" w:rsidRPr="00D948C1" w14:paraId="5DB30FA0" w14:textId="77777777" w:rsidTr="003572E5">
        <w:trPr>
          <w:trHeight w:val="278"/>
        </w:trPr>
        <w:tc>
          <w:tcPr>
            <w:tcW w:w="6207" w:type="dxa"/>
          </w:tcPr>
          <w:p w14:paraId="794EA8A8" w14:textId="77777777" w:rsidR="00853231" w:rsidRPr="00D948C1" w:rsidRDefault="00853231" w:rsidP="006C0086">
            <w:pPr>
              <w:spacing w:line="276" w:lineRule="auto"/>
              <w:ind w:left="396" w:hanging="284"/>
              <w:rPr>
                <w:b/>
                <w:snapToGrid w:val="0"/>
                <w:szCs w:val="24"/>
              </w:rPr>
            </w:pPr>
            <w:r w:rsidRPr="00D948C1">
              <w:rPr>
                <w:b/>
                <w:snapToGrid w:val="0"/>
                <w:szCs w:val="24"/>
              </w:rPr>
              <w:t>Total Spending by the fund</w:t>
            </w:r>
          </w:p>
        </w:tc>
        <w:tc>
          <w:tcPr>
            <w:tcW w:w="1413" w:type="dxa"/>
            <w:vAlign w:val="center"/>
          </w:tcPr>
          <w:p w14:paraId="59A92965" w14:textId="24C2553D" w:rsidR="00853231" w:rsidRPr="00D948C1" w:rsidRDefault="002B5862" w:rsidP="006C0086">
            <w:pPr>
              <w:tabs>
                <w:tab w:val="decimal" w:pos="1104"/>
              </w:tabs>
              <w:spacing w:line="276" w:lineRule="auto"/>
              <w:jc w:val="right"/>
              <w:rPr>
                <w:b/>
                <w:snapToGrid w:val="0"/>
                <w:szCs w:val="24"/>
              </w:rPr>
            </w:pPr>
            <w:r w:rsidRPr="00D948C1">
              <w:rPr>
                <w:b/>
                <w:snapToGrid w:val="0"/>
                <w:szCs w:val="24"/>
              </w:rPr>
              <w:t>31,713</w:t>
            </w:r>
          </w:p>
        </w:tc>
        <w:tc>
          <w:tcPr>
            <w:tcW w:w="1280" w:type="dxa"/>
            <w:vAlign w:val="center"/>
          </w:tcPr>
          <w:p w14:paraId="7C4E2A20" w14:textId="063D3969" w:rsidR="00853231" w:rsidRPr="00D948C1" w:rsidRDefault="00853231" w:rsidP="006C0086">
            <w:pPr>
              <w:tabs>
                <w:tab w:val="decimal" w:pos="1104"/>
              </w:tabs>
              <w:spacing w:line="276" w:lineRule="auto"/>
              <w:jc w:val="right"/>
              <w:rPr>
                <w:b/>
                <w:snapToGrid w:val="0"/>
                <w:szCs w:val="24"/>
              </w:rPr>
            </w:pPr>
            <w:r w:rsidRPr="00D948C1">
              <w:rPr>
                <w:b/>
                <w:snapToGrid w:val="0"/>
                <w:szCs w:val="24"/>
              </w:rPr>
              <w:t>29,211</w:t>
            </w:r>
          </w:p>
        </w:tc>
      </w:tr>
      <w:tr w:rsidR="00853231" w:rsidRPr="00D948C1" w14:paraId="53C0577D" w14:textId="77777777" w:rsidTr="003572E5">
        <w:trPr>
          <w:trHeight w:val="556"/>
        </w:trPr>
        <w:tc>
          <w:tcPr>
            <w:tcW w:w="6207" w:type="dxa"/>
          </w:tcPr>
          <w:p w14:paraId="3F07E890" w14:textId="6C9B4E0F" w:rsidR="00853231" w:rsidRPr="00D948C1" w:rsidRDefault="00853231" w:rsidP="006C0086">
            <w:pPr>
              <w:spacing w:line="276" w:lineRule="auto"/>
              <w:ind w:left="396" w:hanging="284"/>
              <w:rPr>
                <w:b/>
                <w:snapToGrid w:val="0"/>
                <w:szCs w:val="24"/>
              </w:rPr>
            </w:pPr>
            <w:r w:rsidRPr="00D948C1">
              <w:rPr>
                <w:b/>
                <w:snapToGrid w:val="0"/>
                <w:szCs w:val="24"/>
              </w:rPr>
              <w:t xml:space="preserve">Net amount receivable for the year before </w:t>
            </w:r>
            <w:proofErr w:type="gramStart"/>
            <w:r w:rsidRPr="00D948C1">
              <w:rPr>
                <w:b/>
                <w:snapToGrid w:val="0"/>
                <w:szCs w:val="24"/>
              </w:rPr>
              <w:t>top</w:t>
            </w:r>
            <w:proofErr w:type="gramEnd"/>
            <w:r w:rsidRPr="00D948C1">
              <w:rPr>
                <w:b/>
                <w:snapToGrid w:val="0"/>
                <w:szCs w:val="24"/>
              </w:rPr>
              <w:t xml:space="preserve"> up grant receivable from central government</w:t>
            </w:r>
          </w:p>
        </w:tc>
        <w:tc>
          <w:tcPr>
            <w:tcW w:w="1413" w:type="dxa"/>
            <w:vAlign w:val="center"/>
          </w:tcPr>
          <w:p w14:paraId="2D71B21B" w14:textId="4D8929A9" w:rsidR="00853231" w:rsidRPr="00D948C1" w:rsidRDefault="002B5862" w:rsidP="006C0086">
            <w:pPr>
              <w:tabs>
                <w:tab w:val="decimal" w:pos="1104"/>
              </w:tabs>
              <w:spacing w:line="276" w:lineRule="auto"/>
              <w:jc w:val="right"/>
              <w:rPr>
                <w:b/>
                <w:snapToGrid w:val="0"/>
                <w:szCs w:val="24"/>
              </w:rPr>
            </w:pPr>
            <w:r w:rsidRPr="00D948C1">
              <w:rPr>
                <w:b/>
                <w:snapToGrid w:val="0"/>
                <w:szCs w:val="24"/>
              </w:rPr>
              <w:t>19,508</w:t>
            </w:r>
          </w:p>
        </w:tc>
        <w:tc>
          <w:tcPr>
            <w:tcW w:w="1280" w:type="dxa"/>
            <w:vAlign w:val="center"/>
          </w:tcPr>
          <w:p w14:paraId="5ED60666" w14:textId="4BC688B2" w:rsidR="00853231" w:rsidRPr="00D948C1" w:rsidRDefault="00853231" w:rsidP="006C0086">
            <w:pPr>
              <w:tabs>
                <w:tab w:val="decimal" w:pos="1104"/>
              </w:tabs>
              <w:spacing w:line="276" w:lineRule="auto"/>
              <w:jc w:val="right"/>
              <w:rPr>
                <w:b/>
                <w:snapToGrid w:val="0"/>
                <w:szCs w:val="24"/>
              </w:rPr>
            </w:pPr>
            <w:r w:rsidRPr="00D948C1">
              <w:rPr>
                <w:b/>
                <w:snapToGrid w:val="0"/>
                <w:szCs w:val="24"/>
              </w:rPr>
              <w:t>17,784</w:t>
            </w:r>
          </w:p>
        </w:tc>
      </w:tr>
      <w:tr w:rsidR="00853231" w:rsidRPr="00D948C1" w14:paraId="259C04C7" w14:textId="77777777" w:rsidTr="003572E5">
        <w:trPr>
          <w:trHeight w:val="278"/>
        </w:trPr>
        <w:tc>
          <w:tcPr>
            <w:tcW w:w="6207" w:type="dxa"/>
          </w:tcPr>
          <w:p w14:paraId="14E9277C" w14:textId="5F924341" w:rsidR="00853231" w:rsidRPr="00D948C1" w:rsidRDefault="00853231" w:rsidP="006C0086">
            <w:pPr>
              <w:spacing w:line="276" w:lineRule="auto"/>
              <w:ind w:left="396" w:hanging="284"/>
              <w:rPr>
                <w:snapToGrid w:val="0"/>
                <w:szCs w:val="24"/>
              </w:rPr>
            </w:pPr>
            <w:r w:rsidRPr="00D948C1">
              <w:rPr>
                <w:snapToGrid w:val="0"/>
                <w:szCs w:val="24"/>
              </w:rPr>
              <w:t>Top up grant receivable from central government</w:t>
            </w:r>
          </w:p>
        </w:tc>
        <w:tc>
          <w:tcPr>
            <w:tcW w:w="1413" w:type="dxa"/>
            <w:vAlign w:val="center"/>
          </w:tcPr>
          <w:p w14:paraId="4F9C880D" w14:textId="48A59050" w:rsidR="00853231" w:rsidRPr="00D948C1" w:rsidRDefault="00853231" w:rsidP="006C0086">
            <w:pPr>
              <w:tabs>
                <w:tab w:val="decimal" w:pos="1104"/>
              </w:tabs>
              <w:spacing w:line="276" w:lineRule="auto"/>
              <w:jc w:val="right"/>
              <w:rPr>
                <w:snapToGrid w:val="0"/>
                <w:szCs w:val="24"/>
              </w:rPr>
            </w:pPr>
            <w:r w:rsidRPr="00D948C1">
              <w:rPr>
                <w:snapToGrid w:val="0"/>
                <w:szCs w:val="24"/>
              </w:rPr>
              <w:t>(</w:t>
            </w:r>
            <w:r w:rsidR="002B5862" w:rsidRPr="00D948C1">
              <w:rPr>
                <w:snapToGrid w:val="0"/>
                <w:szCs w:val="24"/>
              </w:rPr>
              <w:t>19,508</w:t>
            </w:r>
            <w:r w:rsidRPr="00D948C1">
              <w:rPr>
                <w:snapToGrid w:val="0"/>
                <w:szCs w:val="24"/>
              </w:rPr>
              <w:t>)</w:t>
            </w:r>
          </w:p>
        </w:tc>
        <w:tc>
          <w:tcPr>
            <w:tcW w:w="1280" w:type="dxa"/>
            <w:vAlign w:val="center"/>
          </w:tcPr>
          <w:p w14:paraId="2F4C8521" w14:textId="5DBA32C7" w:rsidR="00853231" w:rsidRPr="00D948C1" w:rsidRDefault="00853231" w:rsidP="006C0086">
            <w:pPr>
              <w:tabs>
                <w:tab w:val="decimal" w:pos="1104"/>
              </w:tabs>
              <w:spacing w:line="276" w:lineRule="auto"/>
              <w:jc w:val="right"/>
              <w:rPr>
                <w:snapToGrid w:val="0"/>
                <w:szCs w:val="24"/>
              </w:rPr>
            </w:pPr>
            <w:r w:rsidRPr="00D948C1">
              <w:rPr>
                <w:snapToGrid w:val="0"/>
                <w:szCs w:val="24"/>
              </w:rPr>
              <w:t>(17,784)</w:t>
            </w:r>
          </w:p>
        </w:tc>
      </w:tr>
      <w:tr w:rsidR="00853231" w:rsidRPr="00D948C1" w14:paraId="79E6CF3F" w14:textId="77777777" w:rsidTr="003572E5">
        <w:trPr>
          <w:trHeight w:val="278"/>
        </w:trPr>
        <w:tc>
          <w:tcPr>
            <w:tcW w:w="6207" w:type="dxa"/>
          </w:tcPr>
          <w:p w14:paraId="32E39142" w14:textId="20CC0BF3" w:rsidR="00853231" w:rsidRPr="00D948C1" w:rsidRDefault="00853231" w:rsidP="006C0086">
            <w:pPr>
              <w:spacing w:line="276" w:lineRule="auto"/>
              <w:ind w:left="396" w:hanging="284"/>
              <w:rPr>
                <w:snapToGrid w:val="0"/>
                <w:szCs w:val="24"/>
              </w:rPr>
            </w:pPr>
            <w:r w:rsidRPr="00D948C1">
              <w:rPr>
                <w:b/>
                <w:snapToGrid w:val="0"/>
                <w:szCs w:val="24"/>
              </w:rPr>
              <w:t>Net amount receivable for the year</w:t>
            </w:r>
          </w:p>
        </w:tc>
        <w:tc>
          <w:tcPr>
            <w:tcW w:w="1413" w:type="dxa"/>
            <w:vAlign w:val="center"/>
          </w:tcPr>
          <w:p w14:paraId="5F4872C2" w14:textId="4EF33853" w:rsidR="00853231" w:rsidRPr="00D948C1" w:rsidRDefault="00853231" w:rsidP="006C0086">
            <w:pPr>
              <w:tabs>
                <w:tab w:val="decimal" w:pos="1104"/>
              </w:tabs>
              <w:spacing w:line="276" w:lineRule="auto"/>
              <w:jc w:val="right"/>
              <w:rPr>
                <w:snapToGrid w:val="0"/>
                <w:szCs w:val="24"/>
              </w:rPr>
            </w:pPr>
            <w:r w:rsidRPr="00D948C1">
              <w:rPr>
                <w:b/>
                <w:snapToGrid w:val="0"/>
                <w:szCs w:val="24"/>
              </w:rPr>
              <w:t>-</w:t>
            </w:r>
          </w:p>
        </w:tc>
        <w:tc>
          <w:tcPr>
            <w:tcW w:w="1280" w:type="dxa"/>
            <w:shd w:val="clear" w:color="auto" w:fill="auto"/>
            <w:vAlign w:val="center"/>
          </w:tcPr>
          <w:p w14:paraId="0CA39063" w14:textId="2DE1C93F" w:rsidR="00853231" w:rsidRPr="00D948C1" w:rsidRDefault="00853231" w:rsidP="006C0086">
            <w:pPr>
              <w:tabs>
                <w:tab w:val="decimal" w:pos="1104"/>
              </w:tabs>
              <w:spacing w:line="276" w:lineRule="auto"/>
              <w:jc w:val="right"/>
              <w:rPr>
                <w:snapToGrid w:val="0"/>
                <w:szCs w:val="24"/>
              </w:rPr>
            </w:pPr>
            <w:r w:rsidRPr="00D948C1">
              <w:rPr>
                <w:b/>
                <w:snapToGrid w:val="0"/>
                <w:szCs w:val="24"/>
              </w:rPr>
              <w:t>-</w:t>
            </w:r>
          </w:p>
        </w:tc>
      </w:tr>
    </w:tbl>
    <w:p w14:paraId="672507F4" w14:textId="77777777" w:rsidR="00EC3487" w:rsidRPr="00D948C1" w:rsidRDefault="00EC3487" w:rsidP="006C0086">
      <w:pPr>
        <w:spacing w:line="276" w:lineRule="auto"/>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3"/>
        <w:gridCol w:w="1280"/>
      </w:tblGrid>
      <w:tr w:rsidR="00AC5949" w:rsidRPr="00D948C1" w14:paraId="3C433FF2" w14:textId="77777777" w:rsidTr="002B5862">
        <w:trPr>
          <w:trHeight w:val="247"/>
        </w:trPr>
        <w:tc>
          <w:tcPr>
            <w:tcW w:w="6207" w:type="dxa"/>
            <w:shd w:val="clear" w:color="auto" w:fill="BD2716"/>
            <w:vAlign w:val="center"/>
          </w:tcPr>
          <w:p w14:paraId="51FAAE03" w14:textId="1D0E7715" w:rsidR="00AC5949" w:rsidRPr="00D948C1" w:rsidRDefault="00AC5949" w:rsidP="006C0086">
            <w:pPr>
              <w:spacing w:line="276" w:lineRule="auto"/>
              <w:rPr>
                <w:bCs/>
                <w:snapToGrid w:val="0"/>
                <w:szCs w:val="24"/>
              </w:rPr>
            </w:pPr>
            <w:r w:rsidRPr="00D948C1">
              <w:rPr>
                <w:bCs/>
                <w:snapToGrid w:val="0"/>
                <w:color w:val="FFFFFF" w:themeColor="background1"/>
                <w:szCs w:val="24"/>
              </w:rPr>
              <w:t>Net Assets Statement</w:t>
            </w:r>
          </w:p>
        </w:tc>
        <w:tc>
          <w:tcPr>
            <w:tcW w:w="1413" w:type="dxa"/>
            <w:shd w:val="clear" w:color="auto" w:fill="BD2716"/>
            <w:vAlign w:val="center"/>
          </w:tcPr>
          <w:p w14:paraId="22F48E13" w14:textId="12A13B06" w:rsidR="00853231" w:rsidRPr="00D948C1" w:rsidRDefault="00AC5949" w:rsidP="006C0086">
            <w:pPr>
              <w:spacing w:line="276" w:lineRule="auto"/>
              <w:jc w:val="right"/>
              <w:rPr>
                <w:color w:val="FFFFFF" w:themeColor="background1"/>
                <w:szCs w:val="24"/>
              </w:rPr>
            </w:pPr>
            <w:r w:rsidRPr="00D948C1">
              <w:rPr>
                <w:color w:val="FFFFFF" w:themeColor="background1"/>
                <w:szCs w:val="24"/>
              </w:rPr>
              <w:t>202</w:t>
            </w:r>
            <w:r w:rsidR="00853231" w:rsidRPr="00D948C1">
              <w:rPr>
                <w:color w:val="FFFFFF" w:themeColor="background1"/>
                <w:szCs w:val="24"/>
              </w:rPr>
              <w:t>3</w:t>
            </w:r>
            <w:r w:rsidRPr="00D948C1">
              <w:rPr>
                <w:color w:val="FFFFFF" w:themeColor="background1"/>
                <w:szCs w:val="24"/>
              </w:rPr>
              <w:t>/</w:t>
            </w:r>
            <w:r w:rsidR="00982FEC" w:rsidRPr="00D948C1">
              <w:rPr>
                <w:color w:val="FFFFFF" w:themeColor="background1"/>
                <w:szCs w:val="24"/>
              </w:rPr>
              <w:t>2</w:t>
            </w:r>
            <w:r w:rsidR="00853231" w:rsidRPr="00D948C1">
              <w:rPr>
                <w:color w:val="FFFFFF" w:themeColor="background1"/>
                <w:szCs w:val="24"/>
              </w:rPr>
              <w:t>4</w:t>
            </w:r>
          </w:p>
          <w:p w14:paraId="18F28AF3" w14:textId="6A964C28" w:rsidR="001C191E" w:rsidRPr="00D948C1" w:rsidRDefault="001C191E" w:rsidP="006C0086">
            <w:pPr>
              <w:spacing w:line="276" w:lineRule="auto"/>
              <w:jc w:val="right"/>
              <w:rPr>
                <w:color w:val="FFFFFF" w:themeColor="background1"/>
                <w:szCs w:val="24"/>
              </w:rPr>
            </w:pPr>
            <w:r w:rsidRPr="00D948C1">
              <w:rPr>
                <w:color w:val="FFFFFF" w:themeColor="background1"/>
                <w:szCs w:val="24"/>
              </w:rPr>
              <w:t>£00</w:t>
            </w:r>
            <w:r w:rsidR="00982FEC" w:rsidRPr="00D948C1">
              <w:rPr>
                <w:color w:val="FFFFFF" w:themeColor="background1"/>
                <w:szCs w:val="24"/>
              </w:rPr>
              <w:t>0</w:t>
            </w:r>
          </w:p>
        </w:tc>
        <w:tc>
          <w:tcPr>
            <w:tcW w:w="1280" w:type="dxa"/>
            <w:shd w:val="clear" w:color="auto" w:fill="BD2716"/>
            <w:vAlign w:val="center"/>
          </w:tcPr>
          <w:p w14:paraId="467700D3" w14:textId="77777777" w:rsidR="00853231" w:rsidRPr="00D948C1" w:rsidRDefault="00853231" w:rsidP="006C0086">
            <w:pPr>
              <w:spacing w:line="276" w:lineRule="auto"/>
              <w:jc w:val="right"/>
              <w:rPr>
                <w:color w:val="FFFFFF" w:themeColor="background1"/>
                <w:szCs w:val="24"/>
              </w:rPr>
            </w:pPr>
            <w:r w:rsidRPr="00D948C1">
              <w:rPr>
                <w:color w:val="FFFFFF" w:themeColor="background1"/>
                <w:szCs w:val="24"/>
              </w:rPr>
              <w:t>2022/23</w:t>
            </w:r>
          </w:p>
          <w:p w14:paraId="63E7520A" w14:textId="5E678620" w:rsidR="001C191E" w:rsidRPr="00D948C1" w:rsidRDefault="00853231" w:rsidP="006C0086">
            <w:pPr>
              <w:spacing w:line="276" w:lineRule="auto"/>
              <w:jc w:val="right"/>
              <w:rPr>
                <w:color w:val="FFFFFF" w:themeColor="background1"/>
                <w:szCs w:val="24"/>
              </w:rPr>
            </w:pPr>
            <w:r w:rsidRPr="00D948C1">
              <w:rPr>
                <w:color w:val="FFFFFF" w:themeColor="background1"/>
                <w:szCs w:val="24"/>
              </w:rPr>
              <w:t>£000</w:t>
            </w:r>
          </w:p>
        </w:tc>
      </w:tr>
      <w:tr w:rsidR="00AC5949" w:rsidRPr="00D948C1" w14:paraId="58F87DB9" w14:textId="77777777" w:rsidTr="003572E5">
        <w:trPr>
          <w:trHeight w:val="247"/>
        </w:trPr>
        <w:tc>
          <w:tcPr>
            <w:tcW w:w="8900" w:type="dxa"/>
            <w:gridSpan w:val="3"/>
            <w:shd w:val="clear" w:color="auto" w:fill="D9D9D9" w:themeFill="background1" w:themeFillShade="D9"/>
          </w:tcPr>
          <w:p w14:paraId="3F41C392" w14:textId="72EFE345" w:rsidR="00AC5949" w:rsidRPr="00D948C1" w:rsidRDefault="00AC5949" w:rsidP="006C0086">
            <w:pPr>
              <w:spacing w:line="276" w:lineRule="auto"/>
              <w:rPr>
                <w:b/>
                <w:bCs/>
                <w:snapToGrid w:val="0"/>
                <w:szCs w:val="24"/>
              </w:rPr>
            </w:pPr>
            <w:r w:rsidRPr="00D948C1">
              <w:rPr>
                <w:b/>
                <w:bCs/>
                <w:snapToGrid w:val="0"/>
                <w:szCs w:val="24"/>
              </w:rPr>
              <w:t>Net current assets and liabilities:</w:t>
            </w:r>
          </w:p>
        </w:tc>
      </w:tr>
      <w:tr w:rsidR="00853231" w:rsidRPr="00D948C1" w14:paraId="10B8EC4A" w14:textId="77777777" w:rsidTr="003572E5">
        <w:trPr>
          <w:trHeight w:val="556"/>
        </w:trPr>
        <w:tc>
          <w:tcPr>
            <w:tcW w:w="6207" w:type="dxa"/>
          </w:tcPr>
          <w:p w14:paraId="13B72DAC" w14:textId="6ABD0A1D" w:rsidR="00853231" w:rsidRPr="00D948C1" w:rsidRDefault="00853231" w:rsidP="006C0086">
            <w:pPr>
              <w:spacing w:line="276" w:lineRule="auto"/>
              <w:ind w:left="396" w:hanging="284"/>
              <w:rPr>
                <w:snapToGrid w:val="0"/>
                <w:szCs w:val="24"/>
              </w:rPr>
            </w:pPr>
            <w:r w:rsidRPr="00D948C1">
              <w:rPr>
                <w:snapToGrid w:val="0"/>
                <w:szCs w:val="24"/>
              </w:rPr>
              <w:t>- pensions top up grant receivable from central government</w:t>
            </w:r>
          </w:p>
        </w:tc>
        <w:tc>
          <w:tcPr>
            <w:tcW w:w="1413" w:type="dxa"/>
            <w:vAlign w:val="center"/>
          </w:tcPr>
          <w:p w14:paraId="755FDF8C" w14:textId="781B9A85" w:rsidR="00853231" w:rsidRPr="00D948C1" w:rsidRDefault="00853231" w:rsidP="006C0086">
            <w:pPr>
              <w:tabs>
                <w:tab w:val="decimal" w:pos="821"/>
              </w:tabs>
              <w:spacing w:line="276" w:lineRule="auto"/>
              <w:jc w:val="right"/>
              <w:rPr>
                <w:snapToGrid w:val="0"/>
                <w:szCs w:val="24"/>
              </w:rPr>
            </w:pPr>
            <w:r w:rsidRPr="00D948C1">
              <w:rPr>
                <w:snapToGrid w:val="0"/>
                <w:szCs w:val="24"/>
              </w:rPr>
              <w:t>(</w:t>
            </w:r>
            <w:r w:rsidR="002B5862" w:rsidRPr="00D948C1">
              <w:rPr>
                <w:snapToGrid w:val="0"/>
                <w:szCs w:val="24"/>
              </w:rPr>
              <w:t>5,541</w:t>
            </w:r>
            <w:r w:rsidRPr="00D948C1">
              <w:rPr>
                <w:snapToGrid w:val="0"/>
                <w:szCs w:val="24"/>
              </w:rPr>
              <w:t>)</w:t>
            </w:r>
          </w:p>
        </w:tc>
        <w:tc>
          <w:tcPr>
            <w:tcW w:w="1280" w:type="dxa"/>
            <w:vAlign w:val="center"/>
          </w:tcPr>
          <w:p w14:paraId="4E904BCE" w14:textId="158D7B4C" w:rsidR="00853231" w:rsidRPr="00D948C1" w:rsidRDefault="00853231" w:rsidP="006C0086">
            <w:pPr>
              <w:tabs>
                <w:tab w:val="decimal" w:pos="821"/>
              </w:tabs>
              <w:spacing w:line="276" w:lineRule="auto"/>
              <w:jc w:val="right"/>
              <w:rPr>
                <w:snapToGrid w:val="0"/>
                <w:szCs w:val="24"/>
              </w:rPr>
            </w:pPr>
            <w:r w:rsidRPr="00D948C1">
              <w:rPr>
                <w:snapToGrid w:val="0"/>
                <w:szCs w:val="24"/>
              </w:rPr>
              <w:t>(5,996)</w:t>
            </w:r>
          </w:p>
        </w:tc>
      </w:tr>
      <w:tr w:rsidR="00853231" w:rsidRPr="00D948C1" w14:paraId="765A9275" w14:textId="77777777" w:rsidTr="003572E5">
        <w:trPr>
          <w:trHeight w:val="556"/>
        </w:trPr>
        <w:tc>
          <w:tcPr>
            <w:tcW w:w="6207" w:type="dxa"/>
          </w:tcPr>
          <w:p w14:paraId="214D8D2E" w14:textId="7EF4EB51" w:rsidR="00853231" w:rsidRPr="00D948C1" w:rsidRDefault="00853231" w:rsidP="006C0086">
            <w:pPr>
              <w:spacing w:line="276" w:lineRule="auto"/>
              <w:ind w:left="396" w:hanging="284"/>
              <w:rPr>
                <w:snapToGrid w:val="0"/>
                <w:szCs w:val="24"/>
              </w:rPr>
            </w:pPr>
            <w:r w:rsidRPr="00D948C1">
              <w:rPr>
                <w:snapToGrid w:val="0"/>
                <w:szCs w:val="24"/>
              </w:rPr>
              <w:t>- other current assets and liabilities (other than liabilities and other than benefits in the future)</w:t>
            </w:r>
          </w:p>
        </w:tc>
        <w:tc>
          <w:tcPr>
            <w:tcW w:w="1413" w:type="dxa"/>
            <w:vAlign w:val="center"/>
          </w:tcPr>
          <w:p w14:paraId="372DDD53" w14:textId="220A8E69" w:rsidR="00853231" w:rsidRPr="00D948C1" w:rsidRDefault="002B5862" w:rsidP="006C0086">
            <w:pPr>
              <w:tabs>
                <w:tab w:val="decimal" w:pos="1104"/>
              </w:tabs>
              <w:spacing w:line="276" w:lineRule="auto"/>
              <w:jc w:val="right"/>
              <w:rPr>
                <w:snapToGrid w:val="0"/>
                <w:szCs w:val="24"/>
              </w:rPr>
            </w:pPr>
            <w:r w:rsidRPr="00D948C1">
              <w:rPr>
                <w:snapToGrid w:val="0"/>
                <w:szCs w:val="24"/>
              </w:rPr>
              <w:t>5</w:t>
            </w:r>
            <w:r w:rsidR="00CF7C24" w:rsidRPr="00D948C1">
              <w:rPr>
                <w:snapToGrid w:val="0"/>
                <w:szCs w:val="24"/>
              </w:rPr>
              <w:t>,</w:t>
            </w:r>
            <w:r w:rsidRPr="00D948C1">
              <w:rPr>
                <w:snapToGrid w:val="0"/>
                <w:szCs w:val="24"/>
              </w:rPr>
              <w:t>541</w:t>
            </w:r>
          </w:p>
        </w:tc>
        <w:tc>
          <w:tcPr>
            <w:tcW w:w="1280" w:type="dxa"/>
            <w:vAlign w:val="center"/>
          </w:tcPr>
          <w:p w14:paraId="479D3DD9" w14:textId="2DC56D25" w:rsidR="00853231" w:rsidRPr="00D948C1" w:rsidRDefault="00853231" w:rsidP="006C0086">
            <w:pPr>
              <w:tabs>
                <w:tab w:val="decimal" w:pos="1104"/>
              </w:tabs>
              <w:spacing w:line="276" w:lineRule="auto"/>
              <w:jc w:val="right"/>
              <w:rPr>
                <w:snapToGrid w:val="0"/>
                <w:szCs w:val="24"/>
              </w:rPr>
            </w:pPr>
            <w:r w:rsidRPr="00D948C1">
              <w:rPr>
                <w:snapToGrid w:val="0"/>
                <w:szCs w:val="24"/>
              </w:rPr>
              <w:t>5,996</w:t>
            </w:r>
          </w:p>
        </w:tc>
      </w:tr>
      <w:tr w:rsidR="00853231" w:rsidRPr="00D948C1" w14:paraId="164910DE" w14:textId="77777777" w:rsidTr="003572E5">
        <w:trPr>
          <w:trHeight w:val="278"/>
        </w:trPr>
        <w:tc>
          <w:tcPr>
            <w:tcW w:w="6207" w:type="dxa"/>
          </w:tcPr>
          <w:p w14:paraId="1E2FCD06" w14:textId="24E46DBF" w:rsidR="00853231" w:rsidRPr="00D948C1" w:rsidRDefault="00853231" w:rsidP="006C0086">
            <w:pPr>
              <w:spacing w:line="276" w:lineRule="auto"/>
              <w:ind w:left="396" w:hanging="284"/>
              <w:rPr>
                <w:snapToGrid w:val="0"/>
                <w:szCs w:val="24"/>
              </w:rPr>
            </w:pPr>
            <w:r w:rsidRPr="00D948C1">
              <w:rPr>
                <w:b/>
                <w:snapToGrid w:val="0"/>
                <w:szCs w:val="24"/>
              </w:rPr>
              <w:t>Net current assets at the end of the year</w:t>
            </w:r>
          </w:p>
        </w:tc>
        <w:tc>
          <w:tcPr>
            <w:tcW w:w="1413" w:type="dxa"/>
            <w:vAlign w:val="center"/>
          </w:tcPr>
          <w:p w14:paraId="2AD92D42" w14:textId="6A52F4C7" w:rsidR="00853231" w:rsidRPr="00D948C1" w:rsidRDefault="00853231" w:rsidP="006C0086">
            <w:pPr>
              <w:tabs>
                <w:tab w:val="decimal" w:pos="962"/>
                <w:tab w:val="decimal" w:pos="1104"/>
              </w:tabs>
              <w:spacing w:line="276" w:lineRule="auto"/>
              <w:jc w:val="right"/>
              <w:rPr>
                <w:snapToGrid w:val="0"/>
                <w:szCs w:val="24"/>
              </w:rPr>
            </w:pPr>
            <w:r w:rsidRPr="00D948C1">
              <w:rPr>
                <w:b/>
                <w:snapToGrid w:val="0"/>
                <w:szCs w:val="24"/>
              </w:rPr>
              <w:t>-</w:t>
            </w:r>
          </w:p>
        </w:tc>
        <w:tc>
          <w:tcPr>
            <w:tcW w:w="1280" w:type="dxa"/>
            <w:vAlign w:val="center"/>
          </w:tcPr>
          <w:p w14:paraId="5C0711F7" w14:textId="2E2EF9A0" w:rsidR="00853231" w:rsidRPr="00D948C1" w:rsidRDefault="00853231" w:rsidP="006C0086">
            <w:pPr>
              <w:tabs>
                <w:tab w:val="decimal" w:pos="962"/>
                <w:tab w:val="decimal" w:pos="1103"/>
              </w:tabs>
              <w:spacing w:line="276" w:lineRule="auto"/>
              <w:jc w:val="right"/>
              <w:rPr>
                <w:snapToGrid w:val="0"/>
                <w:szCs w:val="24"/>
              </w:rPr>
            </w:pPr>
            <w:r w:rsidRPr="00D948C1">
              <w:rPr>
                <w:b/>
                <w:snapToGrid w:val="0"/>
                <w:szCs w:val="24"/>
              </w:rPr>
              <w:t>-</w:t>
            </w:r>
          </w:p>
        </w:tc>
      </w:tr>
    </w:tbl>
    <w:p w14:paraId="729C40D0" w14:textId="77777777" w:rsidR="00D90216" w:rsidRPr="00D948C1" w:rsidRDefault="00D90216" w:rsidP="006C0086">
      <w:pPr>
        <w:spacing w:line="276" w:lineRule="auto"/>
        <w:rPr>
          <w:sz w:val="22"/>
        </w:rPr>
      </w:pPr>
      <w:r w:rsidRPr="00D948C1">
        <w:rPr>
          <w:sz w:val="22"/>
        </w:rPr>
        <w:br w:type="page"/>
      </w:r>
    </w:p>
    <w:p w14:paraId="6F6F5176" w14:textId="77777777" w:rsidR="00D90216" w:rsidRPr="00D948C1" w:rsidRDefault="00D90216" w:rsidP="006C0086">
      <w:pPr>
        <w:spacing w:line="276" w:lineRule="auto"/>
        <w:rPr>
          <w:b/>
          <w:szCs w:val="24"/>
        </w:rPr>
      </w:pPr>
      <w:r w:rsidRPr="00D948C1">
        <w:rPr>
          <w:b/>
          <w:szCs w:val="24"/>
        </w:rPr>
        <w:lastRenderedPageBreak/>
        <w:t>Firefighters Pension Fund Notes</w:t>
      </w:r>
    </w:p>
    <w:p w14:paraId="1C951D45" w14:textId="77777777" w:rsidR="00D90216" w:rsidRPr="00D948C1" w:rsidRDefault="00D90216" w:rsidP="006C0086">
      <w:pPr>
        <w:spacing w:line="276" w:lineRule="auto"/>
        <w:rPr>
          <w:b/>
          <w:szCs w:val="24"/>
        </w:rPr>
      </w:pPr>
    </w:p>
    <w:p w14:paraId="1F90AE38" w14:textId="65F486D4" w:rsidR="00D90216" w:rsidRPr="00D948C1" w:rsidRDefault="00D90216" w:rsidP="006C0086">
      <w:pPr>
        <w:spacing w:line="276" w:lineRule="auto"/>
        <w:rPr>
          <w:szCs w:val="24"/>
        </w:rPr>
      </w:pPr>
      <w:r w:rsidRPr="00D948C1">
        <w:rPr>
          <w:szCs w:val="24"/>
        </w:rPr>
        <w:t xml:space="preserve">The </w:t>
      </w:r>
      <w:r w:rsidR="009C1C8D" w:rsidRPr="00D948C1">
        <w:rPr>
          <w:szCs w:val="24"/>
        </w:rPr>
        <w:t xml:space="preserve">four </w:t>
      </w:r>
      <w:r w:rsidRPr="00D948C1">
        <w:rPr>
          <w:szCs w:val="24"/>
        </w:rPr>
        <w:t xml:space="preserve">firefighters pension schemes </w:t>
      </w:r>
      <w:r w:rsidR="009C1C8D" w:rsidRPr="00D948C1">
        <w:rPr>
          <w:szCs w:val="24"/>
        </w:rPr>
        <w:t xml:space="preserve">(1992 scheme, 2006 scheme, special members of the 2006 scheme and 2015 scheme) </w:t>
      </w:r>
      <w:r w:rsidRPr="00D948C1">
        <w:rPr>
          <w:szCs w:val="24"/>
        </w:rPr>
        <w:t xml:space="preserve">are unfunded defined benefits schemes, meaning that there </w:t>
      </w:r>
      <w:proofErr w:type="gramStart"/>
      <w:r w:rsidRPr="00D948C1">
        <w:rPr>
          <w:szCs w:val="24"/>
        </w:rPr>
        <w:t>are</w:t>
      </w:r>
      <w:proofErr w:type="gramEnd"/>
      <w:r w:rsidRPr="00D948C1">
        <w:rPr>
          <w:szCs w:val="24"/>
        </w:rPr>
        <w:t xml:space="preserve"> no investment assets built up to meet the pensions liabilities, and cash </w:t>
      </w:r>
      <w:r w:rsidR="0094180B" w:rsidRPr="00D948C1">
        <w:rPr>
          <w:szCs w:val="24"/>
        </w:rPr>
        <w:t>must</w:t>
      </w:r>
      <w:r w:rsidRPr="00D948C1">
        <w:rPr>
          <w:szCs w:val="24"/>
        </w:rPr>
        <w:t xml:space="preserve"> be generated to meet the actual pension payments as they fall due. The Authority makes employers contributions into the schemes and the balance of funding required after pension payments are made is received from </w:t>
      </w:r>
      <w:r w:rsidRPr="00D948C1">
        <w:rPr>
          <w:snapToGrid w:val="0"/>
          <w:szCs w:val="24"/>
        </w:rPr>
        <w:t>central government</w:t>
      </w:r>
      <w:r w:rsidRPr="00D948C1">
        <w:rPr>
          <w:szCs w:val="24"/>
        </w:rPr>
        <w:t>.</w:t>
      </w:r>
    </w:p>
    <w:p w14:paraId="0C785F22" w14:textId="77777777" w:rsidR="00D90216" w:rsidRPr="00D948C1" w:rsidRDefault="00D90216" w:rsidP="006C0086">
      <w:pPr>
        <w:spacing w:line="276" w:lineRule="auto"/>
        <w:rPr>
          <w:szCs w:val="24"/>
        </w:rPr>
      </w:pPr>
    </w:p>
    <w:p w14:paraId="00E64517" w14:textId="56BA3773" w:rsidR="00D90216" w:rsidRPr="00D948C1" w:rsidRDefault="00D90216" w:rsidP="006C0086">
      <w:pPr>
        <w:spacing w:line="276" w:lineRule="auto"/>
        <w:rPr>
          <w:szCs w:val="24"/>
        </w:rPr>
      </w:pPr>
      <w:r w:rsidRPr="00D948C1">
        <w:rPr>
          <w:szCs w:val="24"/>
        </w:rPr>
        <w:t xml:space="preserve">The above statement shows the financial position of the </w:t>
      </w:r>
      <w:r w:rsidR="00F05F09" w:rsidRPr="00D948C1">
        <w:rPr>
          <w:szCs w:val="24"/>
        </w:rPr>
        <w:t>total</w:t>
      </w:r>
      <w:r w:rsidRPr="00D948C1">
        <w:rPr>
          <w:szCs w:val="24"/>
        </w:rPr>
        <w:t xml:space="preserve"> fire fighters pension fund account, showing that as </w:t>
      </w:r>
      <w:proofErr w:type="gramStart"/>
      <w:r w:rsidRPr="00D948C1">
        <w:rPr>
          <w:szCs w:val="24"/>
        </w:rPr>
        <w:t>at</w:t>
      </w:r>
      <w:proofErr w:type="gramEnd"/>
      <w:r w:rsidRPr="00D948C1">
        <w:rPr>
          <w:szCs w:val="24"/>
        </w:rPr>
        <w:t xml:space="preserve"> 31 March 20</w:t>
      </w:r>
      <w:r w:rsidR="00B0722C" w:rsidRPr="00D948C1">
        <w:rPr>
          <w:szCs w:val="24"/>
        </w:rPr>
        <w:t>2</w:t>
      </w:r>
      <w:r w:rsidR="00853231" w:rsidRPr="00D948C1">
        <w:rPr>
          <w:szCs w:val="24"/>
        </w:rPr>
        <w:t>4</w:t>
      </w:r>
      <w:r w:rsidRPr="00D948C1">
        <w:rPr>
          <w:szCs w:val="24"/>
        </w:rPr>
        <w:t xml:space="preserve"> the Authority is owed £</w:t>
      </w:r>
      <w:r w:rsidR="00E87DB3" w:rsidRPr="00D948C1">
        <w:rPr>
          <w:szCs w:val="24"/>
        </w:rPr>
        <w:t>5.</w:t>
      </w:r>
      <w:r w:rsidR="002B5862" w:rsidRPr="00D948C1">
        <w:rPr>
          <w:szCs w:val="24"/>
        </w:rPr>
        <w:t>541</w:t>
      </w:r>
      <w:r w:rsidRPr="00D948C1">
        <w:rPr>
          <w:szCs w:val="24"/>
        </w:rPr>
        <w:t xml:space="preserve">m </w:t>
      </w:r>
      <w:r w:rsidR="00383862" w:rsidRPr="00D948C1">
        <w:rPr>
          <w:szCs w:val="24"/>
        </w:rPr>
        <w:t>(20</w:t>
      </w:r>
      <w:r w:rsidR="00CF111B" w:rsidRPr="00D948C1">
        <w:rPr>
          <w:szCs w:val="24"/>
        </w:rPr>
        <w:t>2</w:t>
      </w:r>
      <w:r w:rsidR="00853231" w:rsidRPr="00D948C1">
        <w:rPr>
          <w:szCs w:val="24"/>
        </w:rPr>
        <w:t>2</w:t>
      </w:r>
      <w:r w:rsidR="00CF111B" w:rsidRPr="00D948C1">
        <w:rPr>
          <w:szCs w:val="24"/>
        </w:rPr>
        <w:t>/2</w:t>
      </w:r>
      <w:r w:rsidR="00853231" w:rsidRPr="00D948C1">
        <w:rPr>
          <w:szCs w:val="24"/>
        </w:rPr>
        <w:t>3</w:t>
      </w:r>
      <w:r w:rsidR="00383862" w:rsidRPr="00D948C1">
        <w:rPr>
          <w:szCs w:val="24"/>
        </w:rPr>
        <w:t>: £</w:t>
      </w:r>
      <w:r w:rsidR="00FD216A" w:rsidRPr="00D948C1">
        <w:rPr>
          <w:szCs w:val="24"/>
        </w:rPr>
        <w:t>5.</w:t>
      </w:r>
      <w:r w:rsidR="00853231" w:rsidRPr="00D948C1">
        <w:rPr>
          <w:szCs w:val="24"/>
        </w:rPr>
        <w:t>99</w:t>
      </w:r>
      <w:r w:rsidR="00FD216A" w:rsidRPr="00D948C1">
        <w:rPr>
          <w:szCs w:val="24"/>
        </w:rPr>
        <w:t>6m</w:t>
      </w:r>
      <w:r w:rsidR="00383862" w:rsidRPr="00D948C1">
        <w:rPr>
          <w:szCs w:val="24"/>
        </w:rPr>
        <w:t xml:space="preserve">) </w:t>
      </w:r>
      <w:r w:rsidRPr="00D948C1">
        <w:rPr>
          <w:szCs w:val="24"/>
        </w:rPr>
        <w:t xml:space="preserve">by the </w:t>
      </w:r>
      <w:r w:rsidR="00153A2A" w:rsidRPr="00D948C1">
        <w:rPr>
          <w:szCs w:val="24"/>
        </w:rPr>
        <w:t>Home Office</w:t>
      </w:r>
      <w:r w:rsidRPr="00D948C1">
        <w:rPr>
          <w:szCs w:val="24"/>
        </w:rPr>
        <w:t xml:space="preserve"> in order to balance the account. The fund statements do not take account of liabilities after the period end, the Authority’s long</w:t>
      </w:r>
      <w:r w:rsidR="00A16368" w:rsidRPr="00D948C1">
        <w:rPr>
          <w:szCs w:val="24"/>
        </w:rPr>
        <w:t>-</w:t>
      </w:r>
      <w:r w:rsidRPr="00D948C1">
        <w:rPr>
          <w:szCs w:val="24"/>
        </w:rPr>
        <w:t xml:space="preserve">term pension obligations can be found in the Authority’s main </w:t>
      </w:r>
      <w:r w:rsidR="0094180B" w:rsidRPr="00D948C1">
        <w:rPr>
          <w:szCs w:val="24"/>
        </w:rPr>
        <w:t>statements and</w:t>
      </w:r>
      <w:r w:rsidRPr="00D948C1">
        <w:rPr>
          <w:szCs w:val="24"/>
        </w:rPr>
        <w:t xml:space="preserve"> </w:t>
      </w:r>
      <w:hyperlink w:anchor="N15" w:history="1">
        <w:r w:rsidR="00250205" w:rsidRPr="00D948C1">
          <w:rPr>
            <w:rStyle w:val="Hyperlink"/>
            <w:szCs w:val="24"/>
          </w:rPr>
          <w:t>N</w:t>
        </w:r>
        <w:r w:rsidRPr="00D948C1">
          <w:rPr>
            <w:rStyle w:val="Hyperlink"/>
            <w:szCs w:val="24"/>
          </w:rPr>
          <w:t xml:space="preserve">ote </w:t>
        </w:r>
        <w:r w:rsidR="007D318A" w:rsidRPr="00D948C1">
          <w:rPr>
            <w:rStyle w:val="Hyperlink"/>
            <w:szCs w:val="24"/>
          </w:rPr>
          <w:t>1</w:t>
        </w:r>
        <w:r w:rsidR="0096743B" w:rsidRPr="00D948C1">
          <w:rPr>
            <w:rStyle w:val="Hyperlink"/>
            <w:szCs w:val="24"/>
          </w:rPr>
          <w:t>5</w:t>
        </w:r>
      </w:hyperlink>
      <w:r w:rsidRPr="00D948C1">
        <w:rPr>
          <w:szCs w:val="24"/>
        </w:rPr>
        <w:t xml:space="preserve"> to the accounts. The fund was established under the Firefighters’ Pension Scheme (Amendment) (England) Order 2006. The statement was prepared according to International Financial Reporting Standards (IFRS)</w:t>
      </w:r>
      <w:r w:rsidR="00383862" w:rsidRPr="00D948C1">
        <w:rPr>
          <w:szCs w:val="24"/>
        </w:rPr>
        <w:t>.</w:t>
      </w:r>
    </w:p>
    <w:p w14:paraId="1CF53D81" w14:textId="77777777" w:rsidR="00383862" w:rsidRPr="00D948C1" w:rsidRDefault="00383862" w:rsidP="006C0086">
      <w:pPr>
        <w:spacing w:line="276" w:lineRule="auto"/>
        <w:rPr>
          <w:szCs w:val="24"/>
        </w:rPr>
      </w:pPr>
    </w:p>
    <w:p w14:paraId="07452F8C" w14:textId="690F81E2" w:rsidR="00D90216" w:rsidRPr="00D948C1" w:rsidRDefault="00D90216" w:rsidP="006C0086">
      <w:pPr>
        <w:spacing w:line="276" w:lineRule="auto"/>
        <w:rPr>
          <w:szCs w:val="24"/>
        </w:rPr>
      </w:pPr>
      <w:r w:rsidRPr="00D948C1">
        <w:rPr>
          <w:szCs w:val="24"/>
        </w:rPr>
        <w:t xml:space="preserve">The note has been prepared in line with general accounting policies set in </w:t>
      </w:r>
      <w:hyperlink w:anchor="N29" w:history="1">
        <w:r w:rsidRPr="00D948C1">
          <w:rPr>
            <w:rStyle w:val="Hyperlink"/>
            <w:szCs w:val="24"/>
          </w:rPr>
          <w:t xml:space="preserve">Note </w:t>
        </w:r>
        <w:r w:rsidR="00970877" w:rsidRPr="00D948C1">
          <w:rPr>
            <w:rStyle w:val="Hyperlink"/>
            <w:szCs w:val="24"/>
          </w:rPr>
          <w:t>29</w:t>
        </w:r>
      </w:hyperlink>
      <w:r w:rsidR="00970877" w:rsidRPr="00D948C1">
        <w:rPr>
          <w:szCs w:val="24"/>
        </w:rPr>
        <w:t xml:space="preserve"> </w:t>
      </w:r>
      <w:r w:rsidRPr="00D948C1">
        <w:rPr>
          <w:szCs w:val="24"/>
        </w:rPr>
        <w:t xml:space="preserve">– accounting policies, in particular </w:t>
      </w:r>
      <w:r w:rsidR="00DD3B97" w:rsidRPr="00D948C1">
        <w:rPr>
          <w:szCs w:val="24"/>
        </w:rPr>
        <w:t xml:space="preserve">section </w:t>
      </w:r>
      <w:r w:rsidR="005F5C95" w:rsidRPr="00D948C1">
        <w:rPr>
          <w:szCs w:val="24"/>
        </w:rPr>
        <w:t>e</w:t>
      </w:r>
      <w:r w:rsidRPr="00D948C1">
        <w:rPr>
          <w:szCs w:val="24"/>
        </w:rPr>
        <w:t>.</w:t>
      </w:r>
    </w:p>
    <w:p w14:paraId="043DB6E3" w14:textId="77777777" w:rsidR="00D90216" w:rsidRPr="00D948C1" w:rsidRDefault="00D90216" w:rsidP="006C0086">
      <w:pPr>
        <w:spacing w:line="276" w:lineRule="auto"/>
        <w:rPr>
          <w:szCs w:val="24"/>
        </w:rPr>
      </w:pPr>
    </w:p>
    <w:p w14:paraId="4E9DD3F4" w14:textId="77777777" w:rsidR="00D90216" w:rsidRPr="00D948C1" w:rsidRDefault="00D90216" w:rsidP="006C0086">
      <w:pPr>
        <w:spacing w:line="276" w:lineRule="auto"/>
        <w:ind w:right="-52"/>
        <w:rPr>
          <w:rFonts w:cs="Arial"/>
          <w:szCs w:val="24"/>
          <w:lang w:eastAsia="en-GB"/>
        </w:rPr>
      </w:pPr>
      <w:r w:rsidRPr="00D948C1">
        <w:rPr>
          <w:rFonts w:cs="Arial"/>
          <w:szCs w:val="24"/>
          <w:u w:val="single"/>
          <w:lang w:eastAsia="en-GB"/>
        </w:rPr>
        <w:t>Contribution Rates</w:t>
      </w:r>
      <w:r w:rsidRPr="00D948C1">
        <w:rPr>
          <w:rFonts w:cs="Arial"/>
          <w:szCs w:val="24"/>
          <w:lang w:eastAsia="en-GB"/>
        </w:rPr>
        <w:t xml:space="preserve"> </w:t>
      </w:r>
    </w:p>
    <w:p w14:paraId="6929FA61" w14:textId="18170DAE" w:rsidR="00633424" w:rsidRPr="00D948C1" w:rsidRDefault="00D35AD6" w:rsidP="006C0086">
      <w:pPr>
        <w:spacing w:line="276" w:lineRule="auto"/>
        <w:ind w:right="-52"/>
        <w:rPr>
          <w:rFonts w:cs="Arial"/>
          <w:szCs w:val="24"/>
          <w:lang w:eastAsia="en-GB"/>
        </w:rPr>
      </w:pPr>
      <w:r w:rsidRPr="00D948C1">
        <w:rPr>
          <w:rFonts w:cs="Arial"/>
          <w:szCs w:val="24"/>
          <w:lang w:eastAsia="en-GB"/>
        </w:rPr>
        <w:t xml:space="preserve">To remove future discrimination and ensure equal treatment, all remaining protected members in the 1992 and 2006 scheme were transferred to the 2015 scheme on the </w:t>
      </w:r>
      <w:proofErr w:type="gramStart"/>
      <w:r w:rsidRPr="00D948C1">
        <w:rPr>
          <w:rFonts w:cs="Arial"/>
          <w:szCs w:val="24"/>
          <w:lang w:eastAsia="en-GB"/>
        </w:rPr>
        <w:t>1</w:t>
      </w:r>
      <w:r w:rsidRPr="00D948C1">
        <w:rPr>
          <w:rFonts w:cs="Arial"/>
          <w:szCs w:val="24"/>
          <w:vertAlign w:val="superscript"/>
          <w:lang w:eastAsia="en-GB"/>
        </w:rPr>
        <w:t>st</w:t>
      </w:r>
      <w:proofErr w:type="gramEnd"/>
      <w:r w:rsidRPr="00D948C1">
        <w:rPr>
          <w:rFonts w:cs="Arial"/>
          <w:szCs w:val="24"/>
          <w:lang w:eastAsia="en-GB"/>
        </w:rPr>
        <w:t xml:space="preserve"> April 2022. For the 2015 Firefighter pension scheme employer contributions are 28.8% and employees contribute </w:t>
      </w:r>
      <w:r w:rsidR="003D0845" w:rsidRPr="00D948C1">
        <w:rPr>
          <w:rFonts w:cs="Arial"/>
          <w:szCs w:val="24"/>
          <w:lang w:eastAsia="en-GB"/>
        </w:rPr>
        <w:t>between 1</w:t>
      </w:r>
      <w:r w:rsidR="00060022" w:rsidRPr="00D948C1">
        <w:rPr>
          <w:rFonts w:cs="Arial"/>
          <w:szCs w:val="24"/>
          <w:lang w:eastAsia="en-GB"/>
        </w:rPr>
        <w:t>1.0</w:t>
      </w:r>
      <w:r w:rsidR="003D0845" w:rsidRPr="00D948C1">
        <w:rPr>
          <w:rFonts w:cs="Arial"/>
          <w:szCs w:val="24"/>
          <w:lang w:eastAsia="en-GB"/>
        </w:rPr>
        <w:t>% and 14.5% dependent on salary</w:t>
      </w:r>
      <w:r w:rsidRPr="00D948C1">
        <w:rPr>
          <w:rFonts w:cs="Arial"/>
          <w:szCs w:val="24"/>
          <w:lang w:eastAsia="en-GB"/>
        </w:rPr>
        <w:t>.</w:t>
      </w:r>
    </w:p>
    <w:p w14:paraId="0A77542D" w14:textId="77777777" w:rsidR="00633424" w:rsidRPr="00D948C1" w:rsidRDefault="00633424" w:rsidP="006C0086">
      <w:pPr>
        <w:spacing w:line="276" w:lineRule="auto"/>
        <w:ind w:right="-52"/>
        <w:rPr>
          <w:rFonts w:cs="Arial"/>
          <w:szCs w:val="24"/>
          <w:lang w:eastAsia="en-GB"/>
        </w:rPr>
      </w:pPr>
    </w:p>
    <w:p w14:paraId="1EE4FC45" w14:textId="1265C674" w:rsidR="00D90216" w:rsidRPr="00D948C1" w:rsidRDefault="00D90216" w:rsidP="006C0086">
      <w:pPr>
        <w:spacing w:line="276" w:lineRule="auto"/>
        <w:ind w:right="-52"/>
        <w:rPr>
          <w:rFonts w:cs="Arial"/>
          <w:szCs w:val="24"/>
          <w:lang w:eastAsia="en-GB"/>
        </w:rPr>
      </w:pPr>
      <w:r w:rsidRPr="00D948C1">
        <w:rPr>
          <w:rFonts w:cs="Arial"/>
          <w:szCs w:val="24"/>
          <w:lang w:eastAsia="en-GB"/>
        </w:rPr>
        <w:t xml:space="preserve">These contribution levels are set nationally by the </w:t>
      </w:r>
      <w:r w:rsidR="00A16368" w:rsidRPr="00D948C1">
        <w:rPr>
          <w:rFonts w:cs="Arial"/>
          <w:szCs w:val="24"/>
          <w:lang w:eastAsia="en-GB"/>
        </w:rPr>
        <w:t>Government and</w:t>
      </w:r>
      <w:r w:rsidRPr="00D948C1">
        <w:rPr>
          <w:rFonts w:cs="Arial"/>
          <w:szCs w:val="24"/>
          <w:lang w:eastAsia="en-GB"/>
        </w:rPr>
        <w:t xml:space="preserve"> are subject to triennial revaluations by the Government Actuary’s Department</w:t>
      </w:r>
      <w:r w:rsidR="00406AB0" w:rsidRPr="00D948C1">
        <w:rPr>
          <w:rFonts w:cs="Arial"/>
          <w:szCs w:val="24"/>
          <w:lang w:eastAsia="en-GB"/>
        </w:rPr>
        <w:t xml:space="preserve">. </w:t>
      </w:r>
      <w:r w:rsidR="004D2F80" w:rsidRPr="00D948C1">
        <w:rPr>
          <w:rFonts w:cs="Arial"/>
          <w:szCs w:val="24"/>
          <w:lang w:eastAsia="en-GB"/>
        </w:rPr>
        <w:t>Two</w:t>
      </w:r>
      <w:r w:rsidR="008D1BDB" w:rsidRPr="00D948C1">
        <w:rPr>
          <w:rFonts w:cs="Arial"/>
          <w:szCs w:val="24"/>
          <w:lang w:eastAsia="en-GB"/>
        </w:rPr>
        <w:t xml:space="preserve"> </w:t>
      </w:r>
      <w:r w:rsidRPr="00D948C1">
        <w:rPr>
          <w:rFonts w:cs="Arial"/>
          <w:szCs w:val="24"/>
          <w:lang w:eastAsia="en-GB"/>
        </w:rPr>
        <w:t>ill health retiremen</w:t>
      </w:r>
      <w:r w:rsidR="00F55B1C" w:rsidRPr="00D948C1">
        <w:rPr>
          <w:rFonts w:cs="Arial"/>
          <w:szCs w:val="24"/>
          <w:lang w:eastAsia="en-GB"/>
        </w:rPr>
        <w:t>t</w:t>
      </w:r>
      <w:r w:rsidR="00406AB0" w:rsidRPr="00D948C1">
        <w:rPr>
          <w:rFonts w:cs="Arial"/>
          <w:szCs w:val="24"/>
          <w:lang w:eastAsia="en-GB"/>
        </w:rPr>
        <w:t xml:space="preserve"> w</w:t>
      </w:r>
      <w:r w:rsidR="00E87DB3" w:rsidRPr="00D948C1">
        <w:rPr>
          <w:rFonts w:cs="Arial"/>
          <w:szCs w:val="24"/>
          <w:lang w:eastAsia="en-GB"/>
        </w:rPr>
        <w:t>as</w:t>
      </w:r>
      <w:r w:rsidR="00406AB0" w:rsidRPr="00D948C1">
        <w:rPr>
          <w:rFonts w:cs="Arial"/>
          <w:szCs w:val="24"/>
          <w:lang w:eastAsia="en-GB"/>
        </w:rPr>
        <w:t xml:space="preserve"> recognised</w:t>
      </w:r>
      <w:r w:rsidRPr="00D948C1">
        <w:rPr>
          <w:rFonts w:cs="Arial"/>
          <w:szCs w:val="24"/>
          <w:lang w:eastAsia="en-GB"/>
        </w:rPr>
        <w:t xml:space="preserve"> during </w:t>
      </w:r>
      <w:r w:rsidR="00421B3D" w:rsidRPr="00D948C1">
        <w:rPr>
          <w:rFonts w:cs="Arial"/>
          <w:szCs w:val="24"/>
          <w:lang w:eastAsia="en-GB"/>
        </w:rPr>
        <w:t>20</w:t>
      </w:r>
      <w:r w:rsidR="009F53C2" w:rsidRPr="00D948C1">
        <w:rPr>
          <w:rFonts w:cs="Arial"/>
          <w:szCs w:val="24"/>
          <w:lang w:eastAsia="en-GB"/>
        </w:rPr>
        <w:t>2</w:t>
      </w:r>
      <w:r w:rsidR="004D2F80" w:rsidRPr="00D948C1">
        <w:rPr>
          <w:rFonts w:cs="Arial"/>
          <w:szCs w:val="24"/>
          <w:lang w:eastAsia="en-GB"/>
        </w:rPr>
        <w:t>3</w:t>
      </w:r>
      <w:r w:rsidR="00517AFF" w:rsidRPr="00D948C1">
        <w:rPr>
          <w:rFonts w:cs="Arial"/>
          <w:szCs w:val="24"/>
          <w:lang w:eastAsia="en-GB"/>
        </w:rPr>
        <w:t>/2</w:t>
      </w:r>
      <w:r w:rsidR="004D2F80" w:rsidRPr="00D948C1">
        <w:rPr>
          <w:rFonts w:cs="Arial"/>
          <w:szCs w:val="24"/>
          <w:lang w:eastAsia="en-GB"/>
        </w:rPr>
        <w:t>4</w:t>
      </w:r>
      <w:r w:rsidR="00421B3D" w:rsidRPr="00D948C1">
        <w:rPr>
          <w:rFonts w:cs="Arial"/>
          <w:szCs w:val="24"/>
          <w:lang w:eastAsia="en-GB"/>
        </w:rPr>
        <w:t xml:space="preserve">, and </w:t>
      </w:r>
      <w:r w:rsidR="00517AFF" w:rsidRPr="00D948C1">
        <w:rPr>
          <w:rFonts w:cs="Arial"/>
          <w:szCs w:val="24"/>
          <w:lang w:eastAsia="en-GB"/>
        </w:rPr>
        <w:t>one</w:t>
      </w:r>
      <w:r w:rsidR="00421B3D" w:rsidRPr="00D948C1">
        <w:rPr>
          <w:rFonts w:cs="Arial"/>
          <w:szCs w:val="24"/>
          <w:lang w:eastAsia="en-GB"/>
        </w:rPr>
        <w:t xml:space="preserve"> in </w:t>
      </w:r>
      <w:r w:rsidRPr="00D948C1">
        <w:rPr>
          <w:rFonts w:cs="Arial"/>
          <w:szCs w:val="24"/>
          <w:lang w:eastAsia="en-GB"/>
        </w:rPr>
        <w:t>20</w:t>
      </w:r>
      <w:r w:rsidR="00CF111B" w:rsidRPr="00D948C1">
        <w:rPr>
          <w:rFonts w:cs="Arial"/>
          <w:szCs w:val="24"/>
          <w:lang w:eastAsia="en-GB"/>
        </w:rPr>
        <w:t>2</w:t>
      </w:r>
      <w:r w:rsidR="00853231" w:rsidRPr="00D948C1">
        <w:rPr>
          <w:rFonts w:cs="Arial"/>
          <w:szCs w:val="24"/>
          <w:lang w:eastAsia="en-GB"/>
        </w:rPr>
        <w:t>2</w:t>
      </w:r>
      <w:r w:rsidR="00517AFF" w:rsidRPr="00D948C1">
        <w:rPr>
          <w:rFonts w:cs="Arial"/>
          <w:szCs w:val="24"/>
          <w:lang w:eastAsia="en-GB"/>
        </w:rPr>
        <w:t>/2</w:t>
      </w:r>
      <w:r w:rsidR="00853231" w:rsidRPr="00D948C1">
        <w:rPr>
          <w:rFonts w:cs="Arial"/>
          <w:szCs w:val="24"/>
          <w:lang w:eastAsia="en-GB"/>
        </w:rPr>
        <w:t>3</w:t>
      </w:r>
      <w:r w:rsidRPr="00D948C1">
        <w:rPr>
          <w:rFonts w:cs="Arial"/>
          <w:szCs w:val="24"/>
          <w:lang w:eastAsia="en-GB"/>
        </w:rPr>
        <w:t>.</w:t>
      </w:r>
    </w:p>
    <w:p w14:paraId="51AEA634" w14:textId="77777777" w:rsidR="00D90216" w:rsidRPr="00D948C1" w:rsidRDefault="00D90216" w:rsidP="006C0086">
      <w:pPr>
        <w:spacing w:line="276" w:lineRule="auto"/>
        <w:ind w:left="284" w:right="-52"/>
        <w:rPr>
          <w:rFonts w:cs="Arial"/>
          <w:szCs w:val="24"/>
          <w:lang w:eastAsia="en-GB"/>
        </w:rPr>
      </w:pPr>
    </w:p>
    <w:p w14:paraId="342AE924" w14:textId="77777777" w:rsidR="00D90216" w:rsidRPr="00D948C1" w:rsidRDefault="00D90216" w:rsidP="006C0086">
      <w:pPr>
        <w:spacing w:line="276" w:lineRule="auto"/>
        <w:ind w:right="-52"/>
        <w:rPr>
          <w:rFonts w:cs="Arial"/>
          <w:szCs w:val="24"/>
          <w:u w:val="single"/>
          <w:lang w:eastAsia="en-GB"/>
        </w:rPr>
      </w:pPr>
      <w:r w:rsidRPr="00D948C1">
        <w:rPr>
          <w:rFonts w:cs="Arial"/>
          <w:szCs w:val="24"/>
          <w:u w:val="single"/>
          <w:lang w:eastAsia="en-GB"/>
        </w:rPr>
        <w:t>Benefits Paid</w:t>
      </w:r>
    </w:p>
    <w:p w14:paraId="6D3ED228" w14:textId="77777777" w:rsidR="00D90216" w:rsidRPr="00D948C1" w:rsidRDefault="00D90216" w:rsidP="006C0086">
      <w:pPr>
        <w:spacing w:line="276" w:lineRule="auto"/>
        <w:ind w:right="-52"/>
        <w:rPr>
          <w:rFonts w:cs="Arial"/>
          <w:szCs w:val="24"/>
          <w:lang w:eastAsia="en-GB"/>
        </w:rPr>
      </w:pPr>
      <w:r w:rsidRPr="00D948C1">
        <w:rPr>
          <w:rFonts w:cs="Arial"/>
          <w:szCs w:val="24"/>
          <w:lang w:eastAsia="en-GB"/>
        </w:rPr>
        <w:t>Pensions are paid to retired officers, their survivors and others who are eligible for benefits under new and existing pension schemes.</w:t>
      </w:r>
    </w:p>
    <w:p w14:paraId="1E113EB2" w14:textId="77777777" w:rsidR="00D90216" w:rsidRPr="00D948C1" w:rsidRDefault="00D90216" w:rsidP="006C0086">
      <w:pPr>
        <w:spacing w:line="276" w:lineRule="auto"/>
        <w:ind w:left="284" w:right="-52"/>
        <w:rPr>
          <w:rFonts w:cs="Arial"/>
          <w:szCs w:val="24"/>
          <w:lang w:eastAsia="en-GB"/>
        </w:rPr>
      </w:pPr>
    </w:p>
    <w:p w14:paraId="169EF760" w14:textId="77777777" w:rsidR="00D90216" w:rsidRPr="00D948C1" w:rsidRDefault="00153A2A" w:rsidP="006C0086">
      <w:pPr>
        <w:spacing w:line="276" w:lineRule="auto"/>
        <w:ind w:right="-52"/>
        <w:rPr>
          <w:rFonts w:cs="Arial"/>
          <w:szCs w:val="24"/>
          <w:u w:val="single"/>
          <w:lang w:val="en" w:eastAsia="en-GB"/>
        </w:rPr>
      </w:pPr>
      <w:r w:rsidRPr="00D948C1">
        <w:rPr>
          <w:rFonts w:cs="Arial"/>
          <w:szCs w:val="24"/>
          <w:u w:val="single"/>
          <w:lang w:val="en" w:eastAsia="en-GB"/>
        </w:rPr>
        <w:t>Home Office</w:t>
      </w:r>
      <w:r w:rsidR="00D90216" w:rsidRPr="00D948C1">
        <w:rPr>
          <w:rFonts w:cs="Arial"/>
          <w:szCs w:val="24"/>
          <w:u w:val="single"/>
          <w:lang w:val="en" w:eastAsia="en-GB"/>
        </w:rPr>
        <w:t xml:space="preserve"> Grant</w:t>
      </w:r>
    </w:p>
    <w:p w14:paraId="6B84E701" w14:textId="349EC753" w:rsidR="00D90216" w:rsidRPr="00D948C1" w:rsidRDefault="00D90216" w:rsidP="006C0086">
      <w:pPr>
        <w:spacing w:line="276" w:lineRule="auto"/>
        <w:ind w:right="-52"/>
        <w:rPr>
          <w:rFonts w:cs="Arial"/>
          <w:szCs w:val="24"/>
          <w:lang w:eastAsia="en-GB"/>
        </w:rPr>
      </w:pPr>
      <w:r w:rsidRPr="00D948C1">
        <w:rPr>
          <w:rFonts w:cs="Arial"/>
          <w:szCs w:val="24"/>
          <w:lang w:val="en" w:eastAsia="en-GB"/>
        </w:rPr>
        <w:t xml:space="preserve">There are no investment </w:t>
      </w:r>
      <w:r w:rsidR="00A16368" w:rsidRPr="00D948C1">
        <w:rPr>
          <w:rFonts w:cs="Arial"/>
          <w:szCs w:val="24"/>
          <w:lang w:val="en" w:eastAsia="en-GB"/>
        </w:rPr>
        <w:t>assets,</w:t>
      </w:r>
      <w:r w:rsidRPr="00D948C1">
        <w:rPr>
          <w:rFonts w:cs="Arial"/>
          <w:szCs w:val="24"/>
          <w:lang w:val="en" w:eastAsia="en-GB"/>
        </w:rPr>
        <w:t xml:space="preserve"> and the fund is balanced to zero each year by receipt of a top up grant from the </w:t>
      </w:r>
      <w:r w:rsidR="00153A2A" w:rsidRPr="00D948C1">
        <w:rPr>
          <w:rFonts w:cs="Arial"/>
          <w:szCs w:val="24"/>
          <w:lang w:val="en" w:eastAsia="en-GB"/>
        </w:rPr>
        <w:t>Home Office</w:t>
      </w:r>
      <w:r w:rsidRPr="00D948C1">
        <w:rPr>
          <w:rFonts w:cs="Arial"/>
          <w:szCs w:val="24"/>
          <w:lang w:val="en" w:eastAsia="en-GB"/>
        </w:rPr>
        <w:t>, if contributions are insufficient to meet the cost of pension payments, or by paying over any surplus grant.</w:t>
      </w:r>
    </w:p>
    <w:p w14:paraId="649EF5FD" w14:textId="77777777" w:rsidR="00D90216" w:rsidRPr="00D948C1" w:rsidRDefault="00D90216" w:rsidP="006C0086">
      <w:pPr>
        <w:spacing w:line="276" w:lineRule="auto"/>
        <w:ind w:right="-52"/>
        <w:rPr>
          <w:rFonts w:cs="Arial"/>
          <w:szCs w:val="24"/>
          <w:lang w:eastAsia="en-GB"/>
        </w:rPr>
      </w:pPr>
    </w:p>
    <w:p w14:paraId="414FE904" w14:textId="77777777" w:rsidR="00D90216" w:rsidRPr="00D948C1" w:rsidRDefault="00D90216" w:rsidP="006C0086">
      <w:pPr>
        <w:spacing w:line="276" w:lineRule="auto"/>
        <w:ind w:right="-52"/>
        <w:rPr>
          <w:rFonts w:cs="Arial"/>
          <w:szCs w:val="24"/>
          <w:u w:val="single"/>
          <w:lang w:val="en" w:eastAsia="en-GB"/>
        </w:rPr>
      </w:pPr>
      <w:r w:rsidRPr="00D948C1">
        <w:rPr>
          <w:rFonts w:cs="Arial"/>
          <w:szCs w:val="24"/>
          <w:u w:val="single"/>
          <w:lang w:val="en" w:eastAsia="en-GB"/>
        </w:rPr>
        <w:t>Future Liabilities</w:t>
      </w:r>
    </w:p>
    <w:p w14:paraId="31AB0CD4" w14:textId="1EA729C6" w:rsidR="00D90216" w:rsidRPr="00D948C1" w:rsidRDefault="00D90216" w:rsidP="006C0086">
      <w:pPr>
        <w:spacing w:line="276" w:lineRule="auto"/>
        <w:rPr>
          <w:szCs w:val="24"/>
        </w:rPr>
      </w:pPr>
      <w:r w:rsidRPr="00D948C1">
        <w:rPr>
          <w:szCs w:val="24"/>
        </w:rPr>
        <w:t>The firefighters pension fund financial statements do not take account of liabilities to pay pensions and other benefits af</w:t>
      </w:r>
      <w:r w:rsidR="00467C60" w:rsidRPr="00D948C1">
        <w:rPr>
          <w:szCs w:val="24"/>
        </w:rPr>
        <w:t xml:space="preserve">ter the period end, however details of the </w:t>
      </w:r>
      <w:r w:rsidR="0042437F" w:rsidRPr="00D948C1">
        <w:rPr>
          <w:szCs w:val="24"/>
        </w:rPr>
        <w:t>firefighter’s</w:t>
      </w:r>
      <w:r w:rsidR="00467C60" w:rsidRPr="00D948C1">
        <w:rPr>
          <w:szCs w:val="24"/>
        </w:rPr>
        <w:t xml:space="preserve"> pension fund long</w:t>
      </w:r>
      <w:r w:rsidR="00A16368" w:rsidRPr="00D948C1">
        <w:rPr>
          <w:szCs w:val="24"/>
        </w:rPr>
        <w:t>-</w:t>
      </w:r>
      <w:r w:rsidR="00467C60" w:rsidRPr="00D948C1">
        <w:rPr>
          <w:szCs w:val="24"/>
        </w:rPr>
        <w:t xml:space="preserve">term pension obligations are recognised in the Authorities financial statements, details can be found in </w:t>
      </w:r>
      <w:hyperlink w:anchor="N15" w:history="1">
        <w:r w:rsidR="00B23965" w:rsidRPr="00D948C1">
          <w:rPr>
            <w:rStyle w:val="Hyperlink"/>
            <w:szCs w:val="24"/>
          </w:rPr>
          <w:t>N</w:t>
        </w:r>
        <w:r w:rsidR="00467C60" w:rsidRPr="00D948C1">
          <w:rPr>
            <w:rStyle w:val="Hyperlink"/>
            <w:szCs w:val="24"/>
          </w:rPr>
          <w:t>ote 1</w:t>
        </w:r>
        <w:r w:rsidR="00B213CC" w:rsidRPr="00D948C1">
          <w:rPr>
            <w:rStyle w:val="Hyperlink"/>
            <w:szCs w:val="24"/>
          </w:rPr>
          <w:t>5</w:t>
        </w:r>
      </w:hyperlink>
      <w:r w:rsidR="00467C60" w:rsidRPr="00D948C1">
        <w:rPr>
          <w:szCs w:val="24"/>
        </w:rPr>
        <w:t>.</w:t>
      </w:r>
    </w:p>
    <w:p w14:paraId="0A17FAB5" w14:textId="77777777" w:rsidR="00D90216" w:rsidRPr="00D948C1" w:rsidRDefault="00D90216" w:rsidP="006C0086">
      <w:pPr>
        <w:spacing w:line="276" w:lineRule="auto"/>
        <w:rPr>
          <w:sz w:val="22"/>
        </w:rPr>
      </w:pPr>
    </w:p>
    <w:p w14:paraId="54F9B57D" w14:textId="77777777" w:rsidR="00D90216" w:rsidRPr="00D948C1" w:rsidRDefault="00D90216" w:rsidP="006C0086">
      <w:pPr>
        <w:spacing w:line="276" w:lineRule="auto"/>
        <w:rPr>
          <w:sz w:val="22"/>
        </w:rPr>
      </w:pPr>
    </w:p>
    <w:p w14:paraId="0AB45E0C" w14:textId="77777777" w:rsidR="00D90216" w:rsidRPr="00D948C1" w:rsidRDefault="00D90216" w:rsidP="006C0086">
      <w:pPr>
        <w:spacing w:line="276" w:lineRule="auto"/>
        <w:rPr>
          <w:sz w:val="22"/>
        </w:rPr>
      </w:pPr>
      <w:r w:rsidRPr="00D948C1">
        <w:rPr>
          <w:sz w:val="22"/>
        </w:rPr>
        <w:br w:type="page"/>
      </w:r>
    </w:p>
    <w:p w14:paraId="477489C1" w14:textId="3FC40053" w:rsidR="00D90216" w:rsidRPr="00D948C1" w:rsidRDefault="006563F1" w:rsidP="006C0086">
      <w:pPr>
        <w:pStyle w:val="Heading1"/>
        <w:spacing w:line="276" w:lineRule="auto"/>
      </w:pPr>
      <w:bookmarkStart w:id="88" w:name="Terms"/>
      <w:bookmarkStart w:id="89" w:name="_Toc171068815"/>
      <w:bookmarkEnd w:id="88"/>
      <w:r w:rsidRPr="00D948C1">
        <w:lastRenderedPageBreak/>
        <w:t>Glossary of Terms</w:t>
      </w:r>
      <w:bookmarkEnd w:id="89"/>
    </w:p>
    <w:p w14:paraId="5CD57FF0" w14:textId="77777777" w:rsidR="00D90216" w:rsidRPr="00D948C1" w:rsidRDefault="00D90216" w:rsidP="006C0086">
      <w:pPr>
        <w:spacing w:line="276" w:lineRule="auto"/>
        <w:rPr>
          <w:b/>
          <w:sz w:val="22"/>
        </w:rPr>
      </w:pPr>
    </w:p>
    <w:p w14:paraId="0599F754" w14:textId="77777777" w:rsidR="00D90216" w:rsidRPr="00D948C1" w:rsidRDefault="00D90216" w:rsidP="006C0086">
      <w:pPr>
        <w:spacing w:line="276" w:lineRule="auto"/>
        <w:rPr>
          <w:szCs w:val="24"/>
        </w:rPr>
      </w:pPr>
      <w:r w:rsidRPr="00D948C1">
        <w:rPr>
          <w:b/>
          <w:szCs w:val="24"/>
        </w:rPr>
        <w:t>Accrual</w:t>
      </w:r>
    </w:p>
    <w:p w14:paraId="7EB1FC85"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A sum included in the accounts to cover income or expenditure attributable to the accounting period covered by the accounts but for which payment had not been received/made at the Balance Sheet date.</w:t>
      </w:r>
    </w:p>
    <w:p w14:paraId="0D318490" w14:textId="77777777" w:rsidR="00D90216" w:rsidRPr="00D948C1" w:rsidRDefault="00D90216" w:rsidP="006C0086">
      <w:pPr>
        <w:keepLines/>
        <w:widowControl w:val="0"/>
        <w:tabs>
          <w:tab w:val="left" w:pos="0"/>
          <w:tab w:val="right" w:pos="9072"/>
        </w:tabs>
        <w:spacing w:line="276" w:lineRule="auto"/>
        <w:rPr>
          <w:szCs w:val="24"/>
        </w:rPr>
      </w:pPr>
    </w:p>
    <w:p w14:paraId="3FB740BC" w14:textId="77777777" w:rsidR="00D90216" w:rsidRPr="00D948C1" w:rsidRDefault="00D90216" w:rsidP="006C0086">
      <w:pPr>
        <w:spacing w:line="276" w:lineRule="auto"/>
        <w:rPr>
          <w:b/>
          <w:szCs w:val="24"/>
        </w:rPr>
      </w:pPr>
      <w:r w:rsidRPr="00D948C1">
        <w:rPr>
          <w:b/>
          <w:szCs w:val="24"/>
        </w:rPr>
        <w:t>Amortised cost</w:t>
      </w:r>
    </w:p>
    <w:p w14:paraId="743B3D84" w14:textId="77777777" w:rsidR="00D90216" w:rsidRPr="00D948C1" w:rsidRDefault="00D90216" w:rsidP="006C0086">
      <w:pPr>
        <w:spacing w:line="276" w:lineRule="auto"/>
        <w:rPr>
          <w:szCs w:val="24"/>
        </w:rPr>
      </w:pPr>
      <w:r w:rsidRPr="00D948C1">
        <w:rPr>
          <w:szCs w:val="24"/>
        </w:rPr>
        <w:t>Amortised cost is a valuation basis for financial instruments that, in the case of this Authority’s assets and liabilities, is equal to their nominal value plus any interest accrued to the balance sheet date.</w:t>
      </w:r>
    </w:p>
    <w:p w14:paraId="1FB3ED43" w14:textId="77777777" w:rsidR="00D90216" w:rsidRPr="00D948C1" w:rsidRDefault="00D90216" w:rsidP="006C0086">
      <w:pPr>
        <w:keepLines/>
        <w:widowControl w:val="0"/>
        <w:tabs>
          <w:tab w:val="left" w:pos="0"/>
          <w:tab w:val="right" w:pos="9072"/>
        </w:tabs>
        <w:spacing w:line="276" w:lineRule="auto"/>
        <w:rPr>
          <w:szCs w:val="24"/>
        </w:rPr>
      </w:pPr>
    </w:p>
    <w:p w14:paraId="54A1E401" w14:textId="77777777" w:rsidR="00D90216" w:rsidRPr="00D948C1" w:rsidRDefault="00D90216" w:rsidP="006C0086">
      <w:pPr>
        <w:spacing w:line="276" w:lineRule="auto"/>
        <w:rPr>
          <w:szCs w:val="24"/>
        </w:rPr>
      </w:pPr>
      <w:r w:rsidRPr="00D948C1">
        <w:rPr>
          <w:b/>
          <w:szCs w:val="24"/>
        </w:rPr>
        <w:t>Budget</w:t>
      </w:r>
    </w:p>
    <w:p w14:paraId="61B4CAD6" w14:textId="345643DB" w:rsidR="00D90216" w:rsidRPr="00D948C1" w:rsidRDefault="00D90216" w:rsidP="006C0086">
      <w:pPr>
        <w:keepLines/>
        <w:widowControl w:val="0"/>
        <w:tabs>
          <w:tab w:val="left" w:pos="0"/>
          <w:tab w:val="right" w:pos="9072"/>
        </w:tabs>
        <w:spacing w:line="276" w:lineRule="auto"/>
        <w:rPr>
          <w:szCs w:val="24"/>
        </w:rPr>
      </w:pPr>
      <w:r w:rsidRPr="00D948C1">
        <w:rPr>
          <w:szCs w:val="24"/>
        </w:rPr>
        <w:t xml:space="preserve">A statement which reflects the Authority’s policies in financial </w:t>
      </w:r>
      <w:r w:rsidR="0094180B" w:rsidRPr="00D948C1">
        <w:rPr>
          <w:szCs w:val="24"/>
        </w:rPr>
        <w:t>terms,</w:t>
      </w:r>
      <w:r w:rsidRPr="00D948C1">
        <w:rPr>
          <w:szCs w:val="24"/>
        </w:rPr>
        <w:t xml:space="preserve"> and which quantifies its plans for spending over a specified period. The Revenue Budget (spending other than capital expenditure) is normally finalised and approved in </w:t>
      </w:r>
      <w:r w:rsidR="004A769C" w:rsidRPr="00D948C1">
        <w:rPr>
          <w:szCs w:val="24"/>
        </w:rPr>
        <w:t>Febr</w:t>
      </w:r>
      <w:r w:rsidRPr="00D948C1">
        <w:rPr>
          <w:szCs w:val="24"/>
        </w:rPr>
        <w:t>uary prior to the commencement of the financial year.</w:t>
      </w:r>
    </w:p>
    <w:p w14:paraId="6FD650BA" w14:textId="77777777" w:rsidR="00D90216" w:rsidRPr="00D948C1" w:rsidRDefault="00D90216" w:rsidP="006C0086">
      <w:pPr>
        <w:keepLines/>
        <w:widowControl w:val="0"/>
        <w:tabs>
          <w:tab w:val="left" w:pos="0"/>
          <w:tab w:val="right" w:pos="9072"/>
        </w:tabs>
        <w:spacing w:line="276" w:lineRule="auto"/>
        <w:rPr>
          <w:szCs w:val="24"/>
        </w:rPr>
      </w:pPr>
    </w:p>
    <w:p w14:paraId="0BE3D95F" w14:textId="77777777" w:rsidR="00D90216" w:rsidRPr="00D948C1" w:rsidRDefault="00D90216" w:rsidP="006C0086">
      <w:pPr>
        <w:spacing w:line="276" w:lineRule="auto"/>
        <w:rPr>
          <w:szCs w:val="24"/>
        </w:rPr>
      </w:pPr>
      <w:r w:rsidRPr="00D948C1">
        <w:rPr>
          <w:b/>
          <w:szCs w:val="24"/>
        </w:rPr>
        <w:t>Capital Expenditure</w:t>
      </w:r>
    </w:p>
    <w:p w14:paraId="3F16D745" w14:textId="74AD05B7" w:rsidR="00D90216" w:rsidRPr="00D948C1" w:rsidRDefault="00D90216" w:rsidP="006C0086">
      <w:pPr>
        <w:keepLines/>
        <w:widowControl w:val="0"/>
        <w:tabs>
          <w:tab w:val="left" w:pos="0"/>
          <w:tab w:val="right" w:pos="9072"/>
        </w:tabs>
        <w:spacing w:line="276" w:lineRule="auto"/>
        <w:rPr>
          <w:szCs w:val="24"/>
        </w:rPr>
      </w:pPr>
      <w:r w:rsidRPr="00D948C1">
        <w:rPr>
          <w:szCs w:val="24"/>
        </w:rPr>
        <w:t xml:space="preserve">Payments made for the acquisition or provision of assets which will be of relatively long-term value to the Authority </w:t>
      </w:r>
      <w:r w:rsidR="00AA3FF8">
        <w:rPr>
          <w:szCs w:val="24"/>
        </w:rPr>
        <w:t>for example</w:t>
      </w:r>
      <w:r w:rsidRPr="00D948C1">
        <w:rPr>
          <w:szCs w:val="24"/>
        </w:rPr>
        <w:t xml:space="preserve"> land, buildings and equipment. Also referred to as capital spending, capital outlay, or capital payments. The resulting capital assets are referred to as “fixed assets”.</w:t>
      </w:r>
    </w:p>
    <w:p w14:paraId="6A4D5006" w14:textId="77777777" w:rsidR="00D90216" w:rsidRPr="00D948C1" w:rsidRDefault="00D90216" w:rsidP="006C0086">
      <w:pPr>
        <w:keepLines/>
        <w:widowControl w:val="0"/>
        <w:tabs>
          <w:tab w:val="left" w:pos="0"/>
          <w:tab w:val="right" w:pos="9072"/>
        </w:tabs>
        <w:spacing w:line="276" w:lineRule="auto"/>
        <w:rPr>
          <w:szCs w:val="24"/>
        </w:rPr>
      </w:pPr>
    </w:p>
    <w:p w14:paraId="3303EDD7" w14:textId="77777777" w:rsidR="00D90216" w:rsidRPr="00D948C1" w:rsidRDefault="00D90216" w:rsidP="006C0086">
      <w:pPr>
        <w:spacing w:line="276" w:lineRule="auto"/>
        <w:rPr>
          <w:szCs w:val="24"/>
        </w:rPr>
      </w:pPr>
      <w:r w:rsidRPr="00D948C1">
        <w:rPr>
          <w:b/>
          <w:szCs w:val="24"/>
        </w:rPr>
        <w:t>Capital Receipts</w:t>
      </w:r>
    </w:p>
    <w:p w14:paraId="38C82E04" w14:textId="2BD7A5EA" w:rsidR="00D90216" w:rsidRPr="00D948C1" w:rsidRDefault="00D90216" w:rsidP="006C0086">
      <w:pPr>
        <w:keepLines/>
        <w:widowControl w:val="0"/>
        <w:tabs>
          <w:tab w:val="left" w:pos="0"/>
          <w:tab w:val="right" w:pos="9072"/>
        </w:tabs>
        <w:spacing w:line="276" w:lineRule="auto"/>
        <w:rPr>
          <w:szCs w:val="24"/>
        </w:rPr>
      </w:pPr>
      <w:r w:rsidRPr="00D948C1">
        <w:rPr>
          <w:szCs w:val="24"/>
        </w:rPr>
        <w:t>Proceeds from the sale of capital assets. Such income may only be used for capital purposes, to repay existing loan debt, or to finance new capital expenditure in proportions determined by the Government. Any receipts which have not yet been utilised as described are referred to as “capital receipts unapplied”.</w:t>
      </w:r>
    </w:p>
    <w:p w14:paraId="729A3248" w14:textId="77777777" w:rsidR="00D90216" w:rsidRPr="00D948C1" w:rsidRDefault="00D90216" w:rsidP="006C0086">
      <w:pPr>
        <w:keepLines/>
        <w:widowControl w:val="0"/>
        <w:tabs>
          <w:tab w:val="left" w:pos="0"/>
          <w:tab w:val="right" w:pos="9072"/>
        </w:tabs>
        <w:spacing w:line="276" w:lineRule="auto"/>
        <w:rPr>
          <w:szCs w:val="24"/>
        </w:rPr>
      </w:pPr>
    </w:p>
    <w:p w14:paraId="2087E467" w14:textId="77777777" w:rsidR="00D90216" w:rsidRPr="00D948C1" w:rsidRDefault="00D90216" w:rsidP="006C0086">
      <w:pPr>
        <w:keepLines/>
        <w:widowControl w:val="0"/>
        <w:tabs>
          <w:tab w:val="left" w:pos="0"/>
          <w:tab w:val="right" w:pos="9072"/>
        </w:tabs>
        <w:spacing w:line="276" w:lineRule="auto"/>
        <w:rPr>
          <w:szCs w:val="24"/>
        </w:rPr>
      </w:pPr>
      <w:r w:rsidRPr="00D948C1">
        <w:rPr>
          <w:b/>
          <w:szCs w:val="24"/>
        </w:rPr>
        <w:t>Comprehensive Income &amp; Expenditure Statement</w:t>
      </w:r>
    </w:p>
    <w:p w14:paraId="1851FACB"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An account which records an authority’s day to day expenditure and income on items such as salaries and wages, running costs of services and the financing</w:t>
      </w:r>
      <w:r w:rsidRPr="00D948C1">
        <w:rPr>
          <w:b/>
          <w:szCs w:val="24"/>
        </w:rPr>
        <w:t xml:space="preserve"> </w:t>
      </w:r>
      <w:r w:rsidRPr="00D948C1">
        <w:rPr>
          <w:szCs w:val="24"/>
        </w:rPr>
        <w:t>charges in respect of capital expenditure.</w:t>
      </w:r>
    </w:p>
    <w:p w14:paraId="1C0EFA24" w14:textId="77777777" w:rsidR="00D90216" w:rsidRPr="00D948C1" w:rsidRDefault="00D90216" w:rsidP="006C0086">
      <w:pPr>
        <w:keepLines/>
        <w:widowControl w:val="0"/>
        <w:tabs>
          <w:tab w:val="left" w:pos="0"/>
          <w:tab w:val="right" w:pos="9072"/>
        </w:tabs>
        <w:spacing w:line="276" w:lineRule="auto"/>
        <w:rPr>
          <w:szCs w:val="24"/>
        </w:rPr>
      </w:pPr>
    </w:p>
    <w:p w14:paraId="059EF9FE" w14:textId="77777777" w:rsidR="00D90216" w:rsidRPr="00D948C1" w:rsidRDefault="00D90216" w:rsidP="006C0086">
      <w:pPr>
        <w:spacing w:line="276" w:lineRule="auto"/>
        <w:rPr>
          <w:szCs w:val="24"/>
        </w:rPr>
      </w:pPr>
      <w:r w:rsidRPr="00D948C1">
        <w:rPr>
          <w:b/>
          <w:szCs w:val="24"/>
        </w:rPr>
        <w:t>Creditors</w:t>
      </w:r>
    </w:p>
    <w:p w14:paraId="3EE9409E"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Amounts owed by the Authority for work done, goods received, or services rendered but for which payment had not been made at the date of the Balance Sheet.</w:t>
      </w:r>
    </w:p>
    <w:p w14:paraId="1560C1D8" w14:textId="77777777" w:rsidR="00D90216" w:rsidRPr="00D948C1" w:rsidRDefault="00D90216" w:rsidP="006C0086">
      <w:pPr>
        <w:keepLines/>
        <w:widowControl w:val="0"/>
        <w:tabs>
          <w:tab w:val="left" w:pos="0"/>
          <w:tab w:val="right" w:pos="9072"/>
        </w:tabs>
        <w:spacing w:line="276" w:lineRule="auto"/>
        <w:rPr>
          <w:szCs w:val="24"/>
        </w:rPr>
      </w:pPr>
    </w:p>
    <w:p w14:paraId="3BF94A25" w14:textId="77777777" w:rsidR="00D90216" w:rsidRPr="00D948C1" w:rsidRDefault="00D90216" w:rsidP="006C0086">
      <w:pPr>
        <w:spacing w:line="276" w:lineRule="auto"/>
        <w:rPr>
          <w:szCs w:val="24"/>
        </w:rPr>
      </w:pPr>
      <w:r w:rsidRPr="00D948C1">
        <w:rPr>
          <w:b/>
          <w:szCs w:val="24"/>
        </w:rPr>
        <w:t>Debtors</w:t>
      </w:r>
    </w:p>
    <w:p w14:paraId="659E3CA3"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Sums of money due to the Authority in the relevant financial year but not received at the Balance Sheet date.</w:t>
      </w:r>
    </w:p>
    <w:p w14:paraId="02893932" w14:textId="77777777" w:rsidR="00D90216" w:rsidRPr="00D948C1" w:rsidRDefault="00D90216" w:rsidP="006C0086">
      <w:pPr>
        <w:keepLines/>
        <w:widowControl w:val="0"/>
        <w:tabs>
          <w:tab w:val="left" w:pos="0"/>
          <w:tab w:val="right" w:pos="9072"/>
        </w:tabs>
        <w:spacing w:line="276" w:lineRule="auto"/>
        <w:rPr>
          <w:szCs w:val="24"/>
        </w:rPr>
      </w:pPr>
    </w:p>
    <w:p w14:paraId="6563EFEE" w14:textId="77777777" w:rsidR="00D90216" w:rsidRPr="00D948C1" w:rsidRDefault="00D90216" w:rsidP="006C0086">
      <w:pPr>
        <w:spacing w:line="276" w:lineRule="auto"/>
        <w:rPr>
          <w:b/>
          <w:szCs w:val="24"/>
        </w:rPr>
      </w:pPr>
      <w:r w:rsidRPr="00D948C1">
        <w:rPr>
          <w:b/>
          <w:szCs w:val="24"/>
        </w:rPr>
        <w:t>Fair Value</w:t>
      </w:r>
    </w:p>
    <w:p w14:paraId="45F86337" w14:textId="77777777" w:rsidR="00D90216" w:rsidRPr="00D948C1" w:rsidRDefault="00D90216" w:rsidP="006C0086">
      <w:pPr>
        <w:spacing w:line="276" w:lineRule="auto"/>
        <w:rPr>
          <w:szCs w:val="24"/>
        </w:rPr>
      </w:pPr>
      <w:r w:rsidRPr="00D948C1">
        <w:rPr>
          <w:szCs w:val="24"/>
        </w:rPr>
        <w:t>Fair value is a valuation basis for financial instruments that represents the amount at which the instruments could be exchanged in an open market transaction. If no market for a specific instrument exists, fair value can be estimated by a technique that is based on a comparison of the interest rate on the instrument with interest rates on similar instruments that are available in financial markets.</w:t>
      </w:r>
    </w:p>
    <w:p w14:paraId="65031915" w14:textId="77777777" w:rsidR="00D90216" w:rsidRPr="00D948C1" w:rsidRDefault="00D90216" w:rsidP="006C0086">
      <w:pPr>
        <w:keepLines/>
        <w:widowControl w:val="0"/>
        <w:tabs>
          <w:tab w:val="left" w:pos="0"/>
          <w:tab w:val="right" w:pos="9072"/>
        </w:tabs>
        <w:spacing w:line="276" w:lineRule="auto"/>
        <w:rPr>
          <w:szCs w:val="24"/>
        </w:rPr>
      </w:pPr>
    </w:p>
    <w:p w14:paraId="42E62E3E" w14:textId="77777777" w:rsidR="00D90216" w:rsidRPr="00D948C1" w:rsidRDefault="00D90216" w:rsidP="006C0086">
      <w:pPr>
        <w:keepLines/>
        <w:widowControl w:val="0"/>
        <w:tabs>
          <w:tab w:val="left" w:pos="0"/>
          <w:tab w:val="right" w:pos="9072"/>
        </w:tabs>
        <w:spacing w:line="276" w:lineRule="auto"/>
        <w:rPr>
          <w:b/>
          <w:szCs w:val="24"/>
        </w:rPr>
      </w:pPr>
      <w:r w:rsidRPr="00D948C1">
        <w:rPr>
          <w:b/>
          <w:szCs w:val="24"/>
        </w:rPr>
        <w:t>Financial Instrument</w:t>
      </w:r>
    </w:p>
    <w:p w14:paraId="1388E4C8" w14:textId="77777777" w:rsidR="00D90216" w:rsidRPr="00D948C1" w:rsidRDefault="00D90216" w:rsidP="006C0086">
      <w:pPr>
        <w:spacing w:line="276" w:lineRule="auto"/>
        <w:rPr>
          <w:szCs w:val="24"/>
        </w:rPr>
      </w:pPr>
      <w:r w:rsidRPr="00D948C1">
        <w:rPr>
          <w:szCs w:val="24"/>
        </w:rPr>
        <w:t>A financial liability or asset such as a borrowing or an investment.</w:t>
      </w:r>
    </w:p>
    <w:p w14:paraId="05BD817C" w14:textId="77777777" w:rsidR="00D90216" w:rsidRPr="00D948C1" w:rsidRDefault="00D90216" w:rsidP="006C0086">
      <w:pPr>
        <w:keepLines/>
        <w:widowControl w:val="0"/>
        <w:tabs>
          <w:tab w:val="left" w:pos="0"/>
          <w:tab w:val="right" w:pos="9072"/>
        </w:tabs>
        <w:spacing w:line="276" w:lineRule="auto"/>
        <w:rPr>
          <w:b/>
          <w:szCs w:val="24"/>
        </w:rPr>
      </w:pPr>
      <w:r w:rsidRPr="00D948C1">
        <w:rPr>
          <w:b/>
          <w:szCs w:val="24"/>
        </w:rPr>
        <w:br w:type="page"/>
      </w:r>
    </w:p>
    <w:p w14:paraId="521D27B2" w14:textId="77777777" w:rsidR="009E43FA" w:rsidRPr="00D948C1" w:rsidRDefault="009E43FA" w:rsidP="006C0086">
      <w:pPr>
        <w:keepLines/>
        <w:widowControl w:val="0"/>
        <w:tabs>
          <w:tab w:val="left" w:pos="0"/>
          <w:tab w:val="right" w:pos="9072"/>
        </w:tabs>
        <w:spacing w:line="276" w:lineRule="auto"/>
        <w:rPr>
          <w:b/>
          <w:szCs w:val="24"/>
        </w:rPr>
      </w:pPr>
    </w:p>
    <w:p w14:paraId="4388B39A" w14:textId="77777777" w:rsidR="00D90216" w:rsidRPr="00D948C1" w:rsidRDefault="00D90216" w:rsidP="006C0086">
      <w:pPr>
        <w:keepLines/>
        <w:widowControl w:val="0"/>
        <w:tabs>
          <w:tab w:val="left" w:pos="0"/>
          <w:tab w:val="right" w:pos="9072"/>
        </w:tabs>
        <w:spacing w:line="276" w:lineRule="auto"/>
        <w:rPr>
          <w:b/>
          <w:szCs w:val="24"/>
        </w:rPr>
      </w:pPr>
      <w:r w:rsidRPr="00D948C1">
        <w:rPr>
          <w:b/>
          <w:szCs w:val="24"/>
        </w:rPr>
        <w:t>Financial Year</w:t>
      </w:r>
    </w:p>
    <w:p w14:paraId="6E5EEFE9" w14:textId="57F34DDF" w:rsidR="00D90216" w:rsidRPr="00D948C1" w:rsidRDefault="00D90216" w:rsidP="006C0086">
      <w:pPr>
        <w:keepLines/>
        <w:widowControl w:val="0"/>
        <w:tabs>
          <w:tab w:val="left" w:pos="0"/>
          <w:tab w:val="right" w:pos="9072"/>
        </w:tabs>
        <w:spacing w:line="276" w:lineRule="auto"/>
        <w:rPr>
          <w:szCs w:val="24"/>
        </w:rPr>
      </w:pPr>
      <w:r w:rsidRPr="00D948C1">
        <w:rPr>
          <w:szCs w:val="24"/>
        </w:rPr>
        <w:t>The period of twelve months for which the accounts are comprised. For Fire Authorities the financial year (or accounting period as it is also known) commences on 1 April and finishes on the 31 March of the following year.</w:t>
      </w:r>
    </w:p>
    <w:p w14:paraId="4B26BD19" w14:textId="77777777" w:rsidR="00D90216" w:rsidRPr="00D948C1" w:rsidRDefault="00D90216" w:rsidP="006C0086">
      <w:pPr>
        <w:keepLines/>
        <w:widowControl w:val="0"/>
        <w:tabs>
          <w:tab w:val="left" w:pos="0"/>
          <w:tab w:val="right" w:pos="9072"/>
        </w:tabs>
        <w:spacing w:line="276" w:lineRule="auto"/>
        <w:rPr>
          <w:szCs w:val="24"/>
        </w:rPr>
      </w:pPr>
    </w:p>
    <w:p w14:paraId="283140E0" w14:textId="77777777" w:rsidR="00D90216" w:rsidRPr="00D948C1" w:rsidRDefault="00D90216" w:rsidP="006C0086">
      <w:pPr>
        <w:keepLines/>
        <w:widowControl w:val="0"/>
        <w:tabs>
          <w:tab w:val="left" w:pos="0"/>
          <w:tab w:val="right" w:pos="9072"/>
        </w:tabs>
        <w:spacing w:line="276" w:lineRule="auto"/>
        <w:rPr>
          <w:b/>
          <w:szCs w:val="24"/>
        </w:rPr>
      </w:pPr>
      <w:r w:rsidRPr="00D948C1">
        <w:rPr>
          <w:b/>
          <w:szCs w:val="24"/>
        </w:rPr>
        <w:t>Financing Charges</w:t>
      </w:r>
    </w:p>
    <w:p w14:paraId="04928E39" w14:textId="2BFF401A" w:rsidR="00D90216" w:rsidRPr="00D948C1" w:rsidRDefault="00D90216" w:rsidP="006C0086">
      <w:pPr>
        <w:keepLines/>
        <w:widowControl w:val="0"/>
        <w:tabs>
          <w:tab w:val="left" w:pos="0"/>
          <w:tab w:val="right" w:pos="9072"/>
        </w:tabs>
        <w:spacing w:line="276" w:lineRule="auto"/>
        <w:rPr>
          <w:szCs w:val="24"/>
        </w:rPr>
      </w:pPr>
      <w:r w:rsidRPr="00D948C1">
        <w:rPr>
          <w:szCs w:val="24"/>
        </w:rPr>
        <w:t xml:space="preserve">Annual charges to the Authority’s Comprehensive Income and Expenditure Statement to cover the interest on and the repayment </w:t>
      </w:r>
      <w:r w:rsidR="0094180B" w:rsidRPr="00D948C1">
        <w:rPr>
          <w:szCs w:val="24"/>
        </w:rPr>
        <w:t>of</w:t>
      </w:r>
      <w:r w:rsidRPr="00D948C1">
        <w:rPr>
          <w:szCs w:val="24"/>
        </w:rPr>
        <w:t xml:space="preserve"> loans raised for capital expenditure. Annual lease rental payments are also included.</w:t>
      </w:r>
    </w:p>
    <w:p w14:paraId="682C5E57" w14:textId="77777777" w:rsidR="00116F83" w:rsidRPr="00D948C1" w:rsidRDefault="00116F83" w:rsidP="006C0086">
      <w:pPr>
        <w:keepLines/>
        <w:widowControl w:val="0"/>
        <w:tabs>
          <w:tab w:val="left" w:pos="0"/>
          <w:tab w:val="right" w:pos="9072"/>
        </w:tabs>
        <w:spacing w:line="276" w:lineRule="auto"/>
        <w:rPr>
          <w:szCs w:val="24"/>
        </w:rPr>
      </w:pPr>
    </w:p>
    <w:p w14:paraId="51FB825F" w14:textId="77777777" w:rsidR="00D90216" w:rsidRPr="00D948C1" w:rsidRDefault="00D90216" w:rsidP="006C0086">
      <w:pPr>
        <w:spacing w:line="276" w:lineRule="auto"/>
        <w:rPr>
          <w:b/>
          <w:szCs w:val="24"/>
        </w:rPr>
      </w:pPr>
      <w:r w:rsidRPr="00D948C1">
        <w:rPr>
          <w:b/>
          <w:szCs w:val="24"/>
        </w:rPr>
        <w:t>Premiums and Discounts</w:t>
      </w:r>
    </w:p>
    <w:p w14:paraId="38C54D34" w14:textId="77777777" w:rsidR="00D90216" w:rsidRPr="00D948C1" w:rsidRDefault="00D90216" w:rsidP="006C0086">
      <w:pPr>
        <w:spacing w:line="276" w:lineRule="auto"/>
        <w:rPr>
          <w:szCs w:val="24"/>
        </w:rPr>
      </w:pPr>
      <w:r w:rsidRPr="00D948C1">
        <w:rPr>
          <w:szCs w:val="24"/>
        </w:rPr>
        <w:t>Premiums are payable and discounts receivable when loans are repaid to the Public Works Loan Board (PWLB) in advance of their contracted maturity date. The premium or discount is calculated with reference to the interest rate on the loan being repaid and the interest rate for similar new loans on the repayment date.</w:t>
      </w:r>
    </w:p>
    <w:p w14:paraId="042FA3CE" w14:textId="77777777" w:rsidR="00D90216" w:rsidRPr="00D948C1" w:rsidRDefault="00D90216" w:rsidP="006C0086">
      <w:pPr>
        <w:keepLines/>
        <w:widowControl w:val="0"/>
        <w:tabs>
          <w:tab w:val="left" w:pos="0"/>
          <w:tab w:val="right" w:pos="9072"/>
        </w:tabs>
        <w:spacing w:line="276" w:lineRule="auto"/>
        <w:rPr>
          <w:szCs w:val="24"/>
        </w:rPr>
      </w:pPr>
    </w:p>
    <w:p w14:paraId="32ABB622" w14:textId="77777777" w:rsidR="00D90216" w:rsidRPr="00D948C1" w:rsidRDefault="00D90216" w:rsidP="006C0086">
      <w:pPr>
        <w:keepLines/>
        <w:widowControl w:val="0"/>
        <w:tabs>
          <w:tab w:val="left" w:pos="0"/>
          <w:tab w:val="right" w:pos="9072"/>
        </w:tabs>
        <w:spacing w:line="276" w:lineRule="auto"/>
        <w:rPr>
          <w:b/>
          <w:szCs w:val="24"/>
        </w:rPr>
      </w:pPr>
      <w:r w:rsidRPr="00D948C1">
        <w:rPr>
          <w:b/>
          <w:szCs w:val="24"/>
        </w:rPr>
        <w:t>Public Works Loan Board (PWLB)</w:t>
      </w:r>
    </w:p>
    <w:p w14:paraId="0076F4D9"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A government agency which provides longer-term loans to local authorities at interest rates only slightly higher than those at which the government itself can borrow.</w:t>
      </w:r>
    </w:p>
    <w:p w14:paraId="6E9BC8AD" w14:textId="77777777" w:rsidR="00D90216" w:rsidRPr="00D948C1" w:rsidRDefault="00D90216" w:rsidP="006C0086">
      <w:pPr>
        <w:keepLines/>
        <w:widowControl w:val="0"/>
        <w:tabs>
          <w:tab w:val="left" w:pos="0"/>
          <w:tab w:val="right" w:pos="9072"/>
        </w:tabs>
        <w:spacing w:line="276" w:lineRule="auto"/>
        <w:rPr>
          <w:szCs w:val="24"/>
        </w:rPr>
      </w:pPr>
    </w:p>
    <w:p w14:paraId="696E7641" w14:textId="77777777" w:rsidR="00D90216" w:rsidRPr="00D948C1" w:rsidRDefault="00D90216" w:rsidP="006C0086">
      <w:pPr>
        <w:keepLines/>
        <w:widowControl w:val="0"/>
        <w:tabs>
          <w:tab w:val="left" w:pos="0"/>
          <w:tab w:val="right" w:pos="9072"/>
        </w:tabs>
        <w:spacing w:line="276" w:lineRule="auto"/>
        <w:rPr>
          <w:szCs w:val="24"/>
        </w:rPr>
      </w:pPr>
      <w:r w:rsidRPr="00D948C1">
        <w:rPr>
          <w:b/>
          <w:szCs w:val="24"/>
        </w:rPr>
        <w:t>Revenue Contribution to Capital Outlay</w:t>
      </w:r>
    </w:p>
    <w:p w14:paraId="4DBB8616" w14:textId="77777777" w:rsidR="00D90216" w:rsidRPr="00D948C1" w:rsidRDefault="00D90216" w:rsidP="006C0086">
      <w:pPr>
        <w:keepLines/>
        <w:widowControl w:val="0"/>
        <w:tabs>
          <w:tab w:val="left" w:pos="0"/>
          <w:tab w:val="right" w:pos="9072"/>
        </w:tabs>
        <w:spacing w:line="276" w:lineRule="auto"/>
        <w:rPr>
          <w:szCs w:val="24"/>
        </w:rPr>
      </w:pPr>
      <w:r w:rsidRPr="00D948C1">
        <w:rPr>
          <w:szCs w:val="24"/>
        </w:rPr>
        <w:t>The financing of capital expenditure by a direct contribution from revenue account, rather than by means of loan or other forms of finance.</w:t>
      </w:r>
    </w:p>
    <w:p w14:paraId="2E13D81B" w14:textId="77777777" w:rsidR="00D90216" w:rsidRPr="00D948C1" w:rsidRDefault="00D90216" w:rsidP="006C0086">
      <w:pPr>
        <w:keepLines/>
        <w:widowControl w:val="0"/>
        <w:tabs>
          <w:tab w:val="left" w:pos="0"/>
          <w:tab w:val="right" w:pos="9072"/>
        </w:tabs>
        <w:spacing w:line="276" w:lineRule="auto"/>
        <w:rPr>
          <w:szCs w:val="24"/>
        </w:rPr>
      </w:pPr>
    </w:p>
    <w:p w14:paraId="4A563CAE" w14:textId="77777777" w:rsidR="00D90216" w:rsidRPr="00D948C1" w:rsidRDefault="00D90216" w:rsidP="006C0086">
      <w:pPr>
        <w:keepLines/>
        <w:widowControl w:val="0"/>
        <w:tabs>
          <w:tab w:val="left" w:pos="0"/>
          <w:tab w:val="right" w:pos="9072"/>
        </w:tabs>
        <w:spacing w:line="276" w:lineRule="auto"/>
        <w:rPr>
          <w:szCs w:val="24"/>
        </w:rPr>
      </w:pPr>
      <w:r w:rsidRPr="00D948C1">
        <w:rPr>
          <w:b/>
          <w:szCs w:val="24"/>
        </w:rPr>
        <w:t>Revenue Expenditure</w:t>
      </w:r>
    </w:p>
    <w:p w14:paraId="609B02BB" w14:textId="7961156C" w:rsidR="00116F83" w:rsidRDefault="00D90216" w:rsidP="006C0086">
      <w:pPr>
        <w:keepLines/>
        <w:widowControl w:val="0"/>
        <w:tabs>
          <w:tab w:val="left" w:pos="0"/>
          <w:tab w:val="right" w:pos="9072"/>
        </w:tabs>
        <w:spacing w:line="276" w:lineRule="auto"/>
        <w:rPr>
          <w:szCs w:val="24"/>
        </w:rPr>
      </w:pPr>
      <w:r w:rsidRPr="00D948C1">
        <w:rPr>
          <w:szCs w:val="24"/>
        </w:rPr>
        <w:t>The day-to-day expenditure of the Authority, which is charged to the Comprehensive Income &amp; Expenditure Statement, comprising mainly salaries and wages, running costs, and financing charges.</w:t>
      </w:r>
    </w:p>
    <w:sectPr w:rsidR="00116F83" w:rsidSect="0050229D">
      <w:pgSz w:w="11907" w:h="16840" w:code="9"/>
      <w:pgMar w:top="454" w:right="567" w:bottom="39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EC6C" w14:textId="77777777" w:rsidR="00F46A9B" w:rsidRDefault="00F46A9B">
      <w:r>
        <w:separator/>
      </w:r>
    </w:p>
  </w:endnote>
  <w:endnote w:type="continuationSeparator" w:id="0">
    <w:p w14:paraId="28E1A883" w14:textId="77777777" w:rsidR="00F46A9B" w:rsidRDefault="00F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6ED1" w14:textId="2411A8A7" w:rsidR="001651FA" w:rsidRDefault="00956E24">
    <w:pPr>
      <w:pStyle w:val="Footer"/>
    </w:pPr>
    <w:r>
      <w:rPr>
        <w:noProof/>
      </w:rPr>
      <mc:AlternateContent>
        <mc:Choice Requires="wps">
          <w:drawing>
            <wp:anchor distT="0" distB="0" distL="0" distR="0" simplePos="0" relativeHeight="251671552" behindDoc="0" locked="0" layoutInCell="1" allowOverlap="1" wp14:anchorId="547FDF84" wp14:editId="172D042A">
              <wp:simplePos x="635" y="635"/>
              <wp:positionH relativeFrom="page">
                <wp:align>left</wp:align>
              </wp:positionH>
              <wp:positionV relativeFrom="page">
                <wp:align>bottom</wp:align>
              </wp:positionV>
              <wp:extent cx="1355090" cy="345440"/>
              <wp:effectExtent l="0" t="0" r="16510" b="0"/>
              <wp:wrapNone/>
              <wp:docPr id="719775064"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19B2BDCF" w14:textId="79287A8C"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7FDF84" id="_x0000_t202" coordsize="21600,21600" o:spt="202" path="m,l,21600r21600,l21600,xe">
              <v:stroke joinstyle="miter"/>
              <v:path gradientshapeok="t" o:connecttype="rect"/>
            </v:shapetype>
            <v:shape id="Text Box 2" o:spid="_x0000_s1026" type="#_x0000_t202" alt="OFFICIAL – SENSITIVE" style="position:absolute;margin-left:0;margin-top:0;width:106.7pt;height:27.2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" filled="f" stroked="f">
              <v:textbox style="mso-fit-shape-to-text:t" inset="20pt,0,0,15pt">
                <w:txbxContent>
                  <w:p w14:paraId="19B2BDCF" w14:textId="79287A8C"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FB48" w14:textId="2D1527B6" w:rsidR="00865F1A" w:rsidRDefault="00956E24">
    <w:pPr>
      <w:pStyle w:val="Footer"/>
      <w:jc w:val="center"/>
    </w:pPr>
    <w:r>
      <w:rPr>
        <w:noProof/>
      </w:rPr>
      <mc:AlternateContent>
        <mc:Choice Requires="wps">
          <w:drawing>
            <wp:anchor distT="0" distB="0" distL="0" distR="0" simplePos="0" relativeHeight="251672576" behindDoc="0" locked="0" layoutInCell="1" allowOverlap="1" wp14:anchorId="1FA14244" wp14:editId="547193D0">
              <wp:simplePos x="635" y="635"/>
              <wp:positionH relativeFrom="page">
                <wp:align>left</wp:align>
              </wp:positionH>
              <wp:positionV relativeFrom="page">
                <wp:align>bottom</wp:align>
              </wp:positionV>
              <wp:extent cx="1355090" cy="345440"/>
              <wp:effectExtent l="0" t="0" r="16510" b="0"/>
              <wp:wrapNone/>
              <wp:docPr id="1686501250"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3C3DC2DD" w14:textId="28697CEA"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A14244" id="_x0000_t202" coordsize="21600,21600" o:spt="202" path="m,l,21600r21600,l21600,xe">
              <v:stroke joinstyle="miter"/>
              <v:path gradientshapeok="t" o:connecttype="rect"/>
            </v:shapetype>
            <v:shape id="Text Box 3" o:spid="_x0000_s1027" type="#_x0000_t202" alt="OFFICIAL – SENSITIVE" style="position:absolute;left:0;text-align:left;margin-left:0;margin-top:0;width:106.7pt;height:27.2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" filled="f" stroked="f">
              <v:textbox style="mso-fit-shape-to-text:t" inset="20pt,0,0,15pt">
                <w:txbxContent>
                  <w:p w14:paraId="3C3DC2DD" w14:textId="28697CEA"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01F1" w14:textId="29A37BDF" w:rsidR="001651FA" w:rsidRDefault="00956E24">
    <w:pPr>
      <w:pStyle w:val="Footer"/>
    </w:pPr>
    <w:r>
      <w:rPr>
        <w:noProof/>
      </w:rPr>
      <mc:AlternateContent>
        <mc:Choice Requires="wps">
          <w:drawing>
            <wp:anchor distT="0" distB="0" distL="0" distR="0" simplePos="0" relativeHeight="251670528" behindDoc="0" locked="0" layoutInCell="1" allowOverlap="1" wp14:anchorId="7FD3E011" wp14:editId="294FEC39">
              <wp:simplePos x="635" y="635"/>
              <wp:positionH relativeFrom="page">
                <wp:align>left</wp:align>
              </wp:positionH>
              <wp:positionV relativeFrom="page">
                <wp:align>bottom</wp:align>
              </wp:positionV>
              <wp:extent cx="1355090" cy="345440"/>
              <wp:effectExtent l="0" t="0" r="16510" b="0"/>
              <wp:wrapNone/>
              <wp:docPr id="2012094788"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39D45925" w14:textId="226CB3EA"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3E011" id="_x0000_t202" coordsize="21600,21600" o:spt="202" path="m,l,21600r21600,l21600,xe">
              <v:stroke joinstyle="miter"/>
              <v:path gradientshapeok="t" o:connecttype="rect"/>
            </v:shapetype>
            <v:shape id="Text Box 1" o:spid="_x0000_s1028" type="#_x0000_t202" alt="OFFICIAL – SENSITIVE" style="position:absolute;margin-left:0;margin-top:0;width:106.7pt;height:27.2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" filled="f" stroked="f">
              <v:textbox style="mso-fit-shape-to-text:t" inset="20pt,0,0,15pt">
                <w:txbxContent>
                  <w:p w14:paraId="39D45925" w14:textId="226CB3EA"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8323" w14:textId="40A52157" w:rsidR="00956E24" w:rsidRDefault="00956E24">
    <w:pPr>
      <w:pStyle w:val="Footer"/>
    </w:pPr>
    <w:r>
      <w:rPr>
        <w:noProof/>
      </w:rPr>
      <mc:AlternateContent>
        <mc:Choice Requires="wps">
          <w:drawing>
            <wp:anchor distT="0" distB="0" distL="0" distR="0" simplePos="0" relativeHeight="251674624" behindDoc="0" locked="0" layoutInCell="1" allowOverlap="1" wp14:anchorId="19FCCD44" wp14:editId="6BC5A84C">
              <wp:simplePos x="635" y="635"/>
              <wp:positionH relativeFrom="page">
                <wp:align>left</wp:align>
              </wp:positionH>
              <wp:positionV relativeFrom="page">
                <wp:align>bottom</wp:align>
              </wp:positionV>
              <wp:extent cx="1355090" cy="345440"/>
              <wp:effectExtent l="0" t="0" r="16510" b="0"/>
              <wp:wrapNone/>
              <wp:docPr id="283648108" name="Text Box 5"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711C79EA" w14:textId="6C7E0B4E"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FCCD44" id="_x0000_t202" coordsize="21600,21600" o:spt="202" path="m,l,21600r21600,l21600,xe">
              <v:stroke joinstyle="miter"/>
              <v:path gradientshapeok="t" o:connecttype="rect"/>
            </v:shapetype>
            <v:shape id="Text Box 5" o:spid="_x0000_s1029" type="#_x0000_t202" alt="OFFICIAL – SENSITIVE" style="position:absolute;margin-left:0;margin-top:0;width:106.7pt;height:27.2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" filled="f" stroked="f">
              <v:textbox style="mso-fit-shape-to-text:t" inset="20pt,0,0,15pt">
                <w:txbxContent>
                  <w:p w14:paraId="711C79EA" w14:textId="6C7E0B4E"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0609" w14:textId="7021B3DD" w:rsidR="00865F1A" w:rsidRDefault="00956E24">
    <w:pPr>
      <w:pStyle w:val="Footer"/>
      <w:framePr w:wrap="around" w:vAnchor="text" w:hAnchor="margin" w:xAlign="center" w:y="1"/>
      <w:rPr>
        <w:rStyle w:val="PageNumber"/>
      </w:rPr>
    </w:pPr>
    <w:r>
      <w:rPr>
        <w:noProof/>
      </w:rPr>
      <mc:AlternateContent>
        <mc:Choice Requires="wps">
          <w:drawing>
            <wp:anchor distT="0" distB="0" distL="0" distR="0" simplePos="0" relativeHeight="251675648" behindDoc="0" locked="0" layoutInCell="1" allowOverlap="1" wp14:anchorId="57FE0FD5" wp14:editId="2EB93CA1">
              <wp:simplePos x="3695178" y="10058400"/>
              <wp:positionH relativeFrom="page">
                <wp:align>left</wp:align>
              </wp:positionH>
              <wp:positionV relativeFrom="page">
                <wp:align>bottom</wp:align>
              </wp:positionV>
              <wp:extent cx="1355090" cy="345440"/>
              <wp:effectExtent l="0" t="0" r="16510" b="0"/>
              <wp:wrapNone/>
              <wp:docPr id="1728168276" name="Text Box 6"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00DAE83A" w14:textId="690BB396"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E0FD5" id="_x0000_t202" coordsize="21600,21600" o:spt="202" path="m,l,21600r21600,l21600,xe">
              <v:stroke joinstyle="miter"/>
              <v:path gradientshapeok="t" o:connecttype="rect"/>
            </v:shapetype>
            <v:shape id="Text Box 6" o:spid="_x0000_s1030" type="#_x0000_t202" alt="OFFICIAL – SENSITIVE" style="position:absolute;margin-left:0;margin-top:0;width:106.7pt;height:27.2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" filled="f" stroked="f">
              <v:textbox style="mso-fit-shape-to-text:t" inset="20pt,0,0,15pt">
                <w:txbxContent>
                  <w:p w14:paraId="00DAE83A" w14:textId="690BB396"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r w:rsidR="00865F1A">
      <w:rPr>
        <w:rStyle w:val="PageNumber"/>
      </w:rPr>
      <w:fldChar w:fldCharType="begin"/>
    </w:r>
    <w:r w:rsidR="00865F1A">
      <w:rPr>
        <w:rStyle w:val="PageNumber"/>
      </w:rPr>
      <w:instrText xml:space="preserve">PAGE  </w:instrText>
    </w:r>
    <w:r w:rsidR="00865F1A">
      <w:rPr>
        <w:rStyle w:val="PageNumber"/>
      </w:rPr>
      <w:fldChar w:fldCharType="separate"/>
    </w:r>
    <w:r w:rsidR="00865F1A">
      <w:rPr>
        <w:rStyle w:val="PageNumber"/>
        <w:noProof/>
      </w:rPr>
      <w:t>29</w:t>
    </w:r>
    <w:r w:rsidR="00865F1A">
      <w:rPr>
        <w:rStyle w:val="PageNumber"/>
      </w:rPr>
      <w:fldChar w:fldCharType="end"/>
    </w:r>
  </w:p>
  <w:p w14:paraId="48797CC2" w14:textId="77777777" w:rsidR="00865F1A" w:rsidRDefault="00865F1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1057" w14:textId="022937C6" w:rsidR="00956E24" w:rsidRDefault="00956E24">
    <w:pPr>
      <w:pStyle w:val="Footer"/>
    </w:pPr>
    <w:r>
      <w:rPr>
        <w:noProof/>
      </w:rPr>
      <mc:AlternateContent>
        <mc:Choice Requires="wps">
          <w:drawing>
            <wp:anchor distT="0" distB="0" distL="0" distR="0" simplePos="0" relativeHeight="251673600" behindDoc="0" locked="0" layoutInCell="1" allowOverlap="1" wp14:anchorId="024D5577" wp14:editId="59E5BDF9">
              <wp:simplePos x="635" y="635"/>
              <wp:positionH relativeFrom="page">
                <wp:align>left</wp:align>
              </wp:positionH>
              <wp:positionV relativeFrom="page">
                <wp:align>bottom</wp:align>
              </wp:positionV>
              <wp:extent cx="1355090" cy="345440"/>
              <wp:effectExtent l="0" t="0" r="16510" b="0"/>
              <wp:wrapNone/>
              <wp:docPr id="1246908692" name="Text Box 4"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45440"/>
                      </a:xfrm>
                      <a:prstGeom prst="rect">
                        <a:avLst/>
                      </a:prstGeom>
                      <a:noFill/>
                      <a:ln>
                        <a:noFill/>
                      </a:ln>
                    </wps:spPr>
                    <wps:txbx>
                      <w:txbxContent>
                        <w:p w14:paraId="5DCEDCB0" w14:textId="63F53AD4"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D5577" id="_x0000_t202" coordsize="21600,21600" o:spt="202" path="m,l,21600r21600,l21600,xe">
              <v:stroke joinstyle="miter"/>
              <v:path gradientshapeok="t" o:connecttype="rect"/>
            </v:shapetype>
            <v:shape id="Text Box 4" o:spid="_x0000_s1031" type="#_x0000_t202" alt="OFFICIAL – SENSITIVE" style="position:absolute;margin-left:0;margin-top:0;width:106.7pt;height:27.2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" filled="f" stroked="f">
              <v:textbox style="mso-fit-shape-to-text:t" inset="20pt,0,0,15pt">
                <w:txbxContent>
                  <w:p w14:paraId="5DCEDCB0" w14:textId="63F53AD4" w:rsidR="00956E24" w:rsidRPr="00956E24" w:rsidRDefault="00956E24" w:rsidP="00956E24">
                    <w:pPr>
                      <w:rPr>
                        <w:rFonts w:ascii="Calibri" w:eastAsia="Calibri" w:hAnsi="Calibri" w:cs="Calibri"/>
                        <w:noProof/>
                        <w:color w:val="000000"/>
                        <w:sz w:val="20"/>
                      </w:rPr>
                    </w:pPr>
                    <w:r w:rsidRPr="00956E24">
                      <w:rPr>
                        <w:rFonts w:ascii="Calibri" w:eastAsia="Calibri" w:hAnsi="Calibri" w:cs="Calibri"/>
                        <w:noProof/>
                        <w:color w:val="00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D442" w14:textId="77777777" w:rsidR="00F46A9B" w:rsidRDefault="00F46A9B">
      <w:r>
        <w:separator/>
      </w:r>
    </w:p>
  </w:footnote>
  <w:footnote w:type="continuationSeparator" w:id="0">
    <w:p w14:paraId="0D9BA81E" w14:textId="77777777" w:rsidR="00F46A9B" w:rsidRDefault="00F4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3999" w14:textId="6BA1A68A" w:rsidR="001651FA" w:rsidRDefault="0016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057E" w14:textId="337EF093" w:rsidR="001651FA" w:rsidRDefault="00165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6E14" w14:textId="41761F75" w:rsidR="001651FA" w:rsidRDefault="00165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C936" w14:textId="55D4F94E" w:rsidR="00865F1A" w:rsidRDefault="00865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A37C" w14:textId="666CFD3A" w:rsidR="00865F1A" w:rsidRPr="003D7559" w:rsidRDefault="00865F1A" w:rsidP="002F318F">
    <w:pPr>
      <w:pStyle w:val="Header"/>
      <w:rPr>
        <w:sz w:val="22"/>
        <w:szCs w:val="22"/>
      </w:rPr>
    </w:pPr>
    <w:r w:rsidRPr="003D7559">
      <w:rPr>
        <w:sz w:val="22"/>
        <w:szCs w:val="22"/>
      </w:rPr>
      <w:t>Lancashire Combined Fire Authority</w:t>
    </w:r>
  </w:p>
  <w:p w14:paraId="15AE9E65" w14:textId="61410D9E" w:rsidR="00865F1A" w:rsidRDefault="00865F1A">
    <w:pPr>
      <w:pStyle w:val="Header"/>
      <w:rPr>
        <w:sz w:val="22"/>
        <w:szCs w:val="22"/>
      </w:rPr>
    </w:pPr>
    <w:r w:rsidRPr="003D7559">
      <w:rPr>
        <w:sz w:val="22"/>
        <w:szCs w:val="22"/>
      </w:rPr>
      <w:t>Statement of Accounts 20</w:t>
    </w:r>
    <w:r>
      <w:rPr>
        <w:sz w:val="22"/>
        <w:szCs w:val="22"/>
      </w:rPr>
      <w:t>2</w:t>
    </w:r>
    <w:r w:rsidR="00A066AE">
      <w:rPr>
        <w:sz w:val="22"/>
        <w:szCs w:val="22"/>
      </w:rPr>
      <w:t>3</w:t>
    </w:r>
    <w:r w:rsidR="00172C6B">
      <w:rPr>
        <w:sz w:val="22"/>
        <w:szCs w:val="22"/>
      </w:rPr>
      <w:t>/2</w:t>
    </w:r>
    <w:r w:rsidR="00A066AE">
      <w:rPr>
        <w:sz w:val="22"/>
        <w:szCs w:val="22"/>
      </w:rPr>
      <w:t>4</w:t>
    </w:r>
  </w:p>
  <w:p w14:paraId="05C3AD74" w14:textId="77777777" w:rsidR="00ED21C2" w:rsidRPr="002F318F" w:rsidRDefault="00ED21C2">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1983" w14:textId="27DFF55F" w:rsidR="00865F1A" w:rsidRDefault="0086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403"/>
    <w:multiLevelType w:val="multilevel"/>
    <w:tmpl w:val="8F50608C"/>
    <w:lvl w:ilvl="0">
      <w:start w:val="1"/>
      <w:numFmt w:val="decimal"/>
      <w:pStyle w:val="Bodytextnumbered"/>
      <w:lvlText w:val="%1"/>
      <w:lvlJc w:val="right"/>
      <w:pPr>
        <w:tabs>
          <w:tab w:val="num" w:pos="397"/>
        </w:tabs>
        <w:ind w:left="397" w:hanging="227"/>
      </w:pPr>
      <w:rPr>
        <w:rFonts w:hint="default"/>
        <w:b/>
        <w:i w:val="0"/>
        <w:color w:val="083863"/>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color w:val="083863"/>
        <w:sz w:val="20"/>
        <w:szCs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A12543"/>
    <w:multiLevelType w:val="hybridMultilevel"/>
    <w:tmpl w:val="7ECAB368"/>
    <w:lvl w:ilvl="0" w:tplc="BF3E21C2">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 w15:restartNumberingAfterBreak="0">
    <w:nsid w:val="06272E2D"/>
    <w:multiLevelType w:val="hybridMultilevel"/>
    <w:tmpl w:val="3814A038"/>
    <w:lvl w:ilvl="0" w:tplc="D6B461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521F"/>
    <w:multiLevelType w:val="hybridMultilevel"/>
    <w:tmpl w:val="33BAC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211F7"/>
    <w:multiLevelType w:val="hybridMultilevel"/>
    <w:tmpl w:val="11680D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06A5D"/>
    <w:multiLevelType w:val="hybridMultilevel"/>
    <w:tmpl w:val="99DE52A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DD2716"/>
    <w:multiLevelType w:val="hybridMultilevel"/>
    <w:tmpl w:val="767E5D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9AC066C"/>
    <w:multiLevelType w:val="hybridMultilevel"/>
    <w:tmpl w:val="F2EABE9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DE92C84"/>
    <w:multiLevelType w:val="hybridMultilevel"/>
    <w:tmpl w:val="8BFE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0540B"/>
    <w:multiLevelType w:val="hybridMultilevel"/>
    <w:tmpl w:val="BC8E09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F61496"/>
    <w:multiLevelType w:val="hybridMultilevel"/>
    <w:tmpl w:val="F52AF7D6"/>
    <w:lvl w:ilvl="0" w:tplc="FED4AA18">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1" w15:restartNumberingAfterBreak="0">
    <w:nsid w:val="2D641505"/>
    <w:multiLevelType w:val="hybridMultilevel"/>
    <w:tmpl w:val="3414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D0B9E"/>
    <w:multiLevelType w:val="hybridMultilevel"/>
    <w:tmpl w:val="A62421B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38D7242"/>
    <w:multiLevelType w:val="hybridMultilevel"/>
    <w:tmpl w:val="C97C27EA"/>
    <w:lvl w:ilvl="0" w:tplc="9516EDE4">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F15DEA"/>
    <w:multiLevelType w:val="hybridMultilevel"/>
    <w:tmpl w:val="528EA10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5E54D0C"/>
    <w:multiLevelType w:val="singleLevel"/>
    <w:tmpl w:val="F02C6FD0"/>
    <w:lvl w:ilvl="0">
      <w:start w:val="1"/>
      <w:numFmt w:val="bullet"/>
      <w:pStyle w:val="Bullets"/>
      <w:lvlText w:val=""/>
      <w:lvlJc w:val="left"/>
      <w:pPr>
        <w:tabs>
          <w:tab w:val="num" w:pos="397"/>
        </w:tabs>
        <w:ind w:left="397" w:hanging="397"/>
      </w:pPr>
      <w:rPr>
        <w:rFonts w:ascii="Wingdings" w:hAnsi="Wingdings" w:hint="default"/>
        <w:sz w:val="12"/>
      </w:rPr>
    </w:lvl>
  </w:abstractNum>
  <w:abstractNum w:abstractNumId="16" w15:restartNumberingAfterBreak="0">
    <w:nsid w:val="36F46C96"/>
    <w:multiLevelType w:val="hybridMultilevel"/>
    <w:tmpl w:val="0FA21E5A"/>
    <w:lvl w:ilvl="0" w:tplc="08090001">
      <w:start w:val="1"/>
      <w:numFmt w:val="bullet"/>
      <w:lvlText w:val=""/>
      <w:lvlJc w:val="left"/>
      <w:pPr>
        <w:tabs>
          <w:tab w:val="num" w:pos="2149"/>
        </w:tabs>
        <w:ind w:left="2149" w:hanging="360"/>
      </w:pPr>
      <w:rPr>
        <w:rFonts w:ascii="Symbol" w:hAnsi="Symbol" w:hint="default"/>
      </w:rPr>
    </w:lvl>
    <w:lvl w:ilvl="1" w:tplc="08090003" w:tentative="1">
      <w:start w:val="1"/>
      <w:numFmt w:val="bullet"/>
      <w:lvlText w:val="o"/>
      <w:lvlJc w:val="left"/>
      <w:pPr>
        <w:tabs>
          <w:tab w:val="num" w:pos="2869"/>
        </w:tabs>
        <w:ind w:left="2869" w:hanging="360"/>
      </w:pPr>
      <w:rPr>
        <w:rFonts w:ascii="Courier New" w:hAnsi="Courier New" w:cs="Courier New" w:hint="default"/>
      </w:rPr>
    </w:lvl>
    <w:lvl w:ilvl="2" w:tplc="08090005" w:tentative="1">
      <w:start w:val="1"/>
      <w:numFmt w:val="bullet"/>
      <w:lvlText w:val=""/>
      <w:lvlJc w:val="left"/>
      <w:pPr>
        <w:tabs>
          <w:tab w:val="num" w:pos="3589"/>
        </w:tabs>
        <w:ind w:left="3589" w:hanging="360"/>
      </w:pPr>
      <w:rPr>
        <w:rFonts w:ascii="Wingdings" w:hAnsi="Wingdings" w:hint="default"/>
      </w:rPr>
    </w:lvl>
    <w:lvl w:ilvl="3" w:tplc="08090001" w:tentative="1">
      <w:start w:val="1"/>
      <w:numFmt w:val="bullet"/>
      <w:lvlText w:val=""/>
      <w:lvlJc w:val="left"/>
      <w:pPr>
        <w:tabs>
          <w:tab w:val="num" w:pos="4309"/>
        </w:tabs>
        <w:ind w:left="4309" w:hanging="360"/>
      </w:pPr>
      <w:rPr>
        <w:rFonts w:ascii="Symbol" w:hAnsi="Symbol" w:hint="default"/>
      </w:rPr>
    </w:lvl>
    <w:lvl w:ilvl="4" w:tplc="08090003" w:tentative="1">
      <w:start w:val="1"/>
      <w:numFmt w:val="bullet"/>
      <w:lvlText w:val="o"/>
      <w:lvlJc w:val="left"/>
      <w:pPr>
        <w:tabs>
          <w:tab w:val="num" w:pos="5029"/>
        </w:tabs>
        <w:ind w:left="5029" w:hanging="360"/>
      </w:pPr>
      <w:rPr>
        <w:rFonts w:ascii="Courier New" w:hAnsi="Courier New" w:cs="Courier New" w:hint="default"/>
      </w:rPr>
    </w:lvl>
    <w:lvl w:ilvl="5" w:tplc="08090005" w:tentative="1">
      <w:start w:val="1"/>
      <w:numFmt w:val="bullet"/>
      <w:lvlText w:val=""/>
      <w:lvlJc w:val="left"/>
      <w:pPr>
        <w:tabs>
          <w:tab w:val="num" w:pos="5749"/>
        </w:tabs>
        <w:ind w:left="5749" w:hanging="360"/>
      </w:pPr>
      <w:rPr>
        <w:rFonts w:ascii="Wingdings" w:hAnsi="Wingdings" w:hint="default"/>
      </w:rPr>
    </w:lvl>
    <w:lvl w:ilvl="6" w:tplc="08090001" w:tentative="1">
      <w:start w:val="1"/>
      <w:numFmt w:val="bullet"/>
      <w:lvlText w:val=""/>
      <w:lvlJc w:val="left"/>
      <w:pPr>
        <w:tabs>
          <w:tab w:val="num" w:pos="6469"/>
        </w:tabs>
        <w:ind w:left="6469" w:hanging="360"/>
      </w:pPr>
      <w:rPr>
        <w:rFonts w:ascii="Symbol" w:hAnsi="Symbol" w:hint="default"/>
      </w:rPr>
    </w:lvl>
    <w:lvl w:ilvl="7" w:tplc="08090003" w:tentative="1">
      <w:start w:val="1"/>
      <w:numFmt w:val="bullet"/>
      <w:lvlText w:val="o"/>
      <w:lvlJc w:val="left"/>
      <w:pPr>
        <w:tabs>
          <w:tab w:val="num" w:pos="7189"/>
        </w:tabs>
        <w:ind w:left="7189" w:hanging="360"/>
      </w:pPr>
      <w:rPr>
        <w:rFonts w:ascii="Courier New" w:hAnsi="Courier New" w:cs="Courier New" w:hint="default"/>
      </w:rPr>
    </w:lvl>
    <w:lvl w:ilvl="8" w:tplc="08090005" w:tentative="1">
      <w:start w:val="1"/>
      <w:numFmt w:val="bullet"/>
      <w:lvlText w:val=""/>
      <w:lvlJc w:val="left"/>
      <w:pPr>
        <w:tabs>
          <w:tab w:val="num" w:pos="7909"/>
        </w:tabs>
        <w:ind w:left="7909" w:hanging="360"/>
      </w:pPr>
      <w:rPr>
        <w:rFonts w:ascii="Wingdings" w:hAnsi="Wingdings" w:hint="default"/>
      </w:rPr>
    </w:lvl>
  </w:abstractNum>
  <w:abstractNum w:abstractNumId="17" w15:restartNumberingAfterBreak="0">
    <w:nsid w:val="383D36BA"/>
    <w:multiLevelType w:val="hybridMultilevel"/>
    <w:tmpl w:val="89B2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D5E37"/>
    <w:multiLevelType w:val="hybridMultilevel"/>
    <w:tmpl w:val="FE3CF5BC"/>
    <w:lvl w:ilvl="0" w:tplc="1A2EC33A">
      <w:start w:val="38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2C79EA"/>
    <w:multiLevelType w:val="hybridMultilevel"/>
    <w:tmpl w:val="D61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E34B4"/>
    <w:multiLevelType w:val="hybridMultilevel"/>
    <w:tmpl w:val="648E1CFA"/>
    <w:lvl w:ilvl="0" w:tplc="9516EDE4">
      <w:start w:val="1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C3B5B"/>
    <w:multiLevelType w:val="hybridMultilevel"/>
    <w:tmpl w:val="995A9A00"/>
    <w:lvl w:ilvl="0" w:tplc="07243122">
      <w:start w:val="4"/>
      <w:numFmt w:val="lowerRoman"/>
      <w:lvlText w:val="%1)"/>
      <w:lvlJc w:val="left"/>
      <w:pPr>
        <w:tabs>
          <w:tab w:val="num" w:pos="2160"/>
        </w:tabs>
        <w:ind w:left="2160" w:hanging="720"/>
      </w:pPr>
      <w:rPr>
        <w:rFonts w:hint="default"/>
      </w:rPr>
    </w:lvl>
    <w:lvl w:ilvl="1" w:tplc="5F906F5C">
      <w:start w:val="8"/>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2" w15:restartNumberingAfterBreak="0">
    <w:nsid w:val="44A24F3B"/>
    <w:multiLevelType w:val="multilevel"/>
    <w:tmpl w:val="CBC28D86"/>
    <w:lvl w:ilvl="0">
      <w:start w:val="1"/>
      <w:numFmt w:val="bullet"/>
      <w:pStyle w:val="Bullet1"/>
      <w:lvlText w:val=""/>
      <w:lvlJc w:val="left"/>
      <w:pPr>
        <w:tabs>
          <w:tab w:val="num" w:pos="794"/>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Sabo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abo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abo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97D12"/>
    <w:multiLevelType w:val="hybridMultilevel"/>
    <w:tmpl w:val="E152A368"/>
    <w:lvl w:ilvl="0" w:tplc="8C342F3E">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4" w15:restartNumberingAfterBreak="0">
    <w:nsid w:val="47A7026C"/>
    <w:multiLevelType w:val="hybridMultilevel"/>
    <w:tmpl w:val="1E32C058"/>
    <w:lvl w:ilvl="0" w:tplc="08090001">
      <w:start w:val="1"/>
      <w:numFmt w:val="bullet"/>
      <w:lvlText w:val=""/>
      <w:lvlJc w:val="left"/>
      <w:pPr>
        <w:tabs>
          <w:tab w:val="num" w:pos="1490"/>
        </w:tabs>
        <w:ind w:left="1490" w:hanging="360"/>
      </w:pPr>
      <w:rPr>
        <w:rFonts w:ascii="Symbol" w:hAnsi="Symbol" w:hint="default"/>
      </w:rPr>
    </w:lvl>
    <w:lvl w:ilvl="1" w:tplc="08090003" w:tentative="1">
      <w:start w:val="1"/>
      <w:numFmt w:val="bullet"/>
      <w:lvlText w:val="o"/>
      <w:lvlJc w:val="left"/>
      <w:pPr>
        <w:tabs>
          <w:tab w:val="num" w:pos="2210"/>
        </w:tabs>
        <w:ind w:left="2210" w:hanging="360"/>
      </w:pPr>
      <w:rPr>
        <w:rFonts w:ascii="Courier New" w:hAnsi="Courier New" w:cs="Courier New" w:hint="default"/>
      </w:rPr>
    </w:lvl>
    <w:lvl w:ilvl="2" w:tplc="08090005" w:tentative="1">
      <w:start w:val="1"/>
      <w:numFmt w:val="bullet"/>
      <w:lvlText w:val=""/>
      <w:lvlJc w:val="left"/>
      <w:pPr>
        <w:tabs>
          <w:tab w:val="num" w:pos="2930"/>
        </w:tabs>
        <w:ind w:left="2930" w:hanging="360"/>
      </w:pPr>
      <w:rPr>
        <w:rFonts w:ascii="Wingdings" w:hAnsi="Wingdings" w:hint="default"/>
      </w:rPr>
    </w:lvl>
    <w:lvl w:ilvl="3" w:tplc="08090001" w:tentative="1">
      <w:start w:val="1"/>
      <w:numFmt w:val="bullet"/>
      <w:lvlText w:val=""/>
      <w:lvlJc w:val="left"/>
      <w:pPr>
        <w:tabs>
          <w:tab w:val="num" w:pos="3650"/>
        </w:tabs>
        <w:ind w:left="3650" w:hanging="360"/>
      </w:pPr>
      <w:rPr>
        <w:rFonts w:ascii="Symbol" w:hAnsi="Symbol" w:hint="default"/>
      </w:rPr>
    </w:lvl>
    <w:lvl w:ilvl="4" w:tplc="08090003" w:tentative="1">
      <w:start w:val="1"/>
      <w:numFmt w:val="bullet"/>
      <w:lvlText w:val="o"/>
      <w:lvlJc w:val="left"/>
      <w:pPr>
        <w:tabs>
          <w:tab w:val="num" w:pos="4370"/>
        </w:tabs>
        <w:ind w:left="4370" w:hanging="360"/>
      </w:pPr>
      <w:rPr>
        <w:rFonts w:ascii="Courier New" w:hAnsi="Courier New" w:cs="Courier New" w:hint="default"/>
      </w:rPr>
    </w:lvl>
    <w:lvl w:ilvl="5" w:tplc="08090005" w:tentative="1">
      <w:start w:val="1"/>
      <w:numFmt w:val="bullet"/>
      <w:lvlText w:val=""/>
      <w:lvlJc w:val="left"/>
      <w:pPr>
        <w:tabs>
          <w:tab w:val="num" w:pos="5090"/>
        </w:tabs>
        <w:ind w:left="5090" w:hanging="360"/>
      </w:pPr>
      <w:rPr>
        <w:rFonts w:ascii="Wingdings" w:hAnsi="Wingdings" w:hint="default"/>
      </w:rPr>
    </w:lvl>
    <w:lvl w:ilvl="6" w:tplc="08090001" w:tentative="1">
      <w:start w:val="1"/>
      <w:numFmt w:val="bullet"/>
      <w:lvlText w:val=""/>
      <w:lvlJc w:val="left"/>
      <w:pPr>
        <w:tabs>
          <w:tab w:val="num" w:pos="5810"/>
        </w:tabs>
        <w:ind w:left="5810" w:hanging="360"/>
      </w:pPr>
      <w:rPr>
        <w:rFonts w:ascii="Symbol" w:hAnsi="Symbol" w:hint="default"/>
      </w:rPr>
    </w:lvl>
    <w:lvl w:ilvl="7" w:tplc="08090003" w:tentative="1">
      <w:start w:val="1"/>
      <w:numFmt w:val="bullet"/>
      <w:lvlText w:val="o"/>
      <w:lvlJc w:val="left"/>
      <w:pPr>
        <w:tabs>
          <w:tab w:val="num" w:pos="6530"/>
        </w:tabs>
        <w:ind w:left="6530" w:hanging="360"/>
      </w:pPr>
      <w:rPr>
        <w:rFonts w:ascii="Courier New" w:hAnsi="Courier New" w:cs="Courier New" w:hint="default"/>
      </w:rPr>
    </w:lvl>
    <w:lvl w:ilvl="8" w:tplc="08090005" w:tentative="1">
      <w:start w:val="1"/>
      <w:numFmt w:val="bullet"/>
      <w:lvlText w:val=""/>
      <w:lvlJc w:val="left"/>
      <w:pPr>
        <w:tabs>
          <w:tab w:val="num" w:pos="7250"/>
        </w:tabs>
        <w:ind w:left="7250" w:hanging="360"/>
      </w:pPr>
      <w:rPr>
        <w:rFonts w:ascii="Wingdings" w:hAnsi="Wingdings" w:hint="default"/>
      </w:rPr>
    </w:lvl>
  </w:abstractNum>
  <w:abstractNum w:abstractNumId="25" w15:restartNumberingAfterBreak="0">
    <w:nsid w:val="480C43AD"/>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4F773D89"/>
    <w:multiLevelType w:val="hybridMultilevel"/>
    <w:tmpl w:val="CB400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B21E4"/>
    <w:multiLevelType w:val="hybridMultilevel"/>
    <w:tmpl w:val="A49C75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1EA56AB"/>
    <w:multiLevelType w:val="hybridMultilevel"/>
    <w:tmpl w:val="F4B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375D0"/>
    <w:multiLevelType w:val="hybridMultilevel"/>
    <w:tmpl w:val="EF4239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8395677"/>
    <w:multiLevelType w:val="hybridMultilevel"/>
    <w:tmpl w:val="F8FC87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A83718"/>
    <w:multiLevelType w:val="hybridMultilevel"/>
    <w:tmpl w:val="FC12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A6EF3"/>
    <w:multiLevelType w:val="hybridMultilevel"/>
    <w:tmpl w:val="BCA2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C761C"/>
    <w:multiLevelType w:val="hybridMultilevel"/>
    <w:tmpl w:val="E46A6498"/>
    <w:lvl w:ilvl="0" w:tplc="08090001">
      <w:start w:val="1"/>
      <w:numFmt w:val="bullet"/>
      <w:lvlText w:val=""/>
      <w:lvlJc w:val="left"/>
      <w:pPr>
        <w:tabs>
          <w:tab w:val="num" w:pos="2216"/>
        </w:tabs>
        <w:ind w:left="2216" w:hanging="360"/>
      </w:pPr>
      <w:rPr>
        <w:rFonts w:ascii="Symbol" w:hAnsi="Symbol" w:hint="default"/>
      </w:rPr>
    </w:lvl>
    <w:lvl w:ilvl="1" w:tplc="08090003" w:tentative="1">
      <w:start w:val="1"/>
      <w:numFmt w:val="bullet"/>
      <w:lvlText w:val="o"/>
      <w:lvlJc w:val="left"/>
      <w:pPr>
        <w:tabs>
          <w:tab w:val="num" w:pos="2936"/>
        </w:tabs>
        <w:ind w:left="2936" w:hanging="360"/>
      </w:pPr>
      <w:rPr>
        <w:rFonts w:ascii="Courier New" w:hAnsi="Courier New" w:cs="Courier New" w:hint="default"/>
      </w:rPr>
    </w:lvl>
    <w:lvl w:ilvl="2" w:tplc="08090005" w:tentative="1">
      <w:start w:val="1"/>
      <w:numFmt w:val="bullet"/>
      <w:lvlText w:val=""/>
      <w:lvlJc w:val="left"/>
      <w:pPr>
        <w:tabs>
          <w:tab w:val="num" w:pos="3656"/>
        </w:tabs>
        <w:ind w:left="3656" w:hanging="360"/>
      </w:pPr>
      <w:rPr>
        <w:rFonts w:ascii="Wingdings" w:hAnsi="Wingdings" w:hint="default"/>
      </w:rPr>
    </w:lvl>
    <w:lvl w:ilvl="3" w:tplc="08090001" w:tentative="1">
      <w:start w:val="1"/>
      <w:numFmt w:val="bullet"/>
      <w:lvlText w:val=""/>
      <w:lvlJc w:val="left"/>
      <w:pPr>
        <w:tabs>
          <w:tab w:val="num" w:pos="4376"/>
        </w:tabs>
        <w:ind w:left="4376" w:hanging="360"/>
      </w:pPr>
      <w:rPr>
        <w:rFonts w:ascii="Symbol" w:hAnsi="Symbol" w:hint="default"/>
      </w:rPr>
    </w:lvl>
    <w:lvl w:ilvl="4" w:tplc="08090003" w:tentative="1">
      <w:start w:val="1"/>
      <w:numFmt w:val="bullet"/>
      <w:lvlText w:val="o"/>
      <w:lvlJc w:val="left"/>
      <w:pPr>
        <w:tabs>
          <w:tab w:val="num" w:pos="5096"/>
        </w:tabs>
        <w:ind w:left="5096" w:hanging="360"/>
      </w:pPr>
      <w:rPr>
        <w:rFonts w:ascii="Courier New" w:hAnsi="Courier New" w:cs="Courier New" w:hint="default"/>
      </w:rPr>
    </w:lvl>
    <w:lvl w:ilvl="5" w:tplc="08090005" w:tentative="1">
      <w:start w:val="1"/>
      <w:numFmt w:val="bullet"/>
      <w:lvlText w:val=""/>
      <w:lvlJc w:val="left"/>
      <w:pPr>
        <w:tabs>
          <w:tab w:val="num" w:pos="5816"/>
        </w:tabs>
        <w:ind w:left="5816" w:hanging="360"/>
      </w:pPr>
      <w:rPr>
        <w:rFonts w:ascii="Wingdings" w:hAnsi="Wingdings" w:hint="default"/>
      </w:rPr>
    </w:lvl>
    <w:lvl w:ilvl="6" w:tplc="08090001" w:tentative="1">
      <w:start w:val="1"/>
      <w:numFmt w:val="bullet"/>
      <w:lvlText w:val=""/>
      <w:lvlJc w:val="left"/>
      <w:pPr>
        <w:tabs>
          <w:tab w:val="num" w:pos="6536"/>
        </w:tabs>
        <w:ind w:left="6536" w:hanging="360"/>
      </w:pPr>
      <w:rPr>
        <w:rFonts w:ascii="Symbol" w:hAnsi="Symbol" w:hint="default"/>
      </w:rPr>
    </w:lvl>
    <w:lvl w:ilvl="7" w:tplc="08090003" w:tentative="1">
      <w:start w:val="1"/>
      <w:numFmt w:val="bullet"/>
      <w:lvlText w:val="o"/>
      <w:lvlJc w:val="left"/>
      <w:pPr>
        <w:tabs>
          <w:tab w:val="num" w:pos="7256"/>
        </w:tabs>
        <w:ind w:left="7256" w:hanging="360"/>
      </w:pPr>
      <w:rPr>
        <w:rFonts w:ascii="Courier New" w:hAnsi="Courier New" w:cs="Courier New" w:hint="default"/>
      </w:rPr>
    </w:lvl>
    <w:lvl w:ilvl="8" w:tplc="08090005" w:tentative="1">
      <w:start w:val="1"/>
      <w:numFmt w:val="bullet"/>
      <w:lvlText w:val=""/>
      <w:lvlJc w:val="left"/>
      <w:pPr>
        <w:tabs>
          <w:tab w:val="num" w:pos="7976"/>
        </w:tabs>
        <w:ind w:left="7976" w:hanging="360"/>
      </w:pPr>
      <w:rPr>
        <w:rFonts w:ascii="Wingdings" w:hAnsi="Wingdings" w:hint="default"/>
      </w:rPr>
    </w:lvl>
  </w:abstractNum>
  <w:abstractNum w:abstractNumId="34" w15:restartNumberingAfterBreak="0">
    <w:nsid w:val="60543278"/>
    <w:multiLevelType w:val="hybridMultilevel"/>
    <w:tmpl w:val="AB0C8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1460FF4"/>
    <w:multiLevelType w:val="hybridMultilevel"/>
    <w:tmpl w:val="8F4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37" w15:restartNumberingAfterBreak="0">
    <w:nsid w:val="61F82309"/>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40B3A81"/>
    <w:multiLevelType w:val="hybridMultilevel"/>
    <w:tmpl w:val="FC26F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C1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7EB7F3D"/>
    <w:multiLevelType w:val="hybridMultilevel"/>
    <w:tmpl w:val="1884EEB6"/>
    <w:lvl w:ilvl="0" w:tplc="AB626CF8">
      <w:start w:val="1"/>
      <w:numFmt w:val="bullet"/>
      <w:lvlText w:val=""/>
      <w:lvlJc w:val="left"/>
      <w:pPr>
        <w:tabs>
          <w:tab w:val="num" w:pos="284"/>
        </w:tabs>
        <w:ind w:left="284" w:hanging="284"/>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17AD2"/>
    <w:multiLevelType w:val="hybridMultilevel"/>
    <w:tmpl w:val="2A5E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F39CD"/>
    <w:multiLevelType w:val="hybridMultilevel"/>
    <w:tmpl w:val="38661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E25892"/>
    <w:multiLevelType w:val="hybridMultilevel"/>
    <w:tmpl w:val="5392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4E42D1"/>
    <w:multiLevelType w:val="hybridMultilevel"/>
    <w:tmpl w:val="FF726B28"/>
    <w:lvl w:ilvl="0" w:tplc="335A57E2">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C45D97"/>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46" w15:restartNumberingAfterBreak="0">
    <w:nsid w:val="79B27A8E"/>
    <w:multiLevelType w:val="hybridMultilevel"/>
    <w:tmpl w:val="DCF8B550"/>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7" w15:restartNumberingAfterBreak="0">
    <w:nsid w:val="7BBF1565"/>
    <w:multiLevelType w:val="hybridMultilevel"/>
    <w:tmpl w:val="BF0839BC"/>
    <w:lvl w:ilvl="0" w:tplc="6F48BC0C">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8" w15:restartNumberingAfterBreak="0">
    <w:nsid w:val="7C947C1B"/>
    <w:multiLevelType w:val="hybridMultilevel"/>
    <w:tmpl w:val="F1A0194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7F8C6B95"/>
    <w:multiLevelType w:val="hybridMultilevel"/>
    <w:tmpl w:val="DDEC4CA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1190297219">
    <w:abstractNumId w:val="15"/>
  </w:num>
  <w:num w:numId="2" w16cid:durableId="2141334774">
    <w:abstractNumId w:val="0"/>
  </w:num>
  <w:num w:numId="3" w16cid:durableId="856650926">
    <w:abstractNumId w:val="22"/>
  </w:num>
  <w:num w:numId="4" w16cid:durableId="849225146">
    <w:abstractNumId w:val="39"/>
  </w:num>
  <w:num w:numId="5" w16cid:durableId="1564947889">
    <w:abstractNumId w:val="25"/>
  </w:num>
  <w:num w:numId="6" w16cid:durableId="1257321723">
    <w:abstractNumId w:val="45"/>
  </w:num>
  <w:num w:numId="7" w16cid:durableId="1426195552">
    <w:abstractNumId w:val="7"/>
  </w:num>
  <w:num w:numId="8" w16cid:durableId="1787850570">
    <w:abstractNumId w:val="30"/>
  </w:num>
  <w:num w:numId="9" w16cid:durableId="481237762">
    <w:abstractNumId w:val="5"/>
  </w:num>
  <w:num w:numId="10" w16cid:durableId="241763646">
    <w:abstractNumId w:val="12"/>
  </w:num>
  <w:num w:numId="11" w16cid:durableId="701587304">
    <w:abstractNumId w:val="6"/>
  </w:num>
  <w:num w:numId="12" w16cid:durableId="1043560006">
    <w:abstractNumId w:val="16"/>
  </w:num>
  <w:num w:numId="13" w16cid:durableId="1721705196">
    <w:abstractNumId w:val="24"/>
  </w:num>
  <w:num w:numId="14" w16cid:durableId="508568227">
    <w:abstractNumId w:val="3"/>
  </w:num>
  <w:num w:numId="15" w16cid:durableId="709691427">
    <w:abstractNumId w:val="48"/>
  </w:num>
  <w:num w:numId="16" w16cid:durableId="1067847930">
    <w:abstractNumId w:val="46"/>
  </w:num>
  <w:num w:numId="17" w16cid:durableId="2010517222">
    <w:abstractNumId w:val="49"/>
  </w:num>
  <w:num w:numId="18" w16cid:durableId="1043598923">
    <w:abstractNumId w:val="9"/>
  </w:num>
  <w:num w:numId="19" w16cid:durableId="1424572668">
    <w:abstractNumId w:val="14"/>
  </w:num>
  <w:num w:numId="20" w16cid:durableId="81487555">
    <w:abstractNumId w:val="21"/>
  </w:num>
  <w:num w:numId="21" w16cid:durableId="243995930">
    <w:abstractNumId w:val="33"/>
  </w:num>
  <w:num w:numId="22" w16cid:durableId="848643638">
    <w:abstractNumId w:val="27"/>
  </w:num>
  <w:num w:numId="23" w16cid:durableId="329604137">
    <w:abstractNumId w:val="1"/>
  </w:num>
  <w:num w:numId="24" w16cid:durableId="280116307">
    <w:abstractNumId w:val="10"/>
  </w:num>
  <w:num w:numId="25" w16cid:durableId="798649872">
    <w:abstractNumId w:val="47"/>
  </w:num>
  <w:num w:numId="26" w16cid:durableId="2082174097">
    <w:abstractNumId w:val="23"/>
  </w:num>
  <w:num w:numId="27" w16cid:durableId="1276446120">
    <w:abstractNumId w:val="44"/>
  </w:num>
  <w:num w:numId="28" w16cid:durableId="786584060">
    <w:abstractNumId w:val="13"/>
  </w:num>
  <w:num w:numId="29" w16cid:durableId="337587335">
    <w:abstractNumId w:val="37"/>
  </w:num>
  <w:num w:numId="30" w16cid:durableId="1333533934">
    <w:abstractNumId w:val="40"/>
  </w:num>
  <w:num w:numId="31" w16cid:durableId="1470049257">
    <w:abstractNumId w:val="34"/>
  </w:num>
  <w:num w:numId="32" w16cid:durableId="1742210348">
    <w:abstractNumId w:val="38"/>
  </w:num>
  <w:num w:numId="33" w16cid:durableId="2018192096">
    <w:abstractNumId w:val="4"/>
  </w:num>
  <w:num w:numId="34" w16cid:durableId="1005740120">
    <w:abstractNumId w:val="17"/>
  </w:num>
  <w:num w:numId="35" w16cid:durableId="1147894387">
    <w:abstractNumId w:val="28"/>
  </w:num>
  <w:num w:numId="36" w16cid:durableId="316106286">
    <w:abstractNumId w:val="26"/>
  </w:num>
  <w:num w:numId="37" w16cid:durableId="588926130">
    <w:abstractNumId w:val="18"/>
  </w:num>
  <w:num w:numId="38" w16cid:durableId="602685835">
    <w:abstractNumId w:val="29"/>
  </w:num>
  <w:num w:numId="39" w16cid:durableId="848371889">
    <w:abstractNumId w:val="36"/>
  </w:num>
  <w:num w:numId="40" w16cid:durableId="1556165192">
    <w:abstractNumId w:val="8"/>
  </w:num>
  <w:num w:numId="41" w16cid:durableId="1572234239">
    <w:abstractNumId w:val="2"/>
  </w:num>
  <w:num w:numId="42" w16cid:durableId="1210336782">
    <w:abstractNumId w:val="20"/>
  </w:num>
  <w:num w:numId="43" w16cid:durableId="712391772">
    <w:abstractNumId w:val="32"/>
  </w:num>
  <w:num w:numId="44" w16cid:durableId="1964077105">
    <w:abstractNumId w:val="31"/>
  </w:num>
  <w:num w:numId="45" w16cid:durableId="367682959">
    <w:abstractNumId w:val="43"/>
  </w:num>
  <w:num w:numId="46" w16cid:durableId="659385173">
    <w:abstractNumId w:val="35"/>
  </w:num>
  <w:num w:numId="47" w16cid:durableId="1602372321">
    <w:abstractNumId w:val="42"/>
  </w:num>
  <w:num w:numId="48" w16cid:durableId="600841789">
    <w:abstractNumId w:val="19"/>
  </w:num>
  <w:num w:numId="49" w16cid:durableId="18435808">
    <w:abstractNumId w:val="11"/>
  </w:num>
  <w:num w:numId="50" w16cid:durableId="2046445405">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54"/>
    <w:rsid w:val="0000067B"/>
    <w:rsid w:val="00000C47"/>
    <w:rsid w:val="000015AB"/>
    <w:rsid w:val="00001BF5"/>
    <w:rsid w:val="0000209D"/>
    <w:rsid w:val="000025D5"/>
    <w:rsid w:val="0000263D"/>
    <w:rsid w:val="00002924"/>
    <w:rsid w:val="000032C4"/>
    <w:rsid w:val="00003377"/>
    <w:rsid w:val="000033D1"/>
    <w:rsid w:val="00003462"/>
    <w:rsid w:val="000035CB"/>
    <w:rsid w:val="00004046"/>
    <w:rsid w:val="000044E4"/>
    <w:rsid w:val="0000477D"/>
    <w:rsid w:val="00004E49"/>
    <w:rsid w:val="0000572C"/>
    <w:rsid w:val="0000622E"/>
    <w:rsid w:val="0000629B"/>
    <w:rsid w:val="00006BEA"/>
    <w:rsid w:val="000071E9"/>
    <w:rsid w:val="00007DD9"/>
    <w:rsid w:val="000100F8"/>
    <w:rsid w:val="00010719"/>
    <w:rsid w:val="000109F8"/>
    <w:rsid w:val="00010C11"/>
    <w:rsid w:val="00010CC9"/>
    <w:rsid w:val="000110C9"/>
    <w:rsid w:val="000116A2"/>
    <w:rsid w:val="00011A9B"/>
    <w:rsid w:val="00011B1E"/>
    <w:rsid w:val="00011E3D"/>
    <w:rsid w:val="0001227C"/>
    <w:rsid w:val="0001394D"/>
    <w:rsid w:val="00013CD4"/>
    <w:rsid w:val="00014622"/>
    <w:rsid w:val="00014CE5"/>
    <w:rsid w:val="00015000"/>
    <w:rsid w:val="0001516C"/>
    <w:rsid w:val="00016167"/>
    <w:rsid w:val="00016FF5"/>
    <w:rsid w:val="00017ADA"/>
    <w:rsid w:val="00017DF0"/>
    <w:rsid w:val="0002022D"/>
    <w:rsid w:val="0002057D"/>
    <w:rsid w:val="0002058D"/>
    <w:rsid w:val="0002063B"/>
    <w:rsid w:val="000206F5"/>
    <w:rsid w:val="000209B1"/>
    <w:rsid w:val="000211AD"/>
    <w:rsid w:val="00021F7E"/>
    <w:rsid w:val="00022FEF"/>
    <w:rsid w:val="00023306"/>
    <w:rsid w:val="00023623"/>
    <w:rsid w:val="00023D8B"/>
    <w:rsid w:val="00024E54"/>
    <w:rsid w:val="00024E8E"/>
    <w:rsid w:val="000258AD"/>
    <w:rsid w:val="000259DA"/>
    <w:rsid w:val="00025A15"/>
    <w:rsid w:val="000262B3"/>
    <w:rsid w:val="000267C4"/>
    <w:rsid w:val="0002689E"/>
    <w:rsid w:val="000269EB"/>
    <w:rsid w:val="00026E37"/>
    <w:rsid w:val="000278C3"/>
    <w:rsid w:val="00030201"/>
    <w:rsid w:val="0003044C"/>
    <w:rsid w:val="00030C39"/>
    <w:rsid w:val="00031A98"/>
    <w:rsid w:val="00032D7C"/>
    <w:rsid w:val="000333BE"/>
    <w:rsid w:val="000336DD"/>
    <w:rsid w:val="0003405C"/>
    <w:rsid w:val="00034337"/>
    <w:rsid w:val="00035241"/>
    <w:rsid w:val="00035AD1"/>
    <w:rsid w:val="00036C34"/>
    <w:rsid w:val="00036EDA"/>
    <w:rsid w:val="00037917"/>
    <w:rsid w:val="00040384"/>
    <w:rsid w:val="00040749"/>
    <w:rsid w:val="000409D9"/>
    <w:rsid w:val="00040D55"/>
    <w:rsid w:val="000413DF"/>
    <w:rsid w:val="000414B9"/>
    <w:rsid w:val="00041788"/>
    <w:rsid w:val="00041988"/>
    <w:rsid w:val="0004224A"/>
    <w:rsid w:val="00042ADF"/>
    <w:rsid w:val="00043308"/>
    <w:rsid w:val="00043328"/>
    <w:rsid w:val="00043A7E"/>
    <w:rsid w:val="00043D18"/>
    <w:rsid w:val="00043FF1"/>
    <w:rsid w:val="000443CA"/>
    <w:rsid w:val="00045B6B"/>
    <w:rsid w:val="00045BDF"/>
    <w:rsid w:val="00045C50"/>
    <w:rsid w:val="00045CD9"/>
    <w:rsid w:val="00045D1B"/>
    <w:rsid w:val="00045E3F"/>
    <w:rsid w:val="00045FFF"/>
    <w:rsid w:val="000462EB"/>
    <w:rsid w:val="0004667E"/>
    <w:rsid w:val="00046E3D"/>
    <w:rsid w:val="0004720E"/>
    <w:rsid w:val="00047328"/>
    <w:rsid w:val="00047FA6"/>
    <w:rsid w:val="0005046F"/>
    <w:rsid w:val="0005068D"/>
    <w:rsid w:val="00050CF9"/>
    <w:rsid w:val="0005100D"/>
    <w:rsid w:val="00051046"/>
    <w:rsid w:val="00051B22"/>
    <w:rsid w:val="00051F06"/>
    <w:rsid w:val="00052064"/>
    <w:rsid w:val="00052E60"/>
    <w:rsid w:val="00053115"/>
    <w:rsid w:val="00053629"/>
    <w:rsid w:val="00053815"/>
    <w:rsid w:val="00053A63"/>
    <w:rsid w:val="000543B0"/>
    <w:rsid w:val="000543E4"/>
    <w:rsid w:val="000546B0"/>
    <w:rsid w:val="00055731"/>
    <w:rsid w:val="000559C2"/>
    <w:rsid w:val="00055D76"/>
    <w:rsid w:val="00055F30"/>
    <w:rsid w:val="000560AD"/>
    <w:rsid w:val="0005699E"/>
    <w:rsid w:val="00056A8C"/>
    <w:rsid w:val="000570EC"/>
    <w:rsid w:val="000573DF"/>
    <w:rsid w:val="00057BE7"/>
    <w:rsid w:val="00057C80"/>
    <w:rsid w:val="00057CAF"/>
    <w:rsid w:val="00057E95"/>
    <w:rsid w:val="00057EDA"/>
    <w:rsid w:val="00060022"/>
    <w:rsid w:val="00060A67"/>
    <w:rsid w:val="00060DB6"/>
    <w:rsid w:val="00061565"/>
    <w:rsid w:val="00061A8D"/>
    <w:rsid w:val="00061B2C"/>
    <w:rsid w:val="00062050"/>
    <w:rsid w:val="0006254A"/>
    <w:rsid w:val="00062E46"/>
    <w:rsid w:val="00063170"/>
    <w:rsid w:val="00063302"/>
    <w:rsid w:val="000637D9"/>
    <w:rsid w:val="00063C42"/>
    <w:rsid w:val="00064235"/>
    <w:rsid w:val="000646FA"/>
    <w:rsid w:val="00064784"/>
    <w:rsid w:val="00065114"/>
    <w:rsid w:val="000660CE"/>
    <w:rsid w:val="0006635A"/>
    <w:rsid w:val="000667D3"/>
    <w:rsid w:val="000669A4"/>
    <w:rsid w:val="00066EFB"/>
    <w:rsid w:val="00067331"/>
    <w:rsid w:val="00067F6E"/>
    <w:rsid w:val="000702AE"/>
    <w:rsid w:val="0007030A"/>
    <w:rsid w:val="0007247A"/>
    <w:rsid w:val="00072672"/>
    <w:rsid w:val="00072915"/>
    <w:rsid w:val="00072BAC"/>
    <w:rsid w:val="00072DD3"/>
    <w:rsid w:val="00072F2D"/>
    <w:rsid w:val="0007322B"/>
    <w:rsid w:val="00073CCB"/>
    <w:rsid w:val="00073FBC"/>
    <w:rsid w:val="000745FD"/>
    <w:rsid w:val="000749F4"/>
    <w:rsid w:val="00074D4F"/>
    <w:rsid w:val="00075251"/>
    <w:rsid w:val="000756D9"/>
    <w:rsid w:val="00075D09"/>
    <w:rsid w:val="0007606E"/>
    <w:rsid w:val="0007614F"/>
    <w:rsid w:val="0007689B"/>
    <w:rsid w:val="00076D09"/>
    <w:rsid w:val="00076DC2"/>
    <w:rsid w:val="000779D0"/>
    <w:rsid w:val="00077C16"/>
    <w:rsid w:val="0008007D"/>
    <w:rsid w:val="0008039B"/>
    <w:rsid w:val="0008056D"/>
    <w:rsid w:val="00080573"/>
    <w:rsid w:val="00080B03"/>
    <w:rsid w:val="00080DC8"/>
    <w:rsid w:val="00080E74"/>
    <w:rsid w:val="000810CD"/>
    <w:rsid w:val="00081A63"/>
    <w:rsid w:val="00081AB5"/>
    <w:rsid w:val="0008219E"/>
    <w:rsid w:val="000822A0"/>
    <w:rsid w:val="0008244F"/>
    <w:rsid w:val="000829A5"/>
    <w:rsid w:val="00082BA7"/>
    <w:rsid w:val="00082D85"/>
    <w:rsid w:val="0008308F"/>
    <w:rsid w:val="00083221"/>
    <w:rsid w:val="0008385D"/>
    <w:rsid w:val="000839EE"/>
    <w:rsid w:val="0008405C"/>
    <w:rsid w:val="000859C2"/>
    <w:rsid w:val="000859CE"/>
    <w:rsid w:val="00085DD6"/>
    <w:rsid w:val="00085F1D"/>
    <w:rsid w:val="000865DE"/>
    <w:rsid w:val="000868E0"/>
    <w:rsid w:val="00086A2F"/>
    <w:rsid w:val="00086C27"/>
    <w:rsid w:val="00086C74"/>
    <w:rsid w:val="00086CEA"/>
    <w:rsid w:val="000870F3"/>
    <w:rsid w:val="000870FC"/>
    <w:rsid w:val="0008764F"/>
    <w:rsid w:val="0008767D"/>
    <w:rsid w:val="00087853"/>
    <w:rsid w:val="00087BDE"/>
    <w:rsid w:val="00087F79"/>
    <w:rsid w:val="0009002C"/>
    <w:rsid w:val="000900E6"/>
    <w:rsid w:val="0009014E"/>
    <w:rsid w:val="000901BF"/>
    <w:rsid w:val="00090681"/>
    <w:rsid w:val="00091649"/>
    <w:rsid w:val="00091829"/>
    <w:rsid w:val="00091A60"/>
    <w:rsid w:val="00092065"/>
    <w:rsid w:val="000926B5"/>
    <w:rsid w:val="00092E82"/>
    <w:rsid w:val="000931CD"/>
    <w:rsid w:val="0009348D"/>
    <w:rsid w:val="00093C7E"/>
    <w:rsid w:val="000946E6"/>
    <w:rsid w:val="0009480D"/>
    <w:rsid w:val="00094D7E"/>
    <w:rsid w:val="00094F7B"/>
    <w:rsid w:val="00095241"/>
    <w:rsid w:val="00095523"/>
    <w:rsid w:val="00095A62"/>
    <w:rsid w:val="00095B3F"/>
    <w:rsid w:val="000960DE"/>
    <w:rsid w:val="00097243"/>
    <w:rsid w:val="00097D31"/>
    <w:rsid w:val="000A088D"/>
    <w:rsid w:val="000A0C59"/>
    <w:rsid w:val="000A2E23"/>
    <w:rsid w:val="000A2EDE"/>
    <w:rsid w:val="000A2F40"/>
    <w:rsid w:val="000A3074"/>
    <w:rsid w:val="000A3119"/>
    <w:rsid w:val="000A39B5"/>
    <w:rsid w:val="000A3F30"/>
    <w:rsid w:val="000A40E3"/>
    <w:rsid w:val="000A46AA"/>
    <w:rsid w:val="000A57AE"/>
    <w:rsid w:val="000A5B64"/>
    <w:rsid w:val="000A6919"/>
    <w:rsid w:val="000A6A40"/>
    <w:rsid w:val="000A6A56"/>
    <w:rsid w:val="000A7077"/>
    <w:rsid w:val="000A7F5A"/>
    <w:rsid w:val="000A7FFE"/>
    <w:rsid w:val="000B0AE3"/>
    <w:rsid w:val="000B1923"/>
    <w:rsid w:val="000B1A37"/>
    <w:rsid w:val="000B1DF5"/>
    <w:rsid w:val="000B21BE"/>
    <w:rsid w:val="000B23A0"/>
    <w:rsid w:val="000B2427"/>
    <w:rsid w:val="000B2F4C"/>
    <w:rsid w:val="000B305C"/>
    <w:rsid w:val="000B31D4"/>
    <w:rsid w:val="000B3871"/>
    <w:rsid w:val="000B38B6"/>
    <w:rsid w:val="000B3A5D"/>
    <w:rsid w:val="000B3A98"/>
    <w:rsid w:val="000B3F95"/>
    <w:rsid w:val="000B4A14"/>
    <w:rsid w:val="000B4E07"/>
    <w:rsid w:val="000B52A1"/>
    <w:rsid w:val="000B55E0"/>
    <w:rsid w:val="000B56F8"/>
    <w:rsid w:val="000B572F"/>
    <w:rsid w:val="000B5D2E"/>
    <w:rsid w:val="000B5FC3"/>
    <w:rsid w:val="000B6DF3"/>
    <w:rsid w:val="000B6EDD"/>
    <w:rsid w:val="000B6FBC"/>
    <w:rsid w:val="000B724F"/>
    <w:rsid w:val="000B73C5"/>
    <w:rsid w:val="000B7945"/>
    <w:rsid w:val="000C06F6"/>
    <w:rsid w:val="000C0836"/>
    <w:rsid w:val="000C0FF2"/>
    <w:rsid w:val="000C1400"/>
    <w:rsid w:val="000C1BC7"/>
    <w:rsid w:val="000C1F7C"/>
    <w:rsid w:val="000C20A6"/>
    <w:rsid w:val="000C2384"/>
    <w:rsid w:val="000C2662"/>
    <w:rsid w:val="000C3071"/>
    <w:rsid w:val="000C3EA5"/>
    <w:rsid w:val="000C3FB9"/>
    <w:rsid w:val="000C442C"/>
    <w:rsid w:val="000C464D"/>
    <w:rsid w:val="000C4ECF"/>
    <w:rsid w:val="000C58A7"/>
    <w:rsid w:val="000C5C37"/>
    <w:rsid w:val="000C5EEA"/>
    <w:rsid w:val="000C6A4A"/>
    <w:rsid w:val="000C6C5D"/>
    <w:rsid w:val="000C7021"/>
    <w:rsid w:val="000C78DA"/>
    <w:rsid w:val="000C7BD8"/>
    <w:rsid w:val="000C7F0E"/>
    <w:rsid w:val="000D009D"/>
    <w:rsid w:val="000D0281"/>
    <w:rsid w:val="000D0FBE"/>
    <w:rsid w:val="000D294E"/>
    <w:rsid w:val="000D2A3D"/>
    <w:rsid w:val="000D3EA8"/>
    <w:rsid w:val="000D47B3"/>
    <w:rsid w:val="000D48AA"/>
    <w:rsid w:val="000D5322"/>
    <w:rsid w:val="000D5389"/>
    <w:rsid w:val="000D53E2"/>
    <w:rsid w:val="000D683A"/>
    <w:rsid w:val="000D74A5"/>
    <w:rsid w:val="000D753D"/>
    <w:rsid w:val="000D780F"/>
    <w:rsid w:val="000D7B73"/>
    <w:rsid w:val="000D7D67"/>
    <w:rsid w:val="000E00D1"/>
    <w:rsid w:val="000E0355"/>
    <w:rsid w:val="000E0E2C"/>
    <w:rsid w:val="000E0F84"/>
    <w:rsid w:val="000E117E"/>
    <w:rsid w:val="000E1CBC"/>
    <w:rsid w:val="000E1E15"/>
    <w:rsid w:val="000E2553"/>
    <w:rsid w:val="000E2635"/>
    <w:rsid w:val="000E2C96"/>
    <w:rsid w:val="000E2CD0"/>
    <w:rsid w:val="000E2EB0"/>
    <w:rsid w:val="000E2F44"/>
    <w:rsid w:val="000E3304"/>
    <w:rsid w:val="000E388E"/>
    <w:rsid w:val="000E3DB6"/>
    <w:rsid w:val="000E5B3B"/>
    <w:rsid w:val="000E606D"/>
    <w:rsid w:val="000E6298"/>
    <w:rsid w:val="000E6747"/>
    <w:rsid w:val="000E744C"/>
    <w:rsid w:val="000E7E4C"/>
    <w:rsid w:val="000E7E83"/>
    <w:rsid w:val="000F0339"/>
    <w:rsid w:val="000F0682"/>
    <w:rsid w:val="000F173B"/>
    <w:rsid w:val="000F1793"/>
    <w:rsid w:val="000F1E09"/>
    <w:rsid w:val="000F21E3"/>
    <w:rsid w:val="000F223B"/>
    <w:rsid w:val="000F28B4"/>
    <w:rsid w:val="000F28FF"/>
    <w:rsid w:val="000F2CF4"/>
    <w:rsid w:val="000F33C2"/>
    <w:rsid w:val="000F36C2"/>
    <w:rsid w:val="000F38E6"/>
    <w:rsid w:val="000F3C09"/>
    <w:rsid w:val="000F450F"/>
    <w:rsid w:val="000F4527"/>
    <w:rsid w:val="000F4691"/>
    <w:rsid w:val="000F49D7"/>
    <w:rsid w:val="000F562F"/>
    <w:rsid w:val="000F5BFB"/>
    <w:rsid w:val="000F5E3B"/>
    <w:rsid w:val="000F5F35"/>
    <w:rsid w:val="000F6477"/>
    <w:rsid w:val="000F662C"/>
    <w:rsid w:val="000F70BD"/>
    <w:rsid w:val="000F765A"/>
    <w:rsid w:val="001005AE"/>
    <w:rsid w:val="0010066C"/>
    <w:rsid w:val="001009CE"/>
    <w:rsid w:val="001009ED"/>
    <w:rsid w:val="00100B74"/>
    <w:rsid w:val="00100C0F"/>
    <w:rsid w:val="00101D2A"/>
    <w:rsid w:val="001020F8"/>
    <w:rsid w:val="00102321"/>
    <w:rsid w:val="00103759"/>
    <w:rsid w:val="00103E3D"/>
    <w:rsid w:val="00104103"/>
    <w:rsid w:val="00104A49"/>
    <w:rsid w:val="00104D5B"/>
    <w:rsid w:val="00104EC8"/>
    <w:rsid w:val="00104F16"/>
    <w:rsid w:val="00104FD1"/>
    <w:rsid w:val="00105B91"/>
    <w:rsid w:val="00106C42"/>
    <w:rsid w:val="00107A5F"/>
    <w:rsid w:val="0011082B"/>
    <w:rsid w:val="00110A85"/>
    <w:rsid w:val="00111B1F"/>
    <w:rsid w:val="00112799"/>
    <w:rsid w:val="00112857"/>
    <w:rsid w:val="00112C15"/>
    <w:rsid w:val="0011310C"/>
    <w:rsid w:val="001131FC"/>
    <w:rsid w:val="001137E9"/>
    <w:rsid w:val="00113C30"/>
    <w:rsid w:val="0011402D"/>
    <w:rsid w:val="00114995"/>
    <w:rsid w:val="00114A24"/>
    <w:rsid w:val="00114DBB"/>
    <w:rsid w:val="00115C82"/>
    <w:rsid w:val="00116670"/>
    <w:rsid w:val="00116F83"/>
    <w:rsid w:val="00117739"/>
    <w:rsid w:val="00117EE6"/>
    <w:rsid w:val="001208E9"/>
    <w:rsid w:val="00120D09"/>
    <w:rsid w:val="001215AA"/>
    <w:rsid w:val="00121699"/>
    <w:rsid w:val="001221B1"/>
    <w:rsid w:val="001226D1"/>
    <w:rsid w:val="001231A9"/>
    <w:rsid w:val="00123327"/>
    <w:rsid w:val="0012338F"/>
    <w:rsid w:val="00123B01"/>
    <w:rsid w:val="00124F28"/>
    <w:rsid w:val="001250FB"/>
    <w:rsid w:val="00125137"/>
    <w:rsid w:val="001256F6"/>
    <w:rsid w:val="0012583E"/>
    <w:rsid w:val="00125863"/>
    <w:rsid w:val="001259D7"/>
    <w:rsid w:val="00125F41"/>
    <w:rsid w:val="00126C93"/>
    <w:rsid w:val="0012728C"/>
    <w:rsid w:val="001274A8"/>
    <w:rsid w:val="00127504"/>
    <w:rsid w:val="0012759E"/>
    <w:rsid w:val="00127634"/>
    <w:rsid w:val="00127BBA"/>
    <w:rsid w:val="00127F1B"/>
    <w:rsid w:val="00127F71"/>
    <w:rsid w:val="001301A3"/>
    <w:rsid w:val="001302F5"/>
    <w:rsid w:val="001303FE"/>
    <w:rsid w:val="00131153"/>
    <w:rsid w:val="0013134A"/>
    <w:rsid w:val="001315F2"/>
    <w:rsid w:val="001318F9"/>
    <w:rsid w:val="00131B6B"/>
    <w:rsid w:val="00131FE7"/>
    <w:rsid w:val="00132269"/>
    <w:rsid w:val="0013250F"/>
    <w:rsid w:val="00132530"/>
    <w:rsid w:val="00132719"/>
    <w:rsid w:val="00132A6E"/>
    <w:rsid w:val="001336CC"/>
    <w:rsid w:val="00133DC5"/>
    <w:rsid w:val="001341E0"/>
    <w:rsid w:val="0013472A"/>
    <w:rsid w:val="001350F6"/>
    <w:rsid w:val="001350FC"/>
    <w:rsid w:val="0013515F"/>
    <w:rsid w:val="00135351"/>
    <w:rsid w:val="0013584B"/>
    <w:rsid w:val="00135861"/>
    <w:rsid w:val="001358D9"/>
    <w:rsid w:val="00135B96"/>
    <w:rsid w:val="001360C4"/>
    <w:rsid w:val="00136278"/>
    <w:rsid w:val="00136C66"/>
    <w:rsid w:val="00140881"/>
    <w:rsid w:val="00140B3A"/>
    <w:rsid w:val="00140F77"/>
    <w:rsid w:val="00140FCA"/>
    <w:rsid w:val="00141081"/>
    <w:rsid w:val="0014142D"/>
    <w:rsid w:val="0014172A"/>
    <w:rsid w:val="0014276C"/>
    <w:rsid w:val="001428A1"/>
    <w:rsid w:val="001429D8"/>
    <w:rsid w:val="001429DE"/>
    <w:rsid w:val="001431C3"/>
    <w:rsid w:val="00143410"/>
    <w:rsid w:val="001434D4"/>
    <w:rsid w:val="001439E5"/>
    <w:rsid w:val="0014526F"/>
    <w:rsid w:val="00145639"/>
    <w:rsid w:val="00145920"/>
    <w:rsid w:val="001462DC"/>
    <w:rsid w:val="001463CD"/>
    <w:rsid w:val="00146473"/>
    <w:rsid w:val="001465FD"/>
    <w:rsid w:val="0014689F"/>
    <w:rsid w:val="00146FB9"/>
    <w:rsid w:val="0014728C"/>
    <w:rsid w:val="0014768F"/>
    <w:rsid w:val="00150C12"/>
    <w:rsid w:val="00150E82"/>
    <w:rsid w:val="00151591"/>
    <w:rsid w:val="0015208F"/>
    <w:rsid w:val="00152BDD"/>
    <w:rsid w:val="00152CE2"/>
    <w:rsid w:val="00152D1B"/>
    <w:rsid w:val="0015312E"/>
    <w:rsid w:val="00153767"/>
    <w:rsid w:val="00153A2A"/>
    <w:rsid w:val="00153ADD"/>
    <w:rsid w:val="00153B91"/>
    <w:rsid w:val="00153C7A"/>
    <w:rsid w:val="001542E8"/>
    <w:rsid w:val="001543B8"/>
    <w:rsid w:val="00154B08"/>
    <w:rsid w:val="00154DD5"/>
    <w:rsid w:val="0015507B"/>
    <w:rsid w:val="001552CA"/>
    <w:rsid w:val="001559F9"/>
    <w:rsid w:val="00155D67"/>
    <w:rsid w:val="00155EC4"/>
    <w:rsid w:val="00156732"/>
    <w:rsid w:val="00156CA7"/>
    <w:rsid w:val="00156D5B"/>
    <w:rsid w:val="0015723D"/>
    <w:rsid w:val="00157BBE"/>
    <w:rsid w:val="00157C72"/>
    <w:rsid w:val="00157CFC"/>
    <w:rsid w:val="00160380"/>
    <w:rsid w:val="00160C09"/>
    <w:rsid w:val="001611EF"/>
    <w:rsid w:val="00161983"/>
    <w:rsid w:val="0016202A"/>
    <w:rsid w:val="00162041"/>
    <w:rsid w:val="0016239B"/>
    <w:rsid w:val="0016242D"/>
    <w:rsid w:val="001625BC"/>
    <w:rsid w:val="00162815"/>
    <w:rsid w:val="00163697"/>
    <w:rsid w:val="00163B92"/>
    <w:rsid w:val="00164401"/>
    <w:rsid w:val="001645D6"/>
    <w:rsid w:val="001648BD"/>
    <w:rsid w:val="001651FA"/>
    <w:rsid w:val="00165D16"/>
    <w:rsid w:val="00166043"/>
    <w:rsid w:val="00167568"/>
    <w:rsid w:val="0017024A"/>
    <w:rsid w:val="0017067D"/>
    <w:rsid w:val="00170F94"/>
    <w:rsid w:val="001710BD"/>
    <w:rsid w:val="001711A3"/>
    <w:rsid w:val="0017166D"/>
    <w:rsid w:val="00171B6C"/>
    <w:rsid w:val="00171C18"/>
    <w:rsid w:val="00171E95"/>
    <w:rsid w:val="00172C6B"/>
    <w:rsid w:val="00172E0E"/>
    <w:rsid w:val="00173019"/>
    <w:rsid w:val="0017367B"/>
    <w:rsid w:val="00173F69"/>
    <w:rsid w:val="0017408A"/>
    <w:rsid w:val="001742B5"/>
    <w:rsid w:val="001746A3"/>
    <w:rsid w:val="00174738"/>
    <w:rsid w:val="0017483B"/>
    <w:rsid w:val="00174C1B"/>
    <w:rsid w:val="00174F9A"/>
    <w:rsid w:val="0017548A"/>
    <w:rsid w:val="001758CE"/>
    <w:rsid w:val="00175A98"/>
    <w:rsid w:val="00175B1A"/>
    <w:rsid w:val="00175EB2"/>
    <w:rsid w:val="00175FBA"/>
    <w:rsid w:val="00176B30"/>
    <w:rsid w:val="00176CC3"/>
    <w:rsid w:val="00176D1F"/>
    <w:rsid w:val="0017773E"/>
    <w:rsid w:val="00177AEA"/>
    <w:rsid w:val="00180467"/>
    <w:rsid w:val="001806D4"/>
    <w:rsid w:val="0018078D"/>
    <w:rsid w:val="001807E2"/>
    <w:rsid w:val="00180CB8"/>
    <w:rsid w:val="0018147D"/>
    <w:rsid w:val="0018152A"/>
    <w:rsid w:val="001824D9"/>
    <w:rsid w:val="00182BFF"/>
    <w:rsid w:val="0018307D"/>
    <w:rsid w:val="00183A7C"/>
    <w:rsid w:val="00183B75"/>
    <w:rsid w:val="00183C3C"/>
    <w:rsid w:val="001840F8"/>
    <w:rsid w:val="0018416C"/>
    <w:rsid w:val="00184337"/>
    <w:rsid w:val="001844B0"/>
    <w:rsid w:val="00184745"/>
    <w:rsid w:val="00184993"/>
    <w:rsid w:val="00184AE7"/>
    <w:rsid w:val="00184FBB"/>
    <w:rsid w:val="0018517E"/>
    <w:rsid w:val="00185A62"/>
    <w:rsid w:val="00185DF4"/>
    <w:rsid w:val="00187384"/>
    <w:rsid w:val="00187915"/>
    <w:rsid w:val="00187A08"/>
    <w:rsid w:val="00187AF9"/>
    <w:rsid w:val="001902C9"/>
    <w:rsid w:val="001902E0"/>
    <w:rsid w:val="001903A2"/>
    <w:rsid w:val="00190626"/>
    <w:rsid w:val="001907A4"/>
    <w:rsid w:val="00190B25"/>
    <w:rsid w:val="00190BE0"/>
    <w:rsid w:val="00190D40"/>
    <w:rsid w:val="001915FB"/>
    <w:rsid w:val="001917CC"/>
    <w:rsid w:val="00191F3C"/>
    <w:rsid w:val="00191FB6"/>
    <w:rsid w:val="00191FFA"/>
    <w:rsid w:val="0019268A"/>
    <w:rsid w:val="00192D1C"/>
    <w:rsid w:val="00192E75"/>
    <w:rsid w:val="00193162"/>
    <w:rsid w:val="001931F4"/>
    <w:rsid w:val="001937A3"/>
    <w:rsid w:val="00193C4F"/>
    <w:rsid w:val="001940FC"/>
    <w:rsid w:val="00194894"/>
    <w:rsid w:val="00194E13"/>
    <w:rsid w:val="0019537D"/>
    <w:rsid w:val="00195759"/>
    <w:rsid w:val="00195EAD"/>
    <w:rsid w:val="001967B3"/>
    <w:rsid w:val="00196B39"/>
    <w:rsid w:val="00196D77"/>
    <w:rsid w:val="00196F08"/>
    <w:rsid w:val="0019710E"/>
    <w:rsid w:val="0019786D"/>
    <w:rsid w:val="001A0015"/>
    <w:rsid w:val="001A01EF"/>
    <w:rsid w:val="001A0285"/>
    <w:rsid w:val="001A05B7"/>
    <w:rsid w:val="001A0743"/>
    <w:rsid w:val="001A0AFE"/>
    <w:rsid w:val="001A0D2C"/>
    <w:rsid w:val="001A2087"/>
    <w:rsid w:val="001A273E"/>
    <w:rsid w:val="001A3367"/>
    <w:rsid w:val="001A3AD4"/>
    <w:rsid w:val="001A3BFC"/>
    <w:rsid w:val="001A3F29"/>
    <w:rsid w:val="001A4129"/>
    <w:rsid w:val="001A43B8"/>
    <w:rsid w:val="001A46C4"/>
    <w:rsid w:val="001A489D"/>
    <w:rsid w:val="001A4C2C"/>
    <w:rsid w:val="001A5E02"/>
    <w:rsid w:val="001A6245"/>
    <w:rsid w:val="001A6D0B"/>
    <w:rsid w:val="001A6D9E"/>
    <w:rsid w:val="001A6E88"/>
    <w:rsid w:val="001A6F3D"/>
    <w:rsid w:val="001A7070"/>
    <w:rsid w:val="001A7208"/>
    <w:rsid w:val="001A74A6"/>
    <w:rsid w:val="001A7930"/>
    <w:rsid w:val="001A7986"/>
    <w:rsid w:val="001B085E"/>
    <w:rsid w:val="001B0B80"/>
    <w:rsid w:val="001B1222"/>
    <w:rsid w:val="001B15D2"/>
    <w:rsid w:val="001B178B"/>
    <w:rsid w:val="001B2377"/>
    <w:rsid w:val="001B2726"/>
    <w:rsid w:val="001B2AF5"/>
    <w:rsid w:val="001B2D06"/>
    <w:rsid w:val="001B32C9"/>
    <w:rsid w:val="001B3449"/>
    <w:rsid w:val="001B5DEA"/>
    <w:rsid w:val="001B5E39"/>
    <w:rsid w:val="001B604F"/>
    <w:rsid w:val="001B6BE7"/>
    <w:rsid w:val="001B6CF4"/>
    <w:rsid w:val="001B72DF"/>
    <w:rsid w:val="001B7B4F"/>
    <w:rsid w:val="001C0001"/>
    <w:rsid w:val="001C00BF"/>
    <w:rsid w:val="001C037F"/>
    <w:rsid w:val="001C03D5"/>
    <w:rsid w:val="001C0417"/>
    <w:rsid w:val="001C04F3"/>
    <w:rsid w:val="001C095B"/>
    <w:rsid w:val="001C191E"/>
    <w:rsid w:val="001C1966"/>
    <w:rsid w:val="001C1FC5"/>
    <w:rsid w:val="001C2721"/>
    <w:rsid w:val="001C2B3D"/>
    <w:rsid w:val="001C3257"/>
    <w:rsid w:val="001C32A5"/>
    <w:rsid w:val="001C3A52"/>
    <w:rsid w:val="001C40CB"/>
    <w:rsid w:val="001C4318"/>
    <w:rsid w:val="001C4857"/>
    <w:rsid w:val="001C497B"/>
    <w:rsid w:val="001C52D8"/>
    <w:rsid w:val="001C54C4"/>
    <w:rsid w:val="001C592E"/>
    <w:rsid w:val="001C599A"/>
    <w:rsid w:val="001C59E5"/>
    <w:rsid w:val="001C5A71"/>
    <w:rsid w:val="001C66BE"/>
    <w:rsid w:val="001C6862"/>
    <w:rsid w:val="001C6C32"/>
    <w:rsid w:val="001C6C50"/>
    <w:rsid w:val="001C6E1F"/>
    <w:rsid w:val="001C79E6"/>
    <w:rsid w:val="001C7AB4"/>
    <w:rsid w:val="001C7B7D"/>
    <w:rsid w:val="001C7FA7"/>
    <w:rsid w:val="001D012A"/>
    <w:rsid w:val="001D0456"/>
    <w:rsid w:val="001D057F"/>
    <w:rsid w:val="001D0CF9"/>
    <w:rsid w:val="001D0D3B"/>
    <w:rsid w:val="001D0E9C"/>
    <w:rsid w:val="001D11E0"/>
    <w:rsid w:val="001D1CE7"/>
    <w:rsid w:val="001D209A"/>
    <w:rsid w:val="001D28DB"/>
    <w:rsid w:val="001D3299"/>
    <w:rsid w:val="001D3602"/>
    <w:rsid w:val="001D3B27"/>
    <w:rsid w:val="001D3FF0"/>
    <w:rsid w:val="001D49D0"/>
    <w:rsid w:val="001D4A45"/>
    <w:rsid w:val="001D4A4B"/>
    <w:rsid w:val="001D4CF7"/>
    <w:rsid w:val="001D5079"/>
    <w:rsid w:val="001D517E"/>
    <w:rsid w:val="001D5C26"/>
    <w:rsid w:val="001D5D89"/>
    <w:rsid w:val="001D6143"/>
    <w:rsid w:val="001D694F"/>
    <w:rsid w:val="001D76EE"/>
    <w:rsid w:val="001D7FB6"/>
    <w:rsid w:val="001E048F"/>
    <w:rsid w:val="001E0613"/>
    <w:rsid w:val="001E097F"/>
    <w:rsid w:val="001E0C57"/>
    <w:rsid w:val="001E0E57"/>
    <w:rsid w:val="001E1135"/>
    <w:rsid w:val="001E1265"/>
    <w:rsid w:val="001E1397"/>
    <w:rsid w:val="001E13C0"/>
    <w:rsid w:val="001E1543"/>
    <w:rsid w:val="001E15DF"/>
    <w:rsid w:val="001E1B4F"/>
    <w:rsid w:val="001E1BC9"/>
    <w:rsid w:val="001E2165"/>
    <w:rsid w:val="001E23E3"/>
    <w:rsid w:val="001E3865"/>
    <w:rsid w:val="001E3C5F"/>
    <w:rsid w:val="001E3F5B"/>
    <w:rsid w:val="001E4146"/>
    <w:rsid w:val="001E46A7"/>
    <w:rsid w:val="001E5013"/>
    <w:rsid w:val="001E55E9"/>
    <w:rsid w:val="001E5B04"/>
    <w:rsid w:val="001E5EB7"/>
    <w:rsid w:val="001E612D"/>
    <w:rsid w:val="001E6352"/>
    <w:rsid w:val="001E6380"/>
    <w:rsid w:val="001E6773"/>
    <w:rsid w:val="001E6AB8"/>
    <w:rsid w:val="001E6BDF"/>
    <w:rsid w:val="001E71D1"/>
    <w:rsid w:val="001E71F1"/>
    <w:rsid w:val="001E7913"/>
    <w:rsid w:val="001E7D46"/>
    <w:rsid w:val="001F062B"/>
    <w:rsid w:val="001F0703"/>
    <w:rsid w:val="001F1128"/>
    <w:rsid w:val="001F1133"/>
    <w:rsid w:val="001F1736"/>
    <w:rsid w:val="001F1848"/>
    <w:rsid w:val="001F20A1"/>
    <w:rsid w:val="001F4587"/>
    <w:rsid w:val="001F4E9F"/>
    <w:rsid w:val="001F5518"/>
    <w:rsid w:val="001F6468"/>
    <w:rsid w:val="001F6CF3"/>
    <w:rsid w:val="001F7DFB"/>
    <w:rsid w:val="002000FC"/>
    <w:rsid w:val="00200289"/>
    <w:rsid w:val="00200413"/>
    <w:rsid w:val="00200582"/>
    <w:rsid w:val="0020076D"/>
    <w:rsid w:val="002008B2"/>
    <w:rsid w:val="00200BB7"/>
    <w:rsid w:val="00200BD4"/>
    <w:rsid w:val="00201285"/>
    <w:rsid w:val="00201F63"/>
    <w:rsid w:val="002023E9"/>
    <w:rsid w:val="00202CB0"/>
    <w:rsid w:val="002035C7"/>
    <w:rsid w:val="002039F7"/>
    <w:rsid w:val="00204037"/>
    <w:rsid w:val="002042E9"/>
    <w:rsid w:val="00204B47"/>
    <w:rsid w:val="0020536E"/>
    <w:rsid w:val="002059B9"/>
    <w:rsid w:val="00205B0A"/>
    <w:rsid w:val="00205BA3"/>
    <w:rsid w:val="002063C4"/>
    <w:rsid w:val="0020683D"/>
    <w:rsid w:val="0020708E"/>
    <w:rsid w:val="00207731"/>
    <w:rsid w:val="0020774D"/>
    <w:rsid w:val="00207D5A"/>
    <w:rsid w:val="00207DDB"/>
    <w:rsid w:val="00210760"/>
    <w:rsid w:val="00210D68"/>
    <w:rsid w:val="00210D69"/>
    <w:rsid w:val="00210E84"/>
    <w:rsid w:val="00210F99"/>
    <w:rsid w:val="00211115"/>
    <w:rsid w:val="00211690"/>
    <w:rsid w:val="00212185"/>
    <w:rsid w:val="00212C25"/>
    <w:rsid w:val="00212DBF"/>
    <w:rsid w:val="0021319A"/>
    <w:rsid w:val="002139C8"/>
    <w:rsid w:val="00214017"/>
    <w:rsid w:val="002140EC"/>
    <w:rsid w:val="00214971"/>
    <w:rsid w:val="00214B85"/>
    <w:rsid w:val="00215153"/>
    <w:rsid w:val="002159E4"/>
    <w:rsid w:val="00215F10"/>
    <w:rsid w:val="0021613C"/>
    <w:rsid w:val="002162C9"/>
    <w:rsid w:val="002164A8"/>
    <w:rsid w:val="002165FA"/>
    <w:rsid w:val="00216FB7"/>
    <w:rsid w:val="00217242"/>
    <w:rsid w:val="00220458"/>
    <w:rsid w:val="00220ABD"/>
    <w:rsid w:val="002213F9"/>
    <w:rsid w:val="002219DF"/>
    <w:rsid w:val="002224DC"/>
    <w:rsid w:val="00222FC2"/>
    <w:rsid w:val="00223054"/>
    <w:rsid w:val="002235B3"/>
    <w:rsid w:val="00223A12"/>
    <w:rsid w:val="002249BD"/>
    <w:rsid w:val="0022533C"/>
    <w:rsid w:val="0022564D"/>
    <w:rsid w:val="00225936"/>
    <w:rsid w:val="00225D18"/>
    <w:rsid w:val="00227088"/>
    <w:rsid w:val="002271F8"/>
    <w:rsid w:val="0022725C"/>
    <w:rsid w:val="00227670"/>
    <w:rsid w:val="00227942"/>
    <w:rsid w:val="00227DEB"/>
    <w:rsid w:val="00230462"/>
    <w:rsid w:val="0023055B"/>
    <w:rsid w:val="00230857"/>
    <w:rsid w:val="002309DD"/>
    <w:rsid w:val="00231D19"/>
    <w:rsid w:val="00231E64"/>
    <w:rsid w:val="00231F47"/>
    <w:rsid w:val="00232AAE"/>
    <w:rsid w:val="00232E6E"/>
    <w:rsid w:val="0023362D"/>
    <w:rsid w:val="00233A66"/>
    <w:rsid w:val="00233BF0"/>
    <w:rsid w:val="00233E55"/>
    <w:rsid w:val="00234491"/>
    <w:rsid w:val="00234514"/>
    <w:rsid w:val="002347F3"/>
    <w:rsid w:val="00235282"/>
    <w:rsid w:val="002356CB"/>
    <w:rsid w:val="00237049"/>
    <w:rsid w:val="00237164"/>
    <w:rsid w:val="002372C7"/>
    <w:rsid w:val="00237316"/>
    <w:rsid w:val="00237576"/>
    <w:rsid w:val="00240203"/>
    <w:rsid w:val="002406A2"/>
    <w:rsid w:val="00241C73"/>
    <w:rsid w:val="00241D1E"/>
    <w:rsid w:val="0024225A"/>
    <w:rsid w:val="0024243E"/>
    <w:rsid w:val="00242F8C"/>
    <w:rsid w:val="0024304C"/>
    <w:rsid w:val="00243EA6"/>
    <w:rsid w:val="0024427C"/>
    <w:rsid w:val="00244350"/>
    <w:rsid w:val="00244750"/>
    <w:rsid w:val="00244A12"/>
    <w:rsid w:val="00245686"/>
    <w:rsid w:val="00245A86"/>
    <w:rsid w:val="00245B0F"/>
    <w:rsid w:val="00246B48"/>
    <w:rsid w:val="00247A83"/>
    <w:rsid w:val="00247AF7"/>
    <w:rsid w:val="00247D69"/>
    <w:rsid w:val="0025015F"/>
    <w:rsid w:val="00250205"/>
    <w:rsid w:val="00250243"/>
    <w:rsid w:val="0025038D"/>
    <w:rsid w:val="00250701"/>
    <w:rsid w:val="002510F7"/>
    <w:rsid w:val="00251BB2"/>
    <w:rsid w:val="00251D26"/>
    <w:rsid w:val="00252CA4"/>
    <w:rsid w:val="002532AC"/>
    <w:rsid w:val="00253359"/>
    <w:rsid w:val="00253460"/>
    <w:rsid w:val="00253B30"/>
    <w:rsid w:val="00253F6A"/>
    <w:rsid w:val="00254157"/>
    <w:rsid w:val="00254F15"/>
    <w:rsid w:val="00255965"/>
    <w:rsid w:val="00255B84"/>
    <w:rsid w:val="00255C4C"/>
    <w:rsid w:val="00256600"/>
    <w:rsid w:val="002566DA"/>
    <w:rsid w:val="00256AA2"/>
    <w:rsid w:val="0025788F"/>
    <w:rsid w:val="00257947"/>
    <w:rsid w:val="00260E0F"/>
    <w:rsid w:val="00261027"/>
    <w:rsid w:val="002618EE"/>
    <w:rsid w:val="00261A8E"/>
    <w:rsid w:val="002624B8"/>
    <w:rsid w:val="00262755"/>
    <w:rsid w:val="002629D1"/>
    <w:rsid w:val="00262AFC"/>
    <w:rsid w:val="0026325D"/>
    <w:rsid w:val="00263650"/>
    <w:rsid w:val="0026378B"/>
    <w:rsid w:val="002637B5"/>
    <w:rsid w:val="00263999"/>
    <w:rsid w:val="00264314"/>
    <w:rsid w:val="00264476"/>
    <w:rsid w:val="0026468D"/>
    <w:rsid w:val="00264E55"/>
    <w:rsid w:val="002657C6"/>
    <w:rsid w:val="00266128"/>
    <w:rsid w:val="00266344"/>
    <w:rsid w:val="00266CD5"/>
    <w:rsid w:val="00266EE8"/>
    <w:rsid w:val="00267295"/>
    <w:rsid w:val="0026784A"/>
    <w:rsid w:val="002679B5"/>
    <w:rsid w:val="00270112"/>
    <w:rsid w:val="002725FF"/>
    <w:rsid w:val="002726FF"/>
    <w:rsid w:val="00273276"/>
    <w:rsid w:val="002733BD"/>
    <w:rsid w:val="00273AF9"/>
    <w:rsid w:val="00273CA0"/>
    <w:rsid w:val="002741A8"/>
    <w:rsid w:val="0027474F"/>
    <w:rsid w:val="00274B95"/>
    <w:rsid w:val="0027550D"/>
    <w:rsid w:val="00275562"/>
    <w:rsid w:val="00275717"/>
    <w:rsid w:val="0027594C"/>
    <w:rsid w:val="00275AB6"/>
    <w:rsid w:val="00275B1E"/>
    <w:rsid w:val="00276650"/>
    <w:rsid w:val="00276C05"/>
    <w:rsid w:val="00276F42"/>
    <w:rsid w:val="00277079"/>
    <w:rsid w:val="002777DD"/>
    <w:rsid w:val="00277A8C"/>
    <w:rsid w:val="00277CE7"/>
    <w:rsid w:val="0028029B"/>
    <w:rsid w:val="002806A2"/>
    <w:rsid w:val="002808BA"/>
    <w:rsid w:val="00280EFE"/>
    <w:rsid w:val="0028104A"/>
    <w:rsid w:val="002811B7"/>
    <w:rsid w:val="00281907"/>
    <w:rsid w:val="002819D7"/>
    <w:rsid w:val="00281D21"/>
    <w:rsid w:val="00282281"/>
    <w:rsid w:val="002823FC"/>
    <w:rsid w:val="00282586"/>
    <w:rsid w:val="00282914"/>
    <w:rsid w:val="00282918"/>
    <w:rsid w:val="00282940"/>
    <w:rsid w:val="00284315"/>
    <w:rsid w:val="00284F27"/>
    <w:rsid w:val="00284F88"/>
    <w:rsid w:val="0028602C"/>
    <w:rsid w:val="00286645"/>
    <w:rsid w:val="00287281"/>
    <w:rsid w:val="0028758D"/>
    <w:rsid w:val="00287824"/>
    <w:rsid w:val="00287B72"/>
    <w:rsid w:val="00287F2A"/>
    <w:rsid w:val="002900D1"/>
    <w:rsid w:val="00291569"/>
    <w:rsid w:val="00291920"/>
    <w:rsid w:val="0029202D"/>
    <w:rsid w:val="0029314E"/>
    <w:rsid w:val="00293C36"/>
    <w:rsid w:val="00293FAC"/>
    <w:rsid w:val="002942EF"/>
    <w:rsid w:val="00294629"/>
    <w:rsid w:val="0029478A"/>
    <w:rsid w:val="002947D6"/>
    <w:rsid w:val="00294B00"/>
    <w:rsid w:val="00295307"/>
    <w:rsid w:val="00295609"/>
    <w:rsid w:val="00295687"/>
    <w:rsid w:val="002957B6"/>
    <w:rsid w:val="00295832"/>
    <w:rsid w:val="00295A24"/>
    <w:rsid w:val="00295D33"/>
    <w:rsid w:val="00295EB2"/>
    <w:rsid w:val="0029602A"/>
    <w:rsid w:val="00296673"/>
    <w:rsid w:val="00296A09"/>
    <w:rsid w:val="00296C78"/>
    <w:rsid w:val="00296CC5"/>
    <w:rsid w:val="002972BE"/>
    <w:rsid w:val="00297754"/>
    <w:rsid w:val="002A0042"/>
    <w:rsid w:val="002A01D5"/>
    <w:rsid w:val="002A0228"/>
    <w:rsid w:val="002A1304"/>
    <w:rsid w:val="002A172B"/>
    <w:rsid w:val="002A180E"/>
    <w:rsid w:val="002A1962"/>
    <w:rsid w:val="002A2482"/>
    <w:rsid w:val="002A3016"/>
    <w:rsid w:val="002A33C8"/>
    <w:rsid w:val="002A33DC"/>
    <w:rsid w:val="002A47C4"/>
    <w:rsid w:val="002A48DC"/>
    <w:rsid w:val="002A4D26"/>
    <w:rsid w:val="002A4E1E"/>
    <w:rsid w:val="002A4F7F"/>
    <w:rsid w:val="002A50FA"/>
    <w:rsid w:val="002A57D5"/>
    <w:rsid w:val="002A5DE1"/>
    <w:rsid w:val="002A607E"/>
    <w:rsid w:val="002A6C30"/>
    <w:rsid w:val="002A790B"/>
    <w:rsid w:val="002A7A6B"/>
    <w:rsid w:val="002B03B5"/>
    <w:rsid w:val="002B03DC"/>
    <w:rsid w:val="002B085B"/>
    <w:rsid w:val="002B09C5"/>
    <w:rsid w:val="002B17E4"/>
    <w:rsid w:val="002B2AE5"/>
    <w:rsid w:val="002B372F"/>
    <w:rsid w:val="002B4690"/>
    <w:rsid w:val="002B4857"/>
    <w:rsid w:val="002B4C54"/>
    <w:rsid w:val="002B520D"/>
    <w:rsid w:val="002B55E1"/>
    <w:rsid w:val="002B5862"/>
    <w:rsid w:val="002B5926"/>
    <w:rsid w:val="002B6814"/>
    <w:rsid w:val="002B6BA2"/>
    <w:rsid w:val="002B6F80"/>
    <w:rsid w:val="002B7458"/>
    <w:rsid w:val="002B7DD9"/>
    <w:rsid w:val="002C0011"/>
    <w:rsid w:val="002C0499"/>
    <w:rsid w:val="002C07CF"/>
    <w:rsid w:val="002C08E2"/>
    <w:rsid w:val="002C0DE5"/>
    <w:rsid w:val="002C0E1C"/>
    <w:rsid w:val="002C0F4F"/>
    <w:rsid w:val="002C1141"/>
    <w:rsid w:val="002C1475"/>
    <w:rsid w:val="002C1A8E"/>
    <w:rsid w:val="002C1DD9"/>
    <w:rsid w:val="002C204D"/>
    <w:rsid w:val="002C26FA"/>
    <w:rsid w:val="002C2793"/>
    <w:rsid w:val="002C2B57"/>
    <w:rsid w:val="002C2F1F"/>
    <w:rsid w:val="002C31A8"/>
    <w:rsid w:val="002C390E"/>
    <w:rsid w:val="002C3B00"/>
    <w:rsid w:val="002C3D8C"/>
    <w:rsid w:val="002C4091"/>
    <w:rsid w:val="002C440B"/>
    <w:rsid w:val="002C4799"/>
    <w:rsid w:val="002C484E"/>
    <w:rsid w:val="002C5217"/>
    <w:rsid w:val="002C570E"/>
    <w:rsid w:val="002C58AF"/>
    <w:rsid w:val="002C5D98"/>
    <w:rsid w:val="002C5DD1"/>
    <w:rsid w:val="002C659C"/>
    <w:rsid w:val="002C6767"/>
    <w:rsid w:val="002C687F"/>
    <w:rsid w:val="002C68AA"/>
    <w:rsid w:val="002C6D26"/>
    <w:rsid w:val="002C7B24"/>
    <w:rsid w:val="002C7F73"/>
    <w:rsid w:val="002D0C98"/>
    <w:rsid w:val="002D0E13"/>
    <w:rsid w:val="002D1492"/>
    <w:rsid w:val="002D2A10"/>
    <w:rsid w:val="002D2A35"/>
    <w:rsid w:val="002D3D5F"/>
    <w:rsid w:val="002D407E"/>
    <w:rsid w:val="002D40E4"/>
    <w:rsid w:val="002D458A"/>
    <w:rsid w:val="002D4A1B"/>
    <w:rsid w:val="002D4C8D"/>
    <w:rsid w:val="002D4DBB"/>
    <w:rsid w:val="002D4FC9"/>
    <w:rsid w:val="002D52C2"/>
    <w:rsid w:val="002D55FB"/>
    <w:rsid w:val="002D568D"/>
    <w:rsid w:val="002D5AF2"/>
    <w:rsid w:val="002D5CC5"/>
    <w:rsid w:val="002D6349"/>
    <w:rsid w:val="002D6620"/>
    <w:rsid w:val="002D6690"/>
    <w:rsid w:val="002D6890"/>
    <w:rsid w:val="002D6F9B"/>
    <w:rsid w:val="002D74C1"/>
    <w:rsid w:val="002D7C87"/>
    <w:rsid w:val="002E01A1"/>
    <w:rsid w:val="002E046A"/>
    <w:rsid w:val="002E1498"/>
    <w:rsid w:val="002E155C"/>
    <w:rsid w:val="002E15F7"/>
    <w:rsid w:val="002E1B2D"/>
    <w:rsid w:val="002E1CD1"/>
    <w:rsid w:val="002E1D58"/>
    <w:rsid w:val="002E2594"/>
    <w:rsid w:val="002E25BF"/>
    <w:rsid w:val="002E27B7"/>
    <w:rsid w:val="002E287F"/>
    <w:rsid w:val="002E294A"/>
    <w:rsid w:val="002E2A28"/>
    <w:rsid w:val="002E3325"/>
    <w:rsid w:val="002E3733"/>
    <w:rsid w:val="002E38D4"/>
    <w:rsid w:val="002E3A99"/>
    <w:rsid w:val="002E3BAA"/>
    <w:rsid w:val="002E3E10"/>
    <w:rsid w:val="002E3F7A"/>
    <w:rsid w:val="002E460C"/>
    <w:rsid w:val="002E480C"/>
    <w:rsid w:val="002E4875"/>
    <w:rsid w:val="002E4CBA"/>
    <w:rsid w:val="002E5022"/>
    <w:rsid w:val="002E5F50"/>
    <w:rsid w:val="002E679B"/>
    <w:rsid w:val="002E74A4"/>
    <w:rsid w:val="002E7A26"/>
    <w:rsid w:val="002E7A54"/>
    <w:rsid w:val="002F0370"/>
    <w:rsid w:val="002F0E18"/>
    <w:rsid w:val="002F140A"/>
    <w:rsid w:val="002F14DB"/>
    <w:rsid w:val="002F19F9"/>
    <w:rsid w:val="002F318F"/>
    <w:rsid w:val="002F33EE"/>
    <w:rsid w:val="002F3977"/>
    <w:rsid w:val="002F4320"/>
    <w:rsid w:val="002F4323"/>
    <w:rsid w:val="002F49DE"/>
    <w:rsid w:val="002F59C5"/>
    <w:rsid w:val="002F7901"/>
    <w:rsid w:val="003001DB"/>
    <w:rsid w:val="003002C7"/>
    <w:rsid w:val="00300384"/>
    <w:rsid w:val="003004D7"/>
    <w:rsid w:val="00300B8F"/>
    <w:rsid w:val="00300FCE"/>
    <w:rsid w:val="00301221"/>
    <w:rsid w:val="0030183C"/>
    <w:rsid w:val="00301876"/>
    <w:rsid w:val="00302C30"/>
    <w:rsid w:val="00302DAE"/>
    <w:rsid w:val="00302FA7"/>
    <w:rsid w:val="003037A8"/>
    <w:rsid w:val="0030392A"/>
    <w:rsid w:val="00304022"/>
    <w:rsid w:val="00304052"/>
    <w:rsid w:val="0030408D"/>
    <w:rsid w:val="003040FB"/>
    <w:rsid w:val="0030496D"/>
    <w:rsid w:val="00304FC3"/>
    <w:rsid w:val="003057CF"/>
    <w:rsid w:val="00305904"/>
    <w:rsid w:val="00306446"/>
    <w:rsid w:val="00306B91"/>
    <w:rsid w:val="00306E36"/>
    <w:rsid w:val="00306ECC"/>
    <w:rsid w:val="00307182"/>
    <w:rsid w:val="003073CE"/>
    <w:rsid w:val="003073DA"/>
    <w:rsid w:val="00307520"/>
    <w:rsid w:val="00307578"/>
    <w:rsid w:val="003076C2"/>
    <w:rsid w:val="003079EA"/>
    <w:rsid w:val="003079EF"/>
    <w:rsid w:val="0031020C"/>
    <w:rsid w:val="003105BA"/>
    <w:rsid w:val="00310789"/>
    <w:rsid w:val="00310EF8"/>
    <w:rsid w:val="00311166"/>
    <w:rsid w:val="003111F9"/>
    <w:rsid w:val="00311A06"/>
    <w:rsid w:val="00311C5C"/>
    <w:rsid w:val="00311F09"/>
    <w:rsid w:val="003127E7"/>
    <w:rsid w:val="00312AE9"/>
    <w:rsid w:val="0031313F"/>
    <w:rsid w:val="00313246"/>
    <w:rsid w:val="00313651"/>
    <w:rsid w:val="00313CD7"/>
    <w:rsid w:val="00314E18"/>
    <w:rsid w:val="00314F1F"/>
    <w:rsid w:val="00315226"/>
    <w:rsid w:val="003152B1"/>
    <w:rsid w:val="00315393"/>
    <w:rsid w:val="00315414"/>
    <w:rsid w:val="0031565D"/>
    <w:rsid w:val="00315853"/>
    <w:rsid w:val="00315A0D"/>
    <w:rsid w:val="00316941"/>
    <w:rsid w:val="003169AB"/>
    <w:rsid w:val="003176B1"/>
    <w:rsid w:val="0031790D"/>
    <w:rsid w:val="00317C6D"/>
    <w:rsid w:val="00317E2F"/>
    <w:rsid w:val="00320422"/>
    <w:rsid w:val="00320959"/>
    <w:rsid w:val="00321813"/>
    <w:rsid w:val="00321821"/>
    <w:rsid w:val="00322258"/>
    <w:rsid w:val="00322BDC"/>
    <w:rsid w:val="00322C20"/>
    <w:rsid w:val="003230B4"/>
    <w:rsid w:val="003230DB"/>
    <w:rsid w:val="00323206"/>
    <w:rsid w:val="003232A4"/>
    <w:rsid w:val="003233F8"/>
    <w:rsid w:val="003235A1"/>
    <w:rsid w:val="00323E8C"/>
    <w:rsid w:val="00324F3D"/>
    <w:rsid w:val="0032529F"/>
    <w:rsid w:val="00325B0D"/>
    <w:rsid w:val="00325FFC"/>
    <w:rsid w:val="00326430"/>
    <w:rsid w:val="00326762"/>
    <w:rsid w:val="00327168"/>
    <w:rsid w:val="003278CF"/>
    <w:rsid w:val="00327953"/>
    <w:rsid w:val="00327E8F"/>
    <w:rsid w:val="0033031E"/>
    <w:rsid w:val="003310D0"/>
    <w:rsid w:val="00331443"/>
    <w:rsid w:val="003317A8"/>
    <w:rsid w:val="00331A46"/>
    <w:rsid w:val="00331C86"/>
    <w:rsid w:val="0033267D"/>
    <w:rsid w:val="00332AC8"/>
    <w:rsid w:val="00333B10"/>
    <w:rsid w:val="00333C52"/>
    <w:rsid w:val="00333E8B"/>
    <w:rsid w:val="00333FB2"/>
    <w:rsid w:val="00334559"/>
    <w:rsid w:val="00334819"/>
    <w:rsid w:val="003349F4"/>
    <w:rsid w:val="00334A05"/>
    <w:rsid w:val="00334E83"/>
    <w:rsid w:val="00335365"/>
    <w:rsid w:val="003358C0"/>
    <w:rsid w:val="00336200"/>
    <w:rsid w:val="0033629E"/>
    <w:rsid w:val="00336CEB"/>
    <w:rsid w:val="003373DA"/>
    <w:rsid w:val="00337473"/>
    <w:rsid w:val="003377AE"/>
    <w:rsid w:val="003378A4"/>
    <w:rsid w:val="0033792B"/>
    <w:rsid w:val="00337D24"/>
    <w:rsid w:val="00337F16"/>
    <w:rsid w:val="00341416"/>
    <w:rsid w:val="00341726"/>
    <w:rsid w:val="00341759"/>
    <w:rsid w:val="003427CD"/>
    <w:rsid w:val="00342B65"/>
    <w:rsid w:val="00342CF5"/>
    <w:rsid w:val="00342D60"/>
    <w:rsid w:val="00342E87"/>
    <w:rsid w:val="003435CB"/>
    <w:rsid w:val="00343898"/>
    <w:rsid w:val="00343EF2"/>
    <w:rsid w:val="00344B3A"/>
    <w:rsid w:val="00345608"/>
    <w:rsid w:val="003459BB"/>
    <w:rsid w:val="003461B7"/>
    <w:rsid w:val="00346BB1"/>
    <w:rsid w:val="0034772F"/>
    <w:rsid w:val="00347C88"/>
    <w:rsid w:val="00347DE6"/>
    <w:rsid w:val="00347F44"/>
    <w:rsid w:val="00350024"/>
    <w:rsid w:val="00350247"/>
    <w:rsid w:val="0035096C"/>
    <w:rsid w:val="00350CEA"/>
    <w:rsid w:val="003510B5"/>
    <w:rsid w:val="00351264"/>
    <w:rsid w:val="00351331"/>
    <w:rsid w:val="00351821"/>
    <w:rsid w:val="00351BC7"/>
    <w:rsid w:val="00351DE7"/>
    <w:rsid w:val="0035215D"/>
    <w:rsid w:val="00352265"/>
    <w:rsid w:val="00352AAF"/>
    <w:rsid w:val="00352DE2"/>
    <w:rsid w:val="00354166"/>
    <w:rsid w:val="003545E4"/>
    <w:rsid w:val="00354A31"/>
    <w:rsid w:val="00354FA1"/>
    <w:rsid w:val="003553A6"/>
    <w:rsid w:val="00355430"/>
    <w:rsid w:val="0035593C"/>
    <w:rsid w:val="003559DA"/>
    <w:rsid w:val="00355E51"/>
    <w:rsid w:val="00356168"/>
    <w:rsid w:val="003566E9"/>
    <w:rsid w:val="00356B83"/>
    <w:rsid w:val="003571DC"/>
    <w:rsid w:val="003572E5"/>
    <w:rsid w:val="0035771D"/>
    <w:rsid w:val="00357987"/>
    <w:rsid w:val="00357FBD"/>
    <w:rsid w:val="003601D2"/>
    <w:rsid w:val="00360402"/>
    <w:rsid w:val="0036041B"/>
    <w:rsid w:val="00360485"/>
    <w:rsid w:val="00360781"/>
    <w:rsid w:val="00360F3A"/>
    <w:rsid w:val="00361097"/>
    <w:rsid w:val="00361125"/>
    <w:rsid w:val="003615AF"/>
    <w:rsid w:val="00361D35"/>
    <w:rsid w:val="00362100"/>
    <w:rsid w:val="00362109"/>
    <w:rsid w:val="00362279"/>
    <w:rsid w:val="0036294A"/>
    <w:rsid w:val="0036295E"/>
    <w:rsid w:val="00362CF7"/>
    <w:rsid w:val="00362D86"/>
    <w:rsid w:val="00363C2F"/>
    <w:rsid w:val="003643C3"/>
    <w:rsid w:val="00364D65"/>
    <w:rsid w:val="00364D6A"/>
    <w:rsid w:val="00364F42"/>
    <w:rsid w:val="003651E5"/>
    <w:rsid w:val="00365626"/>
    <w:rsid w:val="00365AB0"/>
    <w:rsid w:val="00365CAA"/>
    <w:rsid w:val="003666BB"/>
    <w:rsid w:val="003668C6"/>
    <w:rsid w:val="00366A84"/>
    <w:rsid w:val="00367169"/>
    <w:rsid w:val="003701AA"/>
    <w:rsid w:val="00370B21"/>
    <w:rsid w:val="00371B91"/>
    <w:rsid w:val="00372057"/>
    <w:rsid w:val="0037219D"/>
    <w:rsid w:val="00372872"/>
    <w:rsid w:val="0037293D"/>
    <w:rsid w:val="00372D9D"/>
    <w:rsid w:val="00373B1F"/>
    <w:rsid w:val="00373F50"/>
    <w:rsid w:val="003740F7"/>
    <w:rsid w:val="003744B2"/>
    <w:rsid w:val="00374966"/>
    <w:rsid w:val="00374FF1"/>
    <w:rsid w:val="003750D1"/>
    <w:rsid w:val="00375C74"/>
    <w:rsid w:val="00375D1C"/>
    <w:rsid w:val="00376FE7"/>
    <w:rsid w:val="003774BD"/>
    <w:rsid w:val="00377663"/>
    <w:rsid w:val="00377C9B"/>
    <w:rsid w:val="00377D45"/>
    <w:rsid w:val="003800AB"/>
    <w:rsid w:val="00380AA6"/>
    <w:rsid w:val="00380C3D"/>
    <w:rsid w:val="00380E38"/>
    <w:rsid w:val="00381168"/>
    <w:rsid w:val="003811C2"/>
    <w:rsid w:val="00381C8E"/>
    <w:rsid w:val="00382B26"/>
    <w:rsid w:val="00382F52"/>
    <w:rsid w:val="003830D6"/>
    <w:rsid w:val="003837FF"/>
    <w:rsid w:val="00383862"/>
    <w:rsid w:val="00383C87"/>
    <w:rsid w:val="0038401B"/>
    <w:rsid w:val="00384F38"/>
    <w:rsid w:val="0038526D"/>
    <w:rsid w:val="00385971"/>
    <w:rsid w:val="00385A2B"/>
    <w:rsid w:val="00386030"/>
    <w:rsid w:val="003861D4"/>
    <w:rsid w:val="0038630C"/>
    <w:rsid w:val="00386AF5"/>
    <w:rsid w:val="0038730A"/>
    <w:rsid w:val="003876F9"/>
    <w:rsid w:val="003878DB"/>
    <w:rsid w:val="00390553"/>
    <w:rsid w:val="00390A39"/>
    <w:rsid w:val="00390B17"/>
    <w:rsid w:val="00391753"/>
    <w:rsid w:val="003919D9"/>
    <w:rsid w:val="00391BDC"/>
    <w:rsid w:val="00391E26"/>
    <w:rsid w:val="00391EDA"/>
    <w:rsid w:val="003920B3"/>
    <w:rsid w:val="0039227C"/>
    <w:rsid w:val="00392535"/>
    <w:rsid w:val="003929AF"/>
    <w:rsid w:val="00392A1C"/>
    <w:rsid w:val="00393151"/>
    <w:rsid w:val="00393273"/>
    <w:rsid w:val="00393CDF"/>
    <w:rsid w:val="00394075"/>
    <w:rsid w:val="00394268"/>
    <w:rsid w:val="00394595"/>
    <w:rsid w:val="0039467C"/>
    <w:rsid w:val="00395180"/>
    <w:rsid w:val="003959D4"/>
    <w:rsid w:val="003963B0"/>
    <w:rsid w:val="0039670E"/>
    <w:rsid w:val="00396BB6"/>
    <w:rsid w:val="00396BC0"/>
    <w:rsid w:val="00396EBC"/>
    <w:rsid w:val="00397070"/>
    <w:rsid w:val="003A006C"/>
    <w:rsid w:val="003A063D"/>
    <w:rsid w:val="003A0C1F"/>
    <w:rsid w:val="003A0E9E"/>
    <w:rsid w:val="003A1693"/>
    <w:rsid w:val="003A16B9"/>
    <w:rsid w:val="003A3891"/>
    <w:rsid w:val="003A39A4"/>
    <w:rsid w:val="003A41FC"/>
    <w:rsid w:val="003A42BD"/>
    <w:rsid w:val="003A4765"/>
    <w:rsid w:val="003A496E"/>
    <w:rsid w:val="003A4C14"/>
    <w:rsid w:val="003A508E"/>
    <w:rsid w:val="003A56E3"/>
    <w:rsid w:val="003A5915"/>
    <w:rsid w:val="003A5F15"/>
    <w:rsid w:val="003A6513"/>
    <w:rsid w:val="003A6598"/>
    <w:rsid w:val="003A674B"/>
    <w:rsid w:val="003A682E"/>
    <w:rsid w:val="003A75BF"/>
    <w:rsid w:val="003A7ED4"/>
    <w:rsid w:val="003B08DD"/>
    <w:rsid w:val="003B0AD2"/>
    <w:rsid w:val="003B0BEB"/>
    <w:rsid w:val="003B15BD"/>
    <w:rsid w:val="003B1F9A"/>
    <w:rsid w:val="003B2589"/>
    <w:rsid w:val="003B2697"/>
    <w:rsid w:val="003B275E"/>
    <w:rsid w:val="003B3218"/>
    <w:rsid w:val="003B3D37"/>
    <w:rsid w:val="003B4509"/>
    <w:rsid w:val="003B4C05"/>
    <w:rsid w:val="003B53BB"/>
    <w:rsid w:val="003B6488"/>
    <w:rsid w:val="003B6C07"/>
    <w:rsid w:val="003B7BCA"/>
    <w:rsid w:val="003C01AB"/>
    <w:rsid w:val="003C0469"/>
    <w:rsid w:val="003C0676"/>
    <w:rsid w:val="003C0CFE"/>
    <w:rsid w:val="003C104A"/>
    <w:rsid w:val="003C1504"/>
    <w:rsid w:val="003C39E1"/>
    <w:rsid w:val="003C3FC1"/>
    <w:rsid w:val="003C44FA"/>
    <w:rsid w:val="003C4544"/>
    <w:rsid w:val="003C4F48"/>
    <w:rsid w:val="003C52D9"/>
    <w:rsid w:val="003C572B"/>
    <w:rsid w:val="003C5CCB"/>
    <w:rsid w:val="003C5E02"/>
    <w:rsid w:val="003C60C9"/>
    <w:rsid w:val="003C6C26"/>
    <w:rsid w:val="003C6D1B"/>
    <w:rsid w:val="003C6F2B"/>
    <w:rsid w:val="003C7A1B"/>
    <w:rsid w:val="003C7B60"/>
    <w:rsid w:val="003C7C40"/>
    <w:rsid w:val="003D008B"/>
    <w:rsid w:val="003D0845"/>
    <w:rsid w:val="003D1A65"/>
    <w:rsid w:val="003D1AA6"/>
    <w:rsid w:val="003D1C1C"/>
    <w:rsid w:val="003D1FB9"/>
    <w:rsid w:val="003D2416"/>
    <w:rsid w:val="003D2C98"/>
    <w:rsid w:val="003D2CCC"/>
    <w:rsid w:val="003D3F9B"/>
    <w:rsid w:val="003D483B"/>
    <w:rsid w:val="003D4A30"/>
    <w:rsid w:val="003D4C01"/>
    <w:rsid w:val="003D4D44"/>
    <w:rsid w:val="003D52FF"/>
    <w:rsid w:val="003D5B22"/>
    <w:rsid w:val="003D62DA"/>
    <w:rsid w:val="003D6A01"/>
    <w:rsid w:val="003D6E51"/>
    <w:rsid w:val="003D73A2"/>
    <w:rsid w:val="003D7559"/>
    <w:rsid w:val="003D76C3"/>
    <w:rsid w:val="003D78EF"/>
    <w:rsid w:val="003E0565"/>
    <w:rsid w:val="003E0C9E"/>
    <w:rsid w:val="003E0F23"/>
    <w:rsid w:val="003E0F70"/>
    <w:rsid w:val="003E0FBC"/>
    <w:rsid w:val="003E1272"/>
    <w:rsid w:val="003E1299"/>
    <w:rsid w:val="003E1761"/>
    <w:rsid w:val="003E1908"/>
    <w:rsid w:val="003E1E79"/>
    <w:rsid w:val="003E200C"/>
    <w:rsid w:val="003E285A"/>
    <w:rsid w:val="003E37AD"/>
    <w:rsid w:val="003E3E1B"/>
    <w:rsid w:val="003E4065"/>
    <w:rsid w:val="003E43E5"/>
    <w:rsid w:val="003E4F31"/>
    <w:rsid w:val="003E54BB"/>
    <w:rsid w:val="003E554E"/>
    <w:rsid w:val="003E5D81"/>
    <w:rsid w:val="003E6191"/>
    <w:rsid w:val="003E62F1"/>
    <w:rsid w:val="003E66B5"/>
    <w:rsid w:val="003E6FEB"/>
    <w:rsid w:val="003E72EB"/>
    <w:rsid w:val="003E7C8B"/>
    <w:rsid w:val="003E7DD0"/>
    <w:rsid w:val="003E7DEE"/>
    <w:rsid w:val="003F0312"/>
    <w:rsid w:val="003F061A"/>
    <w:rsid w:val="003F086F"/>
    <w:rsid w:val="003F1B26"/>
    <w:rsid w:val="003F2637"/>
    <w:rsid w:val="003F2BD9"/>
    <w:rsid w:val="003F2F92"/>
    <w:rsid w:val="003F30AD"/>
    <w:rsid w:val="003F3261"/>
    <w:rsid w:val="003F343A"/>
    <w:rsid w:val="003F45EA"/>
    <w:rsid w:val="003F472D"/>
    <w:rsid w:val="003F54DF"/>
    <w:rsid w:val="003F5A98"/>
    <w:rsid w:val="003F60A0"/>
    <w:rsid w:val="003F62F0"/>
    <w:rsid w:val="003F6586"/>
    <w:rsid w:val="003F7689"/>
    <w:rsid w:val="003F77B0"/>
    <w:rsid w:val="003F791B"/>
    <w:rsid w:val="003F7B36"/>
    <w:rsid w:val="004001B5"/>
    <w:rsid w:val="00400584"/>
    <w:rsid w:val="004012E5"/>
    <w:rsid w:val="0040162E"/>
    <w:rsid w:val="004020B7"/>
    <w:rsid w:val="004021A0"/>
    <w:rsid w:val="00402791"/>
    <w:rsid w:val="004027D5"/>
    <w:rsid w:val="0040280F"/>
    <w:rsid w:val="0040281F"/>
    <w:rsid w:val="00402C2B"/>
    <w:rsid w:val="00402D87"/>
    <w:rsid w:val="004032C6"/>
    <w:rsid w:val="00403315"/>
    <w:rsid w:val="0040364F"/>
    <w:rsid w:val="00403830"/>
    <w:rsid w:val="00403921"/>
    <w:rsid w:val="0040429C"/>
    <w:rsid w:val="0040460C"/>
    <w:rsid w:val="004049F6"/>
    <w:rsid w:val="00404BB5"/>
    <w:rsid w:val="00404F2D"/>
    <w:rsid w:val="004050FC"/>
    <w:rsid w:val="00405586"/>
    <w:rsid w:val="00405650"/>
    <w:rsid w:val="004057DA"/>
    <w:rsid w:val="004067ED"/>
    <w:rsid w:val="00406A40"/>
    <w:rsid w:val="00406AB0"/>
    <w:rsid w:val="00406CDC"/>
    <w:rsid w:val="00406DD6"/>
    <w:rsid w:val="00406FE5"/>
    <w:rsid w:val="0040755B"/>
    <w:rsid w:val="004106C1"/>
    <w:rsid w:val="00410A38"/>
    <w:rsid w:val="00410C84"/>
    <w:rsid w:val="00410F64"/>
    <w:rsid w:val="004112DE"/>
    <w:rsid w:val="0041130D"/>
    <w:rsid w:val="004116D4"/>
    <w:rsid w:val="00411AC8"/>
    <w:rsid w:val="00411B56"/>
    <w:rsid w:val="0041234B"/>
    <w:rsid w:val="00413680"/>
    <w:rsid w:val="00413797"/>
    <w:rsid w:val="004137B7"/>
    <w:rsid w:val="00413CE9"/>
    <w:rsid w:val="00413E55"/>
    <w:rsid w:val="00413F79"/>
    <w:rsid w:val="004142C9"/>
    <w:rsid w:val="0041440B"/>
    <w:rsid w:val="00414459"/>
    <w:rsid w:val="004148A2"/>
    <w:rsid w:val="004148D0"/>
    <w:rsid w:val="00414911"/>
    <w:rsid w:val="00414D4D"/>
    <w:rsid w:val="00414EEA"/>
    <w:rsid w:val="00414F65"/>
    <w:rsid w:val="00415B2D"/>
    <w:rsid w:val="00415FC6"/>
    <w:rsid w:val="00416094"/>
    <w:rsid w:val="004161F4"/>
    <w:rsid w:val="00416211"/>
    <w:rsid w:val="004165A3"/>
    <w:rsid w:val="00417250"/>
    <w:rsid w:val="00417F61"/>
    <w:rsid w:val="00417FD0"/>
    <w:rsid w:val="004205B3"/>
    <w:rsid w:val="00420C75"/>
    <w:rsid w:val="0042104F"/>
    <w:rsid w:val="004215FD"/>
    <w:rsid w:val="00421B3D"/>
    <w:rsid w:val="00421BA2"/>
    <w:rsid w:val="00421E8E"/>
    <w:rsid w:val="004228F5"/>
    <w:rsid w:val="00423369"/>
    <w:rsid w:val="004235C3"/>
    <w:rsid w:val="00423FF7"/>
    <w:rsid w:val="0042431F"/>
    <w:rsid w:val="0042437F"/>
    <w:rsid w:val="00424D07"/>
    <w:rsid w:val="004251E0"/>
    <w:rsid w:val="00425D78"/>
    <w:rsid w:val="00426412"/>
    <w:rsid w:val="004264B8"/>
    <w:rsid w:val="00426835"/>
    <w:rsid w:val="00426B60"/>
    <w:rsid w:val="00426BCB"/>
    <w:rsid w:val="00426C02"/>
    <w:rsid w:val="00426CA3"/>
    <w:rsid w:val="00426D94"/>
    <w:rsid w:val="004276C7"/>
    <w:rsid w:val="004301C6"/>
    <w:rsid w:val="00430791"/>
    <w:rsid w:val="00430B62"/>
    <w:rsid w:val="00430CC5"/>
    <w:rsid w:val="00430DBB"/>
    <w:rsid w:val="004313AC"/>
    <w:rsid w:val="0043163A"/>
    <w:rsid w:val="00431AA6"/>
    <w:rsid w:val="00432033"/>
    <w:rsid w:val="004324AD"/>
    <w:rsid w:val="00432694"/>
    <w:rsid w:val="00432872"/>
    <w:rsid w:val="004333C7"/>
    <w:rsid w:val="00433ABB"/>
    <w:rsid w:val="00433C82"/>
    <w:rsid w:val="0043428E"/>
    <w:rsid w:val="004347D0"/>
    <w:rsid w:val="00434A9B"/>
    <w:rsid w:val="00434B4A"/>
    <w:rsid w:val="00434D4F"/>
    <w:rsid w:val="00434E8D"/>
    <w:rsid w:val="00434F64"/>
    <w:rsid w:val="004358BE"/>
    <w:rsid w:val="00435F51"/>
    <w:rsid w:val="00435F69"/>
    <w:rsid w:val="00436049"/>
    <w:rsid w:val="004365D6"/>
    <w:rsid w:val="00436DA6"/>
    <w:rsid w:val="004371A9"/>
    <w:rsid w:val="0043793F"/>
    <w:rsid w:val="004407E8"/>
    <w:rsid w:val="00441814"/>
    <w:rsid w:val="004425EC"/>
    <w:rsid w:val="0044350B"/>
    <w:rsid w:val="00443DB4"/>
    <w:rsid w:val="0044424F"/>
    <w:rsid w:val="0044534C"/>
    <w:rsid w:val="004455FE"/>
    <w:rsid w:val="00445D8B"/>
    <w:rsid w:val="004461BD"/>
    <w:rsid w:val="00446418"/>
    <w:rsid w:val="00446D82"/>
    <w:rsid w:val="00446FA1"/>
    <w:rsid w:val="00447280"/>
    <w:rsid w:val="00447996"/>
    <w:rsid w:val="00447AE6"/>
    <w:rsid w:val="00447E83"/>
    <w:rsid w:val="0045029E"/>
    <w:rsid w:val="00450596"/>
    <w:rsid w:val="00450C46"/>
    <w:rsid w:val="00450CF2"/>
    <w:rsid w:val="00450D6E"/>
    <w:rsid w:val="0045131E"/>
    <w:rsid w:val="00451626"/>
    <w:rsid w:val="00451A19"/>
    <w:rsid w:val="00451C3A"/>
    <w:rsid w:val="00452D5A"/>
    <w:rsid w:val="004532EC"/>
    <w:rsid w:val="004535FC"/>
    <w:rsid w:val="004537F7"/>
    <w:rsid w:val="00453F99"/>
    <w:rsid w:val="00454335"/>
    <w:rsid w:val="004544B6"/>
    <w:rsid w:val="004545C4"/>
    <w:rsid w:val="00454603"/>
    <w:rsid w:val="00455139"/>
    <w:rsid w:val="004551CA"/>
    <w:rsid w:val="004552D3"/>
    <w:rsid w:val="00455909"/>
    <w:rsid w:val="00455C0D"/>
    <w:rsid w:val="00455F02"/>
    <w:rsid w:val="00456588"/>
    <w:rsid w:val="004565C1"/>
    <w:rsid w:val="00456605"/>
    <w:rsid w:val="00456B0B"/>
    <w:rsid w:val="00457054"/>
    <w:rsid w:val="00457346"/>
    <w:rsid w:val="0045746A"/>
    <w:rsid w:val="0045762F"/>
    <w:rsid w:val="0045773C"/>
    <w:rsid w:val="0045781E"/>
    <w:rsid w:val="00460059"/>
    <w:rsid w:val="004604AC"/>
    <w:rsid w:val="00460593"/>
    <w:rsid w:val="004608DA"/>
    <w:rsid w:val="0046159E"/>
    <w:rsid w:val="00461956"/>
    <w:rsid w:val="00461988"/>
    <w:rsid w:val="00461991"/>
    <w:rsid w:val="004620AA"/>
    <w:rsid w:val="0046260A"/>
    <w:rsid w:val="0046268E"/>
    <w:rsid w:val="00462970"/>
    <w:rsid w:val="00462C1C"/>
    <w:rsid w:val="00462F2D"/>
    <w:rsid w:val="00462F54"/>
    <w:rsid w:val="00463170"/>
    <w:rsid w:val="004632D9"/>
    <w:rsid w:val="00463819"/>
    <w:rsid w:val="0046475C"/>
    <w:rsid w:val="004651D9"/>
    <w:rsid w:val="004651E0"/>
    <w:rsid w:val="00465B84"/>
    <w:rsid w:val="00466B6B"/>
    <w:rsid w:val="00467C60"/>
    <w:rsid w:val="00467C9F"/>
    <w:rsid w:val="00467CED"/>
    <w:rsid w:val="00470AB2"/>
    <w:rsid w:val="00470BF9"/>
    <w:rsid w:val="00470BFE"/>
    <w:rsid w:val="00470E03"/>
    <w:rsid w:val="00470E44"/>
    <w:rsid w:val="00470E86"/>
    <w:rsid w:val="00471218"/>
    <w:rsid w:val="00471282"/>
    <w:rsid w:val="00471628"/>
    <w:rsid w:val="00472322"/>
    <w:rsid w:val="00472A1B"/>
    <w:rsid w:val="00472D01"/>
    <w:rsid w:val="0047306A"/>
    <w:rsid w:val="00473574"/>
    <w:rsid w:val="00473B7A"/>
    <w:rsid w:val="00473C58"/>
    <w:rsid w:val="00473F3E"/>
    <w:rsid w:val="0047426A"/>
    <w:rsid w:val="004745C8"/>
    <w:rsid w:val="00474B01"/>
    <w:rsid w:val="00474C66"/>
    <w:rsid w:val="00474F74"/>
    <w:rsid w:val="00474FF6"/>
    <w:rsid w:val="00475030"/>
    <w:rsid w:val="004757AC"/>
    <w:rsid w:val="00475AF1"/>
    <w:rsid w:val="00475B2F"/>
    <w:rsid w:val="00475D6C"/>
    <w:rsid w:val="004778CE"/>
    <w:rsid w:val="00477F99"/>
    <w:rsid w:val="004800B9"/>
    <w:rsid w:val="0048055F"/>
    <w:rsid w:val="00480E4B"/>
    <w:rsid w:val="004814A5"/>
    <w:rsid w:val="004814F2"/>
    <w:rsid w:val="00481B71"/>
    <w:rsid w:val="00481F9F"/>
    <w:rsid w:val="0048209F"/>
    <w:rsid w:val="004827EF"/>
    <w:rsid w:val="00482904"/>
    <w:rsid w:val="00482C93"/>
    <w:rsid w:val="004832EB"/>
    <w:rsid w:val="00483FAC"/>
    <w:rsid w:val="00484277"/>
    <w:rsid w:val="00486639"/>
    <w:rsid w:val="00486B1F"/>
    <w:rsid w:val="00486C9B"/>
    <w:rsid w:val="004879C2"/>
    <w:rsid w:val="00487D1A"/>
    <w:rsid w:val="00487D56"/>
    <w:rsid w:val="00490218"/>
    <w:rsid w:val="00490917"/>
    <w:rsid w:val="00490E30"/>
    <w:rsid w:val="00490F7A"/>
    <w:rsid w:val="0049191B"/>
    <w:rsid w:val="004919F6"/>
    <w:rsid w:val="00491D98"/>
    <w:rsid w:val="00491E60"/>
    <w:rsid w:val="0049250F"/>
    <w:rsid w:val="00492561"/>
    <w:rsid w:val="00492AD9"/>
    <w:rsid w:val="00492B19"/>
    <w:rsid w:val="00492D30"/>
    <w:rsid w:val="0049343B"/>
    <w:rsid w:val="00493E97"/>
    <w:rsid w:val="00494081"/>
    <w:rsid w:val="004941F8"/>
    <w:rsid w:val="00494401"/>
    <w:rsid w:val="004944A1"/>
    <w:rsid w:val="004948CE"/>
    <w:rsid w:val="004954A6"/>
    <w:rsid w:val="00495739"/>
    <w:rsid w:val="00495B6F"/>
    <w:rsid w:val="00496632"/>
    <w:rsid w:val="0049681F"/>
    <w:rsid w:val="00497368"/>
    <w:rsid w:val="0049787D"/>
    <w:rsid w:val="004A021F"/>
    <w:rsid w:val="004A0222"/>
    <w:rsid w:val="004A0508"/>
    <w:rsid w:val="004A0696"/>
    <w:rsid w:val="004A0CE3"/>
    <w:rsid w:val="004A1184"/>
    <w:rsid w:val="004A11D3"/>
    <w:rsid w:val="004A2084"/>
    <w:rsid w:val="004A2156"/>
    <w:rsid w:val="004A2DD0"/>
    <w:rsid w:val="004A2E9F"/>
    <w:rsid w:val="004A2EDF"/>
    <w:rsid w:val="004A33FA"/>
    <w:rsid w:val="004A3F03"/>
    <w:rsid w:val="004A4486"/>
    <w:rsid w:val="004A47BE"/>
    <w:rsid w:val="004A4856"/>
    <w:rsid w:val="004A5304"/>
    <w:rsid w:val="004A6108"/>
    <w:rsid w:val="004A624F"/>
    <w:rsid w:val="004A64FB"/>
    <w:rsid w:val="004A66DC"/>
    <w:rsid w:val="004A7210"/>
    <w:rsid w:val="004A74F0"/>
    <w:rsid w:val="004A769C"/>
    <w:rsid w:val="004B03BB"/>
    <w:rsid w:val="004B0FAC"/>
    <w:rsid w:val="004B11BE"/>
    <w:rsid w:val="004B158F"/>
    <w:rsid w:val="004B1DFA"/>
    <w:rsid w:val="004B2524"/>
    <w:rsid w:val="004B2DE8"/>
    <w:rsid w:val="004B33F5"/>
    <w:rsid w:val="004B3760"/>
    <w:rsid w:val="004B46CF"/>
    <w:rsid w:val="004B5030"/>
    <w:rsid w:val="004B5283"/>
    <w:rsid w:val="004B56BD"/>
    <w:rsid w:val="004B58BE"/>
    <w:rsid w:val="004B6749"/>
    <w:rsid w:val="004B6797"/>
    <w:rsid w:val="004B6B76"/>
    <w:rsid w:val="004B71AC"/>
    <w:rsid w:val="004B7298"/>
    <w:rsid w:val="004B75C6"/>
    <w:rsid w:val="004B7721"/>
    <w:rsid w:val="004B7D45"/>
    <w:rsid w:val="004C0215"/>
    <w:rsid w:val="004C07A6"/>
    <w:rsid w:val="004C095D"/>
    <w:rsid w:val="004C09A1"/>
    <w:rsid w:val="004C0C44"/>
    <w:rsid w:val="004C0FCB"/>
    <w:rsid w:val="004C1A46"/>
    <w:rsid w:val="004C1B71"/>
    <w:rsid w:val="004C1F44"/>
    <w:rsid w:val="004C2391"/>
    <w:rsid w:val="004C2958"/>
    <w:rsid w:val="004C29AE"/>
    <w:rsid w:val="004C2FE6"/>
    <w:rsid w:val="004C30C2"/>
    <w:rsid w:val="004C3140"/>
    <w:rsid w:val="004C33A2"/>
    <w:rsid w:val="004C3869"/>
    <w:rsid w:val="004C394A"/>
    <w:rsid w:val="004C441E"/>
    <w:rsid w:val="004C4670"/>
    <w:rsid w:val="004C493D"/>
    <w:rsid w:val="004C505C"/>
    <w:rsid w:val="004C55E2"/>
    <w:rsid w:val="004C595C"/>
    <w:rsid w:val="004C5BEB"/>
    <w:rsid w:val="004C5C3E"/>
    <w:rsid w:val="004C5CC4"/>
    <w:rsid w:val="004C6A56"/>
    <w:rsid w:val="004C6F49"/>
    <w:rsid w:val="004C7360"/>
    <w:rsid w:val="004C793B"/>
    <w:rsid w:val="004C7D91"/>
    <w:rsid w:val="004C7FB6"/>
    <w:rsid w:val="004D01FC"/>
    <w:rsid w:val="004D0581"/>
    <w:rsid w:val="004D0638"/>
    <w:rsid w:val="004D08D4"/>
    <w:rsid w:val="004D091D"/>
    <w:rsid w:val="004D094E"/>
    <w:rsid w:val="004D0ECC"/>
    <w:rsid w:val="004D148C"/>
    <w:rsid w:val="004D16B9"/>
    <w:rsid w:val="004D18E8"/>
    <w:rsid w:val="004D1B4A"/>
    <w:rsid w:val="004D24D1"/>
    <w:rsid w:val="004D25A3"/>
    <w:rsid w:val="004D277D"/>
    <w:rsid w:val="004D27AB"/>
    <w:rsid w:val="004D2A9F"/>
    <w:rsid w:val="004D2F80"/>
    <w:rsid w:val="004D3C0E"/>
    <w:rsid w:val="004D417D"/>
    <w:rsid w:val="004D44C6"/>
    <w:rsid w:val="004D453A"/>
    <w:rsid w:val="004D4AE0"/>
    <w:rsid w:val="004D5154"/>
    <w:rsid w:val="004D5A05"/>
    <w:rsid w:val="004D5BD7"/>
    <w:rsid w:val="004D60F4"/>
    <w:rsid w:val="004D687D"/>
    <w:rsid w:val="004D68B7"/>
    <w:rsid w:val="004D6C26"/>
    <w:rsid w:val="004D6EE3"/>
    <w:rsid w:val="004D6F16"/>
    <w:rsid w:val="004D6FAD"/>
    <w:rsid w:val="004D7094"/>
    <w:rsid w:val="004D72CB"/>
    <w:rsid w:val="004D7BAE"/>
    <w:rsid w:val="004D7BF7"/>
    <w:rsid w:val="004E0330"/>
    <w:rsid w:val="004E078B"/>
    <w:rsid w:val="004E09C9"/>
    <w:rsid w:val="004E0F37"/>
    <w:rsid w:val="004E1028"/>
    <w:rsid w:val="004E131C"/>
    <w:rsid w:val="004E1871"/>
    <w:rsid w:val="004E198D"/>
    <w:rsid w:val="004E1A42"/>
    <w:rsid w:val="004E2387"/>
    <w:rsid w:val="004E2F64"/>
    <w:rsid w:val="004E38ED"/>
    <w:rsid w:val="004E48AD"/>
    <w:rsid w:val="004E4CEC"/>
    <w:rsid w:val="004E4D7E"/>
    <w:rsid w:val="004E5731"/>
    <w:rsid w:val="004E609F"/>
    <w:rsid w:val="004E61FD"/>
    <w:rsid w:val="004E6BCF"/>
    <w:rsid w:val="004E6C64"/>
    <w:rsid w:val="004E6E14"/>
    <w:rsid w:val="004E6F38"/>
    <w:rsid w:val="004E7029"/>
    <w:rsid w:val="004E74A9"/>
    <w:rsid w:val="004F0DAE"/>
    <w:rsid w:val="004F0E19"/>
    <w:rsid w:val="004F0F5A"/>
    <w:rsid w:val="004F149A"/>
    <w:rsid w:val="004F16CF"/>
    <w:rsid w:val="004F174C"/>
    <w:rsid w:val="004F1A81"/>
    <w:rsid w:val="004F1C61"/>
    <w:rsid w:val="004F220A"/>
    <w:rsid w:val="004F2645"/>
    <w:rsid w:val="004F2F53"/>
    <w:rsid w:val="004F2FEC"/>
    <w:rsid w:val="004F32EB"/>
    <w:rsid w:val="004F3A89"/>
    <w:rsid w:val="004F41D4"/>
    <w:rsid w:val="004F4293"/>
    <w:rsid w:val="004F4EB2"/>
    <w:rsid w:val="004F6BFF"/>
    <w:rsid w:val="004F6E00"/>
    <w:rsid w:val="004F7B54"/>
    <w:rsid w:val="004F7D23"/>
    <w:rsid w:val="004F7F62"/>
    <w:rsid w:val="0050037C"/>
    <w:rsid w:val="00500BCF"/>
    <w:rsid w:val="0050100F"/>
    <w:rsid w:val="005010A7"/>
    <w:rsid w:val="0050229D"/>
    <w:rsid w:val="005026DE"/>
    <w:rsid w:val="005027B5"/>
    <w:rsid w:val="00502CBE"/>
    <w:rsid w:val="00503974"/>
    <w:rsid w:val="0050454E"/>
    <w:rsid w:val="005049B5"/>
    <w:rsid w:val="00505182"/>
    <w:rsid w:val="00505374"/>
    <w:rsid w:val="0050567D"/>
    <w:rsid w:val="00505928"/>
    <w:rsid w:val="00506679"/>
    <w:rsid w:val="0050667F"/>
    <w:rsid w:val="0050693C"/>
    <w:rsid w:val="0050693F"/>
    <w:rsid w:val="00506A86"/>
    <w:rsid w:val="005072B7"/>
    <w:rsid w:val="0050737D"/>
    <w:rsid w:val="00507E81"/>
    <w:rsid w:val="00507F37"/>
    <w:rsid w:val="005103D0"/>
    <w:rsid w:val="0051050D"/>
    <w:rsid w:val="00510E97"/>
    <w:rsid w:val="00511D44"/>
    <w:rsid w:val="005126F5"/>
    <w:rsid w:val="0051281F"/>
    <w:rsid w:val="00512823"/>
    <w:rsid w:val="005129C3"/>
    <w:rsid w:val="00512E26"/>
    <w:rsid w:val="005131FF"/>
    <w:rsid w:val="005138FC"/>
    <w:rsid w:val="00513B24"/>
    <w:rsid w:val="00513C49"/>
    <w:rsid w:val="00514072"/>
    <w:rsid w:val="00514CB2"/>
    <w:rsid w:val="005156C7"/>
    <w:rsid w:val="00515C32"/>
    <w:rsid w:val="00516FD2"/>
    <w:rsid w:val="00517009"/>
    <w:rsid w:val="0051757A"/>
    <w:rsid w:val="00517AFF"/>
    <w:rsid w:val="0052234C"/>
    <w:rsid w:val="00523204"/>
    <w:rsid w:val="0052361F"/>
    <w:rsid w:val="00523689"/>
    <w:rsid w:val="005238F5"/>
    <w:rsid w:val="00523900"/>
    <w:rsid w:val="00523A86"/>
    <w:rsid w:val="00523FE2"/>
    <w:rsid w:val="00524232"/>
    <w:rsid w:val="00524405"/>
    <w:rsid w:val="00524898"/>
    <w:rsid w:val="00524941"/>
    <w:rsid w:val="00524BF0"/>
    <w:rsid w:val="00524DAC"/>
    <w:rsid w:val="00525163"/>
    <w:rsid w:val="00525489"/>
    <w:rsid w:val="00525A27"/>
    <w:rsid w:val="005263DA"/>
    <w:rsid w:val="0052663A"/>
    <w:rsid w:val="00526A3B"/>
    <w:rsid w:val="00526D98"/>
    <w:rsid w:val="00526E9E"/>
    <w:rsid w:val="005272BE"/>
    <w:rsid w:val="005274B5"/>
    <w:rsid w:val="005301AB"/>
    <w:rsid w:val="00530710"/>
    <w:rsid w:val="005307EC"/>
    <w:rsid w:val="00530A2D"/>
    <w:rsid w:val="005314FE"/>
    <w:rsid w:val="0053267A"/>
    <w:rsid w:val="0053295D"/>
    <w:rsid w:val="00532FB2"/>
    <w:rsid w:val="005331BF"/>
    <w:rsid w:val="005338F2"/>
    <w:rsid w:val="00533A37"/>
    <w:rsid w:val="00534060"/>
    <w:rsid w:val="0053460E"/>
    <w:rsid w:val="00534953"/>
    <w:rsid w:val="00534FC6"/>
    <w:rsid w:val="005350ED"/>
    <w:rsid w:val="0053554E"/>
    <w:rsid w:val="00535668"/>
    <w:rsid w:val="00535820"/>
    <w:rsid w:val="00535DAA"/>
    <w:rsid w:val="00535F5B"/>
    <w:rsid w:val="005360D4"/>
    <w:rsid w:val="0053617F"/>
    <w:rsid w:val="00537896"/>
    <w:rsid w:val="00537A1F"/>
    <w:rsid w:val="00537C7A"/>
    <w:rsid w:val="005404DD"/>
    <w:rsid w:val="0054056A"/>
    <w:rsid w:val="00541ACF"/>
    <w:rsid w:val="00541C29"/>
    <w:rsid w:val="005420C0"/>
    <w:rsid w:val="00542B98"/>
    <w:rsid w:val="00542BF5"/>
    <w:rsid w:val="00542BF7"/>
    <w:rsid w:val="00542CCA"/>
    <w:rsid w:val="00542D87"/>
    <w:rsid w:val="005431D6"/>
    <w:rsid w:val="005436A9"/>
    <w:rsid w:val="00543730"/>
    <w:rsid w:val="00543829"/>
    <w:rsid w:val="00543A0C"/>
    <w:rsid w:val="00543B8C"/>
    <w:rsid w:val="00544826"/>
    <w:rsid w:val="005449BD"/>
    <w:rsid w:val="00544CE7"/>
    <w:rsid w:val="00544E6F"/>
    <w:rsid w:val="00545249"/>
    <w:rsid w:val="00545655"/>
    <w:rsid w:val="005456C5"/>
    <w:rsid w:val="00545846"/>
    <w:rsid w:val="00546AA6"/>
    <w:rsid w:val="00546FBA"/>
    <w:rsid w:val="00547700"/>
    <w:rsid w:val="00547E15"/>
    <w:rsid w:val="00550085"/>
    <w:rsid w:val="00550595"/>
    <w:rsid w:val="00550C6C"/>
    <w:rsid w:val="00551518"/>
    <w:rsid w:val="005519D2"/>
    <w:rsid w:val="00551B06"/>
    <w:rsid w:val="0055256F"/>
    <w:rsid w:val="00552634"/>
    <w:rsid w:val="005528C7"/>
    <w:rsid w:val="005529ED"/>
    <w:rsid w:val="00552B83"/>
    <w:rsid w:val="00553DF6"/>
    <w:rsid w:val="00553EDA"/>
    <w:rsid w:val="00553F44"/>
    <w:rsid w:val="00554B72"/>
    <w:rsid w:val="00554C12"/>
    <w:rsid w:val="0055538E"/>
    <w:rsid w:val="005555FB"/>
    <w:rsid w:val="00555960"/>
    <w:rsid w:val="005559D7"/>
    <w:rsid w:val="0055664D"/>
    <w:rsid w:val="00556DBD"/>
    <w:rsid w:val="00556F2A"/>
    <w:rsid w:val="005573A7"/>
    <w:rsid w:val="00557BF0"/>
    <w:rsid w:val="0056001C"/>
    <w:rsid w:val="00560D42"/>
    <w:rsid w:val="005612EB"/>
    <w:rsid w:val="0056171F"/>
    <w:rsid w:val="005617F1"/>
    <w:rsid w:val="00561F76"/>
    <w:rsid w:val="005622B7"/>
    <w:rsid w:val="00564ABC"/>
    <w:rsid w:val="00565FB6"/>
    <w:rsid w:val="0056637C"/>
    <w:rsid w:val="0056644B"/>
    <w:rsid w:val="00566E5C"/>
    <w:rsid w:val="0056750E"/>
    <w:rsid w:val="0056785D"/>
    <w:rsid w:val="00567953"/>
    <w:rsid w:val="00567A60"/>
    <w:rsid w:val="005700DB"/>
    <w:rsid w:val="00570370"/>
    <w:rsid w:val="00570409"/>
    <w:rsid w:val="0057095E"/>
    <w:rsid w:val="00570FDF"/>
    <w:rsid w:val="00570FFE"/>
    <w:rsid w:val="005710B1"/>
    <w:rsid w:val="00571245"/>
    <w:rsid w:val="005715E1"/>
    <w:rsid w:val="00571731"/>
    <w:rsid w:val="0057188E"/>
    <w:rsid w:val="00571E3F"/>
    <w:rsid w:val="00572249"/>
    <w:rsid w:val="005722FC"/>
    <w:rsid w:val="00572727"/>
    <w:rsid w:val="005727EA"/>
    <w:rsid w:val="00572894"/>
    <w:rsid w:val="00573274"/>
    <w:rsid w:val="0057360C"/>
    <w:rsid w:val="00573832"/>
    <w:rsid w:val="0057391F"/>
    <w:rsid w:val="00573B23"/>
    <w:rsid w:val="00573B87"/>
    <w:rsid w:val="0057416B"/>
    <w:rsid w:val="00574197"/>
    <w:rsid w:val="00574439"/>
    <w:rsid w:val="00574CAD"/>
    <w:rsid w:val="005751B8"/>
    <w:rsid w:val="005756F1"/>
    <w:rsid w:val="00576064"/>
    <w:rsid w:val="00577D2D"/>
    <w:rsid w:val="00577FC5"/>
    <w:rsid w:val="0058000E"/>
    <w:rsid w:val="005805E9"/>
    <w:rsid w:val="00580DCA"/>
    <w:rsid w:val="00580F70"/>
    <w:rsid w:val="0058156B"/>
    <w:rsid w:val="0058176B"/>
    <w:rsid w:val="00581811"/>
    <w:rsid w:val="005820E8"/>
    <w:rsid w:val="0058268D"/>
    <w:rsid w:val="005826ED"/>
    <w:rsid w:val="00582882"/>
    <w:rsid w:val="0058297D"/>
    <w:rsid w:val="00582B7C"/>
    <w:rsid w:val="005837C8"/>
    <w:rsid w:val="005839C2"/>
    <w:rsid w:val="00584687"/>
    <w:rsid w:val="00584D78"/>
    <w:rsid w:val="0058511B"/>
    <w:rsid w:val="0058561C"/>
    <w:rsid w:val="00585A6F"/>
    <w:rsid w:val="00586023"/>
    <w:rsid w:val="00586A00"/>
    <w:rsid w:val="00586A5D"/>
    <w:rsid w:val="00586C20"/>
    <w:rsid w:val="00586FEC"/>
    <w:rsid w:val="0058716C"/>
    <w:rsid w:val="005872C4"/>
    <w:rsid w:val="005878FC"/>
    <w:rsid w:val="0058790E"/>
    <w:rsid w:val="00587D18"/>
    <w:rsid w:val="00590194"/>
    <w:rsid w:val="005902EC"/>
    <w:rsid w:val="0059057E"/>
    <w:rsid w:val="00590F96"/>
    <w:rsid w:val="0059127C"/>
    <w:rsid w:val="00592044"/>
    <w:rsid w:val="0059226C"/>
    <w:rsid w:val="00592358"/>
    <w:rsid w:val="00592A2F"/>
    <w:rsid w:val="00593512"/>
    <w:rsid w:val="00593DA2"/>
    <w:rsid w:val="005941C2"/>
    <w:rsid w:val="00595093"/>
    <w:rsid w:val="005955E5"/>
    <w:rsid w:val="0059560E"/>
    <w:rsid w:val="0059572C"/>
    <w:rsid w:val="0059581D"/>
    <w:rsid w:val="00595C0D"/>
    <w:rsid w:val="00596141"/>
    <w:rsid w:val="005961B5"/>
    <w:rsid w:val="0059636A"/>
    <w:rsid w:val="00596562"/>
    <w:rsid w:val="00596662"/>
    <w:rsid w:val="005966EC"/>
    <w:rsid w:val="005972D2"/>
    <w:rsid w:val="00597464"/>
    <w:rsid w:val="005974DB"/>
    <w:rsid w:val="0059772F"/>
    <w:rsid w:val="00597743"/>
    <w:rsid w:val="005A0060"/>
    <w:rsid w:val="005A0490"/>
    <w:rsid w:val="005A1816"/>
    <w:rsid w:val="005A19CA"/>
    <w:rsid w:val="005A1E90"/>
    <w:rsid w:val="005A20E6"/>
    <w:rsid w:val="005A249B"/>
    <w:rsid w:val="005A376F"/>
    <w:rsid w:val="005A3979"/>
    <w:rsid w:val="005A3C76"/>
    <w:rsid w:val="005A4561"/>
    <w:rsid w:val="005A4CBD"/>
    <w:rsid w:val="005A5507"/>
    <w:rsid w:val="005A55B6"/>
    <w:rsid w:val="005A5AC0"/>
    <w:rsid w:val="005A5FC0"/>
    <w:rsid w:val="005A6234"/>
    <w:rsid w:val="005B0218"/>
    <w:rsid w:val="005B0533"/>
    <w:rsid w:val="005B07C9"/>
    <w:rsid w:val="005B1672"/>
    <w:rsid w:val="005B1736"/>
    <w:rsid w:val="005B17E2"/>
    <w:rsid w:val="005B2395"/>
    <w:rsid w:val="005B2EBF"/>
    <w:rsid w:val="005B31DA"/>
    <w:rsid w:val="005B3352"/>
    <w:rsid w:val="005B35AC"/>
    <w:rsid w:val="005B3A75"/>
    <w:rsid w:val="005B5067"/>
    <w:rsid w:val="005B5387"/>
    <w:rsid w:val="005B5596"/>
    <w:rsid w:val="005B6923"/>
    <w:rsid w:val="005B6B37"/>
    <w:rsid w:val="005B6D16"/>
    <w:rsid w:val="005B6D2C"/>
    <w:rsid w:val="005B6F42"/>
    <w:rsid w:val="005B76E4"/>
    <w:rsid w:val="005B7974"/>
    <w:rsid w:val="005B7C89"/>
    <w:rsid w:val="005B7EB0"/>
    <w:rsid w:val="005C03F8"/>
    <w:rsid w:val="005C067F"/>
    <w:rsid w:val="005C081B"/>
    <w:rsid w:val="005C086E"/>
    <w:rsid w:val="005C0AD7"/>
    <w:rsid w:val="005C13EC"/>
    <w:rsid w:val="005C14FB"/>
    <w:rsid w:val="005C1944"/>
    <w:rsid w:val="005C24BB"/>
    <w:rsid w:val="005C30CB"/>
    <w:rsid w:val="005C3168"/>
    <w:rsid w:val="005C33BD"/>
    <w:rsid w:val="005C3476"/>
    <w:rsid w:val="005C3CB1"/>
    <w:rsid w:val="005C4093"/>
    <w:rsid w:val="005C428C"/>
    <w:rsid w:val="005C4357"/>
    <w:rsid w:val="005C55F4"/>
    <w:rsid w:val="005C5684"/>
    <w:rsid w:val="005C5A6F"/>
    <w:rsid w:val="005C5AC4"/>
    <w:rsid w:val="005C6348"/>
    <w:rsid w:val="005C6E88"/>
    <w:rsid w:val="005C7595"/>
    <w:rsid w:val="005C762D"/>
    <w:rsid w:val="005C7F35"/>
    <w:rsid w:val="005D0347"/>
    <w:rsid w:val="005D037C"/>
    <w:rsid w:val="005D04CB"/>
    <w:rsid w:val="005D16D6"/>
    <w:rsid w:val="005D21E2"/>
    <w:rsid w:val="005D2270"/>
    <w:rsid w:val="005D2274"/>
    <w:rsid w:val="005D2968"/>
    <w:rsid w:val="005D2A53"/>
    <w:rsid w:val="005D31A7"/>
    <w:rsid w:val="005D378C"/>
    <w:rsid w:val="005D4445"/>
    <w:rsid w:val="005D48F9"/>
    <w:rsid w:val="005D4B59"/>
    <w:rsid w:val="005D5340"/>
    <w:rsid w:val="005D5505"/>
    <w:rsid w:val="005D55BC"/>
    <w:rsid w:val="005D55E1"/>
    <w:rsid w:val="005D5FDA"/>
    <w:rsid w:val="005D651A"/>
    <w:rsid w:val="005D6A60"/>
    <w:rsid w:val="005D6B7F"/>
    <w:rsid w:val="005D734A"/>
    <w:rsid w:val="005D7956"/>
    <w:rsid w:val="005E01C8"/>
    <w:rsid w:val="005E0586"/>
    <w:rsid w:val="005E066C"/>
    <w:rsid w:val="005E1BC9"/>
    <w:rsid w:val="005E1C71"/>
    <w:rsid w:val="005E1E00"/>
    <w:rsid w:val="005E1ED7"/>
    <w:rsid w:val="005E269B"/>
    <w:rsid w:val="005E26CD"/>
    <w:rsid w:val="005E279D"/>
    <w:rsid w:val="005E2D14"/>
    <w:rsid w:val="005E41C9"/>
    <w:rsid w:val="005E4ADB"/>
    <w:rsid w:val="005E4E9B"/>
    <w:rsid w:val="005E54E4"/>
    <w:rsid w:val="005E5694"/>
    <w:rsid w:val="005E5798"/>
    <w:rsid w:val="005E581D"/>
    <w:rsid w:val="005E6308"/>
    <w:rsid w:val="005E647D"/>
    <w:rsid w:val="005E6D98"/>
    <w:rsid w:val="005E6F5F"/>
    <w:rsid w:val="005E7326"/>
    <w:rsid w:val="005E7562"/>
    <w:rsid w:val="005E7CF9"/>
    <w:rsid w:val="005F03F9"/>
    <w:rsid w:val="005F0525"/>
    <w:rsid w:val="005F0653"/>
    <w:rsid w:val="005F10C5"/>
    <w:rsid w:val="005F1300"/>
    <w:rsid w:val="005F1586"/>
    <w:rsid w:val="005F1C82"/>
    <w:rsid w:val="005F1CC1"/>
    <w:rsid w:val="005F1D80"/>
    <w:rsid w:val="005F20D1"/>
    <w:rsid w:val="005F2628"/>
    <w:rsid w:val="005F2EB3"/>
    <w:rsid w:val="005F312B"/>
    <w:rsid w:val="005F35C8"/>
    <w:rsid w:val="005F362A"/>
    <w:rsid w:val="005F36DB"/>
    <w:rsid w:val="005F371F"/>
    <w:rsid w:val="005F3863"/>
    <w:rsid w:val="005F3FF2"/>
    <w:rsid w:val="005F4CB6"/>
    <w:rsid w:val="005F4E77"/>
    <w:rsid w:val="005F52C5"/>
    <w:rsid w:val="005F572C"/>
    <w:rsid w:val="005F58E6"/>
    <w:rsid w:val="005F5A5B"/>
    <w:rsid w:val="005F5C59"/>
    <w:rsid w:val="005F5C8C"/>
    <w:rsid w:val="005F5C95"/>
    <w:rsid w:val="005F6178"/>
    <w:rsid w:val="005F6773"/>
    <w:rsid w:val="005F6BD7"/>
    <w:rsid w:val="005F77C3"/>
    <w:rsid w:val="005F7897"/>
    <w:rsid w:val="006002F8"/>
    <w:rsid w:val="006004D5"/>
    <w:rsid w:val="00600BDC"/>
    <w:rsid w:val="006010AE"/>
    <w:rsid w:val="00601678"/>
    <w:rsid w:val="006016E4"/>
    <w:rsid w:val="00601CC7"/>
    <w:rsid w:val="006023F6"/>
    <w:rsid w:val="006024B5"/>
    <w:rsid w:val="00602E09"/>
    <w:rsid w:val="006032C0"/>
    <w:rsid w:val="00603D62"/>
    <w:rsid w:val="00603E61"/>
    <w:rsid w:val="00604CBB"/>
    <w:rsid w:val="0060586C"/>
    <w:rsid w:val="006058EF"/>
    <w:rsid w:val="00605E4F"/>
    <w:rsid w:val="00606309"/>
    <w:rsid w:val="006066FD"/>
    <w:rsid w:val="006068AE"/>
    <w:rsid w:val="00607136"/>
    <w:rsid w:val="006071D2"/>
    <w:rsid w:val="00610527"/>
    <w:rsid w:val="006105F5"/>
    <w:rsid w:val="00610C87"/>
    <w:rsid w:val="00611673"/>
    <w:rsid w:val="006126ED"/>
    <w:rsid w:val="0061295E"/>
    <w:rsid w:val="00612D22"/>
    <w:rsid w:val="00613676"/>
    <w:rsid w:val="0061383D"/>
    <w:rsid w:val="006138F7"/>
    <w:rsid w:val="00613DDD"/>
    <w:rsid w:val="00613F6A"/>
    <w:rsid w:val="00614292"/>
    <w:rsid w:val="006146A9"/>
    <w:rsid w:val="00614932"/>
    <w:rsid w:val="00614B29"/>
    <w:rsid w:val="00615323"/>
    <w:rsid w:val="00615852"/>
    <w:rsid w:val="0061589C"/>
    <w:rsid w:val="00615A6A"/>
    <w:rsid w:val="00616023"/>
    <w:rsid w:val="006161DD"/>
    <w:rsid w:val="0061657D"/>
    <w:rsid w:val="0061662F"/>
    <w:rsid w:val="006169BA"/>
    <w:rsid w:val="00616A15"/>
    <w:rsid w:val="0061700B"/>
    <w:rsid w:val="00617696"/>
    <w:rsid w:val="00617D8F"/>
    <w:rsid w:val="006208CA"/>
    <w:rsid w:val="00620B04"/>
    <w:rsid w:val="00620BA5"/>
    <w:rsid w:val="0062109C"/>
    <w:rsid w:val="00621302"/>
    <w:rsid w:val="0062158E"/>
    <w:rsid w:val="00621622"/>
    <w:rsid w:val="006217D4"/>
    <w:rsid w:val="00621E73"/>
    <w:rsid w:val="00622057"/>
    <w:rsid w:val="00622899"/>
    <w:rsid w:val="00622AF6"/>
    <w:rsid w:val="006232FC"/>
    <w:rsid w:val="006233FE"/>
    <w:rsid w:val="006238F7"/>
    <w:rsid w:val="00623AFA"/>
    <w:rsid w:val="00623B01"/>
    <w:rsid w:val="00623FC1"/>
    <w:rsid w:val="006245D3"/>
    <w:rsid w:val="0062464F"/>
    <w:rsid w:val="00624C52"/>
    <w:rsid w:val="00625141"/>
    <w:rsid w:val="006259D7"/>
    <w:rsid w:val="00625C45"/>
    <w:rsid w:val="006265AA"/>
    <w:rsid w:val="00626F05"/>
    <w:rsid w:val="00627280"/>
    <w:rsid w:val="00627BD5"/>
    <w:rsid w:val="00630956"/>
    <w:rsid w:val="00630CE1"/>
    <w:rsid w:val="00630EE2"/>
    <w:rsid w:val="00632382"/>
    <w:rsid w:val="00632558"/>
    <w:rsid w:val="006326FE"/>
    <w:rsid w:val="00632B3C"/>
    <w:rsid w:val="00632B7A"/>
    <w:rsid w:val="00632FB9"/>
    <w:rsid w:val="00633424"/>
    <w:rsid w:val="00633531"/>
    <w:rsid w:val="0063385B"/>
    <w:rsid w:val="00633C29"/>
    <w:rsid w:val="006341FF"/>
    <w:rsid w:val="00634260"/>
    <w:rsid w:val="00634B2A"/>
    <w:rsid w:val="00634FF1"/>
    <w:rsid w:val="00635443"/>
    <w:rsid w:val="00635939"/>
    <w:rsid w:val="00635AD5"/>
    <w:rsid w:val="00635D19"/>
    <w:rsid w:val="006362EF"/>
    <w:rsid w:val="00636371"/>
    <w:rsid w:val="006363AA"/>
    <w:rsid w:val="006367AE"/>
    <w:rsid w:val="006369D9"/>
    <w:rsid w:val="00636CD8"/>
    <w:rsid w:val="00636CDF"/>
    <w:rsid w:val="00640300"/>
    <w:rsid w:val="00640B46"/>
    <w:rsid w:val="00640D2A"/>
    <w:rsid w:val="00640DB1"/>
    <w:rsid w:val="00640FF5"/>
    <w:rsid w:val="0064137C"/>
    <w:rsid w:val="0064196C"/>
    <w:rsid w:val="00641AD9"/>
    <w:rsid w:val="00641C50"/>
    <w:rsid w:val="00641EF8"/>
    <w:rsid w:val="00642220"/>
    <w:rsid w:val="0064243E"/>
    <w:rsid w:val="00642448"/>
    <w:rsid w:val="00642BA8"/>
    <w:rsid w:val="0064314C"/>
    <w:rsid w:val="00643CD7"/>
    <w:rsid w:val="00644758"/>
    <w:rsid w:val="006449B8"/>
    <w:rsid w:val="00644C97"/>
    <w:rsid w:val="0064533E"/>
    <w:rsid w:val="006454EE"/>
    <w:rsid w:val="0064634C"/>
    <w:rsid w:val="006463C7"/>
    <w:rsid w:val="006469A2"/>
    <w:rsid w:val="0064777E"/>
    <w:rsid w:val="00647B8F"/>
    <w:rsid w:val="00647FD3"/>
    <w:rsid w:val="006508D9"/>
    <w:rsid w:val="00650B5A"/>
    <w:rsid w:val="00650CF7"/>
    <w:rsid w:val="00650F00"/>
    <w:rsid w:val="00650F3B"/>
    <w:rsid w:val="006510C2"/>
    <w:rsid w:val="006511F8"/>
    <w:rsid w:val="0065180D"/>
    <w:rsid w:val="006518CB"/>
    <w:rsid w:val="006529F9"/>
    <w:rsid w:val="006534F1"/>
    <w:rsid w:val="006538AD"/>
    <w:rsid w:val="00654056"/>
    <w:rsid w:val="0065439C"/>
    <w:rsid w:val="006546C3"/>
    <w:rsid w:val="00654C0D"/>
    <w:rsid w:val="00654CAE"/>
    <w:rsid w:val="00655196"/>
    <w:rsid w:val="006554B7"/>
    <w:rsid w:val="00655677"/>
    <w:rsid w:val="00655DF0"/>
    <w:rsid w:val="006563F1"/>
    <w:rsid w:val="0065695E"/>
    <w:rsid w:val="00656A7B"/>
    <w:rsid w:val="00656B4F"/>
    <w:rsid w:val="00657B2A"/>
    <w:rsid w:val="006605BB"/>
    <w:rsid w:val="00661283"/>
    <w:rsid w:val="00661532"/>
    <w:rsid w:val="00661BE9"/>
    <w:rsid w:val="0066269D"/>
    <w:rsid w:val="006626A8"/>
    <w:rsid w:val="006632D8"/>
    <w:rsid w:val="0066334A"/>
    <w:rsid w:val="006634F8"/>
    <w:rsid w:val="006637EE"/>
    <w:rsid w:val="006646B6"/>
    <w:rsid w:val="00664AA1"/>
    <w:rsid w:val="00665327"/>
    <w:rsid w:val="00665819"/>
    <w:rsid w:val="00665B11"/>
    <w:rsid w:val="00665D9F"/>
    <w:rsid w:val="00666417"/>
    <w:rsid w:val="00666520"/>
    <w:rsid w:val="00666687"/>
    <w:rsid w:val="006669E2"/>
    <w:rsid w:val="00666EC3"/>
    <w:rsid w:val="00667031"/>
    <w:rsid w:val="00667196"/>
    <w:rsid w:val="006675D0"/>
    <w:rsid w:val="0066777B"/>
    <w:rsid w:val="00667CC0"/>
    <w:rsid w:val="00670364"/>
    <w:rsid w:val="00670BA0"/>
    <w:rsid w:val="00670DBF"/>
    <w:rsid w:val="006712E4"/>
    <w:rsid w:val="00672064"/>
    <w:rsid w:val="0067368D"/>
    <w:rsid w:val="0067382D"/>
    <w:rsid w:val="00673C05"/>
    <w:rsid w:val="00674356"/>
    <w:rsid w:val="00674523"/>
    <w:rsid w:val="00674936"/>
    <w:rsid w:val="00674D13"/>
    <w:rsid w:val="00675076"/>
    <w:rsid w:val="00675267"/>
    <w:rsid w:val="006752A2"/>
    <w:rsid w:val="00675472"/>
    <w:rsid w:val="006754BE"/>
    <w:rsid w:val="00675DB8"/>
    <w:rsid w:val="00676414"/>
    <w:rsid w:val="00676AE5"/>
    <w:rsid w:val="00676DE7"/>
    <w:rsid w:val="006772B7"/>
    <w:rsid w:val="006775C2"/>
    <w:rsid w:val="006775E9"/>
    <w:rsid w:val="00677844"/>
    <w:rsid w:val="00677FDE"/>
    <w:rsid w:val="00680265"/>
    <w:rsid w:val="006802EC"/>
    <w:rsid w:val="006803F5"/>
    <w:rsid w:val="006804AC"/>
    <w:rsid w:val="00680A94"/>
    <w:rsid w:val="00681178"/>
    <w:rsid w:val="00681299"/>
    <w:rsid w:val="006817EB"/>
    <w:rsid w:val="00682231"/>
    <w:rsid w:val="00682302"/>
    <w:rsid w:val="006826FB"/>
    <w:rsid w:val="00683045"/>
    <w:rsid w:val="006836F7"/>
    <w:rsid w:val="00683DFC"/>
    <w:rsid w:val="00684CB3"/>
    <w:rsid w:val="00685152"/>
    <w:rsid w:val="00685291"/>
    <w:rsid w:val="006855BE"/>
    <w:rsid w:val="00685CAC"/>
    <w:rsid w:val="006860D8"/>
    <w:rsid w:val="006864D6"/>
    <w:rsid w:val="0068683F"/>
    <w:rsid w:val="00686908"/>
    <w:rsid w:val="00686E6A"/>
    <w:rsid w:val="00687019"/>
    <w:rsid w:val="006876E8"/>
    <w:rsid w:val="0069012A"/>
    <w:rsid w:val="0069079D"/>
    <w:rsid w:val="00690F9D"/>
    <w:rsid w:val="00691755"/>
    <w:rsid w:val="00691805"/>
    <w:rsid w:val="00691EB9"/>
    <w:rsid w:val="00692F2B"/>
    <w:rsid w:val="00693E27"/>
    <w:rsid w:val="006941BB"/>
    <w:rsid w:val="00694269"/>
    <w:rsid w:val="0069428C"/>
    <w:rsid w:val="00694C8D"/>
    <w:rsid w:val="00694E61"/>
    <w:rsid w:val="0069530A"/>
    <w:rsid w:val="00695855"/>
    <w:rsid w:val="00695BC9"/>
    <w:rsid w:val="00695C8B"/>
    <w:rsid w:val="006965C8"/>
    <w:rsid w:val="006971EB"/>
    <w:rsid w:val="006976AF"/>
    <w:rsid w:val="00697A28"/>
    <w:rsid w:val="006A0C96"/>
    <w:rsid w:val="006A0DD9"/>
    <w:rsid w:val="006A0EE8"/>
    <w:rsid w:val="006A14A2"/>
    <w:rsid w:val="006A1528"/>
    <w:rsid w:val="006A18B1"/>
    <w:rsid w:val="006A1A33"/>
    <w:rsid w:val="006A3251"/>
    <w:rsid w:val="006A34AB"/>
    <w:rsid w:val="006A35C1"/>
    <w:rsid w:val="006A38BA"/>
    <w:rsid w:val="006A4449"/>
    <w:rsid w:val="006A4750"/>
    <w:rsid w:val="006A47C6"/>
    <w:rsid w:val="006A502C"/>
    <w:rsid w:val="006A552D"/>
    <w:rsid w:val="006A665D"/>
    <w:rsid w:val="006A68E7"/>
    <w:rsid w:val="006A6FE0"/>
    <w:rsid w:val="006A71FF"/>
    <w:rsid w:val="006B0A70"/>
    <w:rsid w:val="006B0B81"/>
    <w:rsid w:val="006B1211"/>
    <w:rsid w:val="006B123C"/>
    <w:rsid w:val="006B1890"/>
    <w:rsid w:val="006B1D57"/>
    <w:rsid w:val="006B2155"/>
    <w:rsid w:val="006B2A67"/>
    <w:rsid w:val="006B3715"/>
    <w:rsid w:val="006B37CE"/>
    <w:rsid w:val="006B3CDE"/>
    <w:rsid w:val="006B4466"/>
    <w:rsid w:val="006B460B"/>
    <w:rsid w:val="006B494E"/>
    <w:rsid w:val="006B4BAB"/>
    <w:rsid w:val="006B4BE1"/>
    <w:rsid w:val="006B4F24"/>
    <w:rsid w:val="006B54BC"/>
    <w:rsid w:val="006B5775"/>
    <w:rsid w:val="006B66D3"/>
    <w:rsid w:val="006B67AB"/>
    <w:rsid w:val="006B6BB9"/>
    <w:rsid w:val="006B6DA8"/>
    <w:rsid w:val="006B7922"/>
    <w:rsid w:val="006B7A34"/>
    <w:rsid w:val="006B7B73"/>
    <w:rsid w:val="006C0086"/>
    <w:rsid w:val="006C0482"/>
    <w:rsid w:val="006C0A30"/>
    <w:rsid w:val="006C0D3B"/>
    <w:rsid w:val="006C15F0"/>
    <w:rsid w:val="006C232D"/>
    <w:rsid w:val="006C28D2"/>
    <w:rsid w:val="006C29A0"/>
    <w:rsid w:val="006C2D45"/>
    <w:rsid w:val="006C30C7"/>
    <w:rsid w:val="006C43BD"/>
    <w:rsid w:val="006C471F"/>
    <w:rsid w:val="006C48F5"/>
    <w:rsid w:val="006C4E35"/>
    <w:rsid w:val="006C4FA5"/>
    <w:rsid w:val="006C54B5"/>
    <w:rsid w:val="006C63D8"/>
    <w:rsid w:val="006C6E4A"/>
    <w:rsid w:val="006C6FC9"/>
    <w:rsid w:val="006C6FF8"/>
    <w:rsid w:val="006C76CA"/>
    <w:rsid w:val="006C7825"/>
    <w:rsid w:val="006D09B2"/>
    <w:rsid w:val="006D0C91"/>
    <w:rsid w:val="006D0F76"/>
    <w:rsid w:val="006D0F87"/>
    <w:rsid w:val="006D123A"/>
    <w:rsid w:val="006D1AD6"/>
    <w:rsid w:val="006D1B7A"/>
    <w:rsid w:val="006D1DBB"/>
    <w:rsid w:val="006D22F3"/>
    <w:rsid w:val="006D29C3"/>
    <w:rsid w:val="006D2D66"/>
    <w:rsid w:val="006D2FC4"/>
    <w:rsid w:val="006D3B3D"/>
    <w:rsid w:val="006D3B7F"/>
    <w:rsid w:val="006D4216"/>
    <w:rsid w:val="006D48AD"/>
    <w:rsid w:val="006D4A6E"/>
    <w:rsid w:val="006D4B4E"/>
    <w:rsid w:val="006D6718"/>
    <w:rsid w:val="006D6BF5"/>
    <w:rsid w:val="006D7616"/>
    <w:rsid w:val="006D7F47"/>
    <w:rsid w:val="006E002C"/>
    <w:rsid w:val="006E0BA1"/>
    <w:rsid w:val="006E0FA7"/>
    <w:rsid w:val="006E188F"/>
    <w:rsid w:val="006E21F4"/>
    <w:rsid w:val="006E270D"/>
    <w:rsid w:val="006E2A72"/>
    <w:rsid w:val="006E32B9"/>
    <w:rsid w:val="006E337D"/>
    <w:rsid w:val="006E3863"/>
    <w:rsid w:val="006E3AF0"/>
    <w:rsid w:val="006E3DEA"/>
    <w:rsid w:val="006E3EBB"/>
    <w:rsid w:val="006E3F45"/>
    <w:rsid w:val="006E4178"/>
    <w:rsid w:val="006E49D2"/>
    <w:rsid w:val="006E5637"/>
    <w:rsid w:val="006E5841"/>
    <w:rsid w:val="006E634D"/>
    <w:rsid w:val="006E6CFF"/>
    <w:rsid w:val="006E6FE9"/>
    <w:rsid w:val="006E7059"/>
    <w:rsid w:val="006E71A8"/>
    <w:rsid w:val="006E7841"/>
    <w:rsid w:val="006E7AC4"/>
    <w:rsid w:val="006E7BAF"/>
    <w:rsid w:val="006E7D50"/>
    <w:rsid w:val="006F02D9"/>
    <w:rsid w:val="006F0844"/>
    <w:rsid w:val="006F0BBE"/>
    <w:rsid w:val="006F0E62"/>
    <w:rsid w:val="006F1A92"/>
    <w:rsid w:val="006F1DA8"/>
    <w:rsid w:val="006F2F2E"/>
    <w:rsid w:val="006F3892"/>
    <w:rsid w:val="006F3E7D"/>
    <w:rsid w:val="006F4361"/>
    <w:rsid w:val="006F4827"/>
    <w:rsid w:val="006F514C"/>
    <w:rsid w:val="006F596A"/>
    <w:rsid w:val="006F5C8E"/>
    <w:rsid w:val="006F63AC"/>
    <w:rsid w:val="006F665D"/>
    <w:rsid w:val="006F6C1D"/>
    <w:rsid w:val="006F71C6"/>
    <w:rsid w:val="006F71FE"/>
    <w:rsid w:val="006F735C"/>
    <w:rsid w:val="006F7BDE"/>
    <w:rsid w:val="006F7C75"/>
    <w:rsid w:val="006F7DE0"/>
    <w:rsid w:val="00700176"/>
    <w:rsid w:val="00700668"/>
    <w:rsid w:val="007007CB"/>
    <w:rsid w:val="007009AD"/>
    <w:rsid w:val="00700AED"/>
    <w:rsid w:val="0070231C"/>
    <w:rsid w:val="00702789"/>
    <w:rsid w:val="00703384"/>
    <w:rsid w:val="00703503"/>
    <w:rsid w:val="007038DB"/>
    <w:rsid w:val="007038E8"/>
    <w:rsid w:val="00703D67"/>
    <w:rsid w:val="00704085"/>
    <w:rsid w:val="0070415C"/>
    <w:rsid w:val="00704424"/>
    <w:rsid w:val="00704891"/>
    <w:rsid w:val="00704B3D"/>
    <w:rsid w:val="00704E87"/>
    <w:rsid w:val="00705173"/>
    <w:rsid w:val="0070581D"/>
    <w:rsid w:val="00705A52"/>
    <w:rsid w:val="00705FF6"/>
    <w:rsid w:val="007061E6"/>
    <w:rsid w:val="00706CA9"/>
    <w:rsid w:val="007073ED"/>
    <w:rsid w:val="0070773E"/>
    <w:rsid w:val="007077EF"/>
    <w:rsid w:val="00707827"/>
    <w:rsid w:val="00707E5D"/>
    <w:rsid w:val="007101DD"/>
    <w:rsid w:val="007101FB"/>
    <w:rsid w:val="00710640"/>
    <w:rsid w:val="00710AFE"/>
    <w:rsid w:val="00710F1B"/>
    <w:rsid w:val="00712972"/>
    <w:rsid w:val="0071328E"/>
    <w:rsid w:val="00714514"/>
    <w:rsid w:val="007155BE"/>
    <w:rsid w:val="00715BAA"/>
    <w:rsid w:val="00716389"/>
    <w:rsid w:val="00716AFA"/>
    <w:rsid w:val="00716F80"/>
    <w:rsid w:val="00716FB8"/>
    <w:rsid w:val="007170A1"/>
    <w:rsid w:val="00720544"/>
    <w:rsid w:val="007205C6"/>
    <w:rsid w:val="0072094D"/>
    <w:rsid w:val="00720E1D"/>
    <w:rsid w:val="00720EAF"/>
    <w:rsid w:val="00721432"/>
    <w:rsid w:val="007214CA"/>
    <w:rsid w:val="007219B4"/>
    <w:rsid w:val="00721AB0"/>
    <w:rsid w:val="00721F24"/>
    <w:rsid w:val="00721F29"/>
    <w:rsid w:val="00721F37"/>
    <w:rsid w:val="00722B95"/>
    <w:rsid w:val="007234BB"/>
    <w:rsid w:val="007244C2"/>
    <w:rsid w:val="00724A5A"/>
    <w:rsid w:val="00724BCE"/>
    <w:rsid w:val="00724E33"/>
    <w:rsid w:val="007250DA"/>
    <w:rsid w:val="007259EC"/>
    <w:rsid w:val="0072696D"/>
    <w:rsid w:val="00726A7F"/>
    <w:rsid w:val="007270CD"/>
    <w:rsid w:val="007276FE"/>
    <w:rsid w:val="007279E9"/>
    <w:rsid w:val="00727BB2"/>
    <w:rsid w:val="007309CF"/>
    <w:rsid w:val="00730FE1"/>
    <w:rsid w:val="00731E25"/>
    <w:rsid w:val="0073223D"/>
    <w:rsid w:val="00732847"/>
    <w:rsid w:val="00732ED8"/>
    <w:rsid w:val="00733F29"/>
    <w:rsid w:val="0073410D"/>
    <w:rsid w:val="00734A80"/>
    <w:rsid w:val="0073567B"/>
    <w:rsid w:val="00736318"/>
    <w:rsid w:val="0073651F"/>
    <w:rsid w:val="007368F0"/>
    <w:rsid w:val="00736ADC"/>
    <w:rsid w:val="00737089"/>
    <w:rsid w:val="00737785"/>
    <w:rsid w:val="00737CDF"/>
    <w:rsid w:val="007400B7"/>
    <w:rsid w:val="007404CC"/>
    <w:rsid w:val="00740604"/>
    <w:rsid w:val="007407CC"/>
    <w:rsid w:val="00740D5D"/>
    <w:rsid w:val="00740EB0"/>
    <w:rsid w:val="00740F0E"/>
    <w:rsid w:val="00741229"/>
    <w:rsid w:val="007417E6"/>
    <w:rsid w:val="00741B79"/>
    <w:rsid w:val="00742A37"/>
    <w:rsid w:val="00742DDB"/>
    <w:rsid w:val="00743566"/>
    <w:rsid w:val="0074424A"/>
    <w:rsid w:val="00744285"/>
    <w:rsid w:val="007446B1"/>
    <w:rsid w:val="00745665"/>
    <w:rsid w:val="00745848"/>
    <w:rsid w:val="00745D85"/>
    <w:rsid w:val="00745D98"/>
    <w:rsid w:val="007461FD"/>
    <w:rsid w:val="0074628F"/>
    <w:rsid w:val="00746DFF"/>
    <w:rsid w:val="00746F3D"/>
    <w:rsid w:val="0074704F"/>
    <w:rsid w:val="00747584"/>
    <w:rsid w:val="00747BB1"/>
    <w:rsid w:val="00747C6A"/>
    <w:rsid w:val="00747DAA"/>
    <w:rsid w:val="00747DB2"/>
    <w:rsid w:val="00747E80"/>
    <w:rsid w:val="00747FF3"/>
    <w:rsid w:val="0075063B"/>
    <w:rsid w:val="00750768"/>
    <w:rsid w:val="00750A97"/>
    <w:rsid w:val="00750D39"/>
    <w:rsid w:val="00751771"/>
    <w:rsid w:val="00751B21"/>
    <w:rsid w:val="0075212F"/>
    <w:rsid w:val="0075226D"/>
    <w:rsid w:val="00752431"/>
    <w:rsid w:val="00752443"/>
    <w:rsid w:val="007528AB"/>
    <w:rsid w:val="00753160"/>
    <w:rsid w:val="00753706"/>
    <w:rsid w:val="0075412F"/>
    <w:rsid w:val="00754A9E"/>
    <w:rsid w:val="00754E6D"/>
    <w:rsid w:val="00755745"/>
    <w:rsid w:val="0075605D"/>
    <w:rsid w:val="0075774F"/>
    <w:rsid w:val="007578DD"/>
    <w:rsid w:val="00757CA6"/>
    <w:rsid w:val="00760249"/>
    <w:rsid w:val="007603E1"/>
    <w:rsid w:val="00760463"/>
    <w:rsid w:val="00760673"/>
    <w:rsid w:val="0076078A"/>
    <w:rsid w:val="00761040"/>
    <w:rsid w:val="00762A90"/>
    <w:rsid w:val="007630D8"/>
    <w:rsid w:val="0076315B"/>
    <w:rsid w:val="00763232"/>
    <w:rsid w:val="00764059"/>
    <w:rsid w:val="007640EC"/>
    <w:rsid w:val="007641BA"/>
    <w:rsid w:val="007643F7"/>
    <w:rsid w:val="00764426"/>
    <w:rsid w:val="007650A1"/>
    <w:rsid w:val="0076575B"/>
    <w:rsid w:val="00765DED"/>
    <w:rsid w:val="00765E29"/>
    <w:rsid w:val="00766126"/>
    <w:rsid w:val="00766134"/>
    <w:rsid w:val="00766A7A"/>
    <w:rsid w:val="00766C55"/>
    <w:rsid w:val="00767EB0"/>
    <w:rsid w:val="00770962"/>
    <w:rsid w:val="007713FF"/>
    <w:rsid w:val="00771930"/>
    <w:rsid w:val="00771BA5"/>
    <w:rsid w:val="00772124"/>
    <w:rsid w:val="007727B3"/>
    <w:rsid w:val="00772954"/>
    <w:rsid w:val="00772C6F"/>
    <w:rsid w:val="00772C9F"/>
    <w:rsid w:val="00772FF1"/>
    <w:rsid w:val="00773567"/>
    <w:rsid w:val="0077444B"/>
    <w:rsid w:val="007745B9"/>
    <w:rsid w:val="00774847"/>
    <w:rsid w:val="007748B2"/>
    <w:rsid w:val="00774D96"/>
    <w:rsid w:val="00774FB5"/>
    <w:rsid w:val="00775056"/>
    <w:rsid w:val="0077530B"/>
    <w:rsid w:val="007754E2"/>
    <w:rsid w:val="00775658"/>
    <w:rsid w:val="00775C4D"/>
    <w:rsid w:val="007764DD"/>
    <w:rsid w:val="00776C35"/>
    <w:rsid w:val="00777F11"/>
    <w:rsid w:val="007802BC"/>
    <w:rsid w:val="0078056C"/>
    <w:rsid w:val="007811DA"/>
    <w:rsid w:val="0078187A"/>
    <w:rsid w:val="00781970"/>
    <w:rsid w:val="00781A00"/>
    <w:rsid w:val="00781F2B"/>
    <w:rsid w:val="00781FE9"/>
    <w:rsid w:val="00782677"/>
    <w:rsid w:val="0078314D"/>
    <w:rsid w:val="00783672"/>
    <w:rsid w:val="00783B5D"/>
    <w:rsid w:val="00783DC1"/>
    <w:rsid w:val="00784152"/>
    <w:rsid w:val="00784418"/>
    <w:rsid w:val="00784956"/>
    <w:rsid w:val="00784EC9"/>
    <w:rsid w:val="007851E4"/>
    <w:rsid w:val="00786044"/>
    <w:rsid w:val="007860C7"/>
    <w:rsid w:val="007860F7"/>
    <w:rsid w:val="00786311"/>
    <w:rsid w:val="007864F3"/>
    <w:rsid w:val="007869C1"/>
    <w:rsid w:val="00787204"/>
    <w:rsid w:val="00787228"/>
    <w:rsid w:val="007877FA"/>
    <w:rsid w:val="00787D59"/>
    <w:rsid w:val="007903AE"/>
    <w:rsid w:val="00790CCD"/>
    <w:rsid w:val="00790DFA"/>
    <w:rsid w:val="00791193"/>
    <w:rsid w:val="00791829"/>
    <w:rsid w:val="00791864"/>
    <w:rsid w:val="00791959"/>
    <w:rsid w:val="00791A15"/>
    <w:rsid w:val="00791A7A"/>
    <w:rsid w:val="00791EDE"/>
    <w:rsid w:val="00792963"/>
    <w:rsid w:val="00792B9C"/>
    <w:rsid w:val="00792FB4"/>
    <w:rsid w:val="0079313D"/>
    <w:rsid w:val="007932CE"/>
    <w:rsid w:val="00793A3A"/>
    <w:rsid w:val="00793AC8"/>
    <w:rsid w:val="00793B97"/>
    <w:rsid w:val="00793C34"/>
    <w:rsid w:val="00793D6A"/>
    <w:rsid w:val="007946B9"/>
    <w:rsid w:val="00794787"/>
    <w:rsid w:val="00794E08"/>
    <w:rsid w:val="007957F6"/>
    <w:rsid w:val="007958A9"/>
    <w:rsid w:val="00795AE0"/>
    <w:rsid w:val="00795E00"/>
    <w:rsid w:val="00795FD2"/>
    <w:rsid w:val="00796161"/>
    <w:rsid w:val="00796281"/>
    <w:rsid w:val="00797087"/>
    <w:rsid w:val="00797380"/>
    <w:rsid w:val="007A04FC"/>
    <w:rsid w:val="007A0FF7"/>
    <w:rsid w:val="007A12CF"/>
    <w:rsid w:val="007A1687"/>
    <w:rsid w:val="007A1705"/>
    <w:rsid w:val="007A23C2"/>
    <w:rsid w:val="007A2AEE"/>
    <w:rsid w:val="007A3A68"/>
    <w:rsid w:val="007A3F6C"/>
    <w:rsid w:val="007A423D"/>
    <w:rsid w:val="007A439F"/>
    <w:rsid w:val="007A46D0"/>
    <w:rsid w:val="007A5341"/>
    <w:rsid w:val="007A654B"/>
    <w:rsid w:val="007A66E1"/>
    <w:rsid w:val="007A6A7D"/>
    <w:rsid w:val="007A6B1A"/>
    <w:rsid w:val="007A7254"/>
    <w:rsid w:val="007A7327"/>
    <w:rsid w:val="007A7509"/>
    <w:rsid w:val="007A7895"/>
    <w:rsid w:val="007A789F"/>
    <w:rsid w:val="007A79EB"/>
    <w:rsid w:val="007A7CC3"/>
    <w:rsid w:val="007A7FFA"/>
    <w:rsid w:val="007B02D0"/>
    <w:rsid w:val="007B03D1"/>
    <w:rsid w:val="007B08DE"/>
    <w:rsid w:val="007B0BF0"/>
    <w:rsid w:val="007B0DB9"/>
    <w:rsid w:val="007B0E96"/>
    <w:rsid w:val="007B1261"/>
    <w:rsid w:val="007B229D"/>
    <w:rsid w:val="007B229E"/>
    <w:rsid w:val="007B2AB9"/>
    <w:rsid w:val="007B3B4B"/>
    <w:rsid w:val="007B3C87"/>
    <w:rsid w:val="007B47FE"/>
    <w:rsid w:val="007B4AFA"/>
    <w:rsid w:val="007B51D7"/>
    <w:rsid w:val="007B56CF"/>
    <w:rsid w:val="007B5B55"/>
    <w:rsid w:val="007B5D3F"/>
    <w:rsid w:val="007B64DB"/>
    <w:rsid w:val="007B6BE4"/>
    <w:rsid w:val="007B6C3E"/>
    <w:rsid w:val="007B6E29"/>
    <w:rsid w:val="007B764B"/>
    <w:rsid w:val="007B7C88"/>
    <w:rsid w:val="007B7EDE"/>
    <w:rsid w:val="007C0372"/>
    <w:rsid w:val="007C05F1"/>
    <w:rsid w:val="007C07FF"/>
    <w:rsid w:val="007C10E2"/>
    <w:rsid w:val="007C1322"/>
    <w:rsid w:val="007C1734"/>
    <w:rsid w:val="007C179B"/>
    <w:rsid w:val="007C1BCF"/>
    <w:rsid w:val="007C1D61"/>
    <w:rsid w:val="007C26B2"/>
    <w:rsid w:val="007C2A7D"/>
    <w:rsid w:val="007C3264"/>
    <w:rsid w:val="007C32FE"/>
    <w:rsid w:val="007C38E0"/>
    <w:rsid w:val="007C39AA"/>
    <w:rsid w:val="007C3B9D"/>
    <w:rsid w:val="007C449E"/>
    <w:rsid w:val="007C4A12"/>
    <w:rsid w:val="007C5014"/>
    <w:rsid w:val="007C5A41"/>
    <w:rsid w:val="007C5D81"/>
    <w:rsid w:val="007C67FD"/>
    <w:rsid w:val="007C6809"/>
    <w:rsid w:val="007C6A10"/>
    <w:rsid w:val="007C6DCB"/>
    <w:rsid w:val="007C6E4B"/>
    <w:rsid w:val="007C7169"/>
    <w:rsid w:val="007C7982"/>
    <w:rsid w:val="007D05E8"/>
    <w:rsid w:val="007D0928"/>
    <w:rsid w:val="007D0B80"/>
    <w:rsid w:val="007D0E1A"/>
    <w:rsid w:val="007D12E1"/>
    <w:rsid w:val="007D12E6"/>
    <w:rsid w:val="007D1DD4"/>
    <w:rsid w:val="007D1DE3"/>
    <w:rsid w:val="007D212E"/>
    <w:rsid w:val="007D2BDA"/>
    <w:rsid w:val="007D318A"/>
    <w:rsid w:val="007D3B58"/>
    <w:rsid w:val="007D3FEC"/>
    <w:rsid w:val="007D48B0"/>
    <w:rsid w:val="007D63DF"/>
    <w:rsid w:val="007D678C"/>
    <w:rsid w:val="007D6B7D"/>
    <w:rsid w:val="007D6EEA"/>
    <w:rsid w:val="007D706C"/>
    <w:rsid w:val="007D7077"/>
    <w:rsid w:val="007D71A7"/>
    <w:rsid w:val="007E0560"/>
    <w:rsid w:val="007E0728"/>
    <w:rsid w:val="007E0E32"/>
    <w:rsid w:val="007E1212"/>
    <w:rsid w:val="007E1850"/>
    <w:rsid w:val="007E1C33"/>
    <w:rsid w:val="007E2309"/>
    <w:rsid w:val="007E2698"/>
    <w:rsid w:val="007E26FF"/>
    <w:rsid w:val="007E2E4D"/>
    <w:rsid w:val="007E4E5E"/>
    <w:rsid w:val="007E4F18"/>
    <w:rsid w:val="007E50ED"/>
    <w:rsid w:val="007E5358"/>
    <w:rsid w:val="007E555B"/>
    <w:rsid w:val="007E5626"/>
    <w:rsid w:val="007E5736"/>
    <w:rsid w:val="007E5ACF"/>
    <w:rsid w:val="007E5AD5"/>
    <w:rsid w:val="007E5BFE"/>
    <w:rsid w:val="007E5D0E"/>
    <w:rsid w:val="007E61C0"/>
    <w:rsid w:val="007E635F"/>
    <w:rsid w:val="007E649E"/>
    <w:rsid w:val="007E64EC"/>
    <w:rsid w:val="007E6929"/>
    <w:rsid w:val="007E6DBD"/>
    <w:rsid w:val="007E7209"/>
    <w:rsid w:val="007E7B96"/>
    <w:rsid w:val="007E7E2E"/>
    <w:rsid w:val="007F0CFE"/>
    <w:rsid w:val="007F15C1"/>
    <w:rsid w:val="007F1F72"/>
    <w:rsid w:val="007F2168"/>
    <w:rsid w:val="007F21C2"/>
    <w:rsid w:val="007F2D0B"/>
    <w:rsid w:val="007F3421"/>
    <w:rsid w:val="007F41B7"/>
    <w:rsid w:val="007F438E"/>
    <w:rsid w:val="007F4478"/>
    <w:rsid w:val="007F47B1"/>
    <w:rsid w:val="007F47FB"/>
    <w:rsid w:val="007F4A59"/>
    <w:rsid w:val="007F585D"/>
    <w:rsid w:val="007F588B"/>
    <w:rsid w:val="007F5EEE"/>
    <w:rsid w:val="007F6AE0"/>
    <w:rsid w:val="007F6E10"/>
    <w:rsid w:val="007F75BF"/>
    <w:rsid w:val="0080088A"/>
    <w:rsid w:val="00800A5C"/>
    <w:rsid w:val="00800CFF"/>
    <w:rsid w:val="00800EA6"/>
    <w:rsid w:val="00801223"/>
    <w:rsid w:val="00801DA8"/>
    <w:rsid w:val="0080307B"/>
    <w:rsid w:val="008035A2"/>
    <w:rsid w:val="00803699"/>
    <w:rsid w:val="00803A48"/>
    <w:rsid w:val="00804721"/>
    <w:rsid w:val="00804E6C"/>
    <w:rsid w:val="008053DE"/>
    <w:rsid w:val="008058C2"/>
    <w:rsid w:val="00805A01"/>
    <w:rsid w:val="008061B0"/>
    <w:rsid w:val="00807546"/>
    <w:rsid w:val="00807885"/>
    <w:rsid w:val="0081059B"/>
    <w:rsid w:val="00810E02"/>
    <w:rsid w:val="00811124"/>
    <w:rsid w:val="00811138"/>
    <w:rsid w:val="00811391"/>
    <w:rsid w:val="00811573"/>
    <w:rsid w:val="00811FB7"/>
    <w:rsid w:val="00812378"/>
    <w:rsid w:val="0081239B"/>
    <w:rsid w:val="008127D3"/>
    <w:rsid w:val="008130EE"/>
    <w:rsid w:val="008133D7"/>
    <w:rsid w:val="00814009"/>
    <w:rsid w:val="00814177"/>
    <w:rsid w:val="0081421F"/>
    <w:rsid w:val="0081469A"/>
    <w:rsid w:val="00815922"/>
    <w:rsid w:val="008164C4"/>
    <w:rsid w:val="00816695"/>
    <w:rsid w:val="00816854"/>
    <w:rsid w:val="00816B28"/>
    <w:rsid w:val="00816C6F"/>
    <w:rsid w:val="00816E9F"/>
    <w:rsid w:val="00817029"/>
    <w:rsid w:val="008171E1"/>
    <w:rsid w:val="008177E8"/>
    <w:rsid w:val="00820079"/>
    <w:rsid w:val="00820473"/>
    <w:rsid w:val="00821257"/>
    <w:rsid w:val="008213FE"/>
    <w:rsid w:val="008216A1"/>
    <w:rsid w:val="00821FBA"/>
    <w:rsid w:val="00822735"/>
    <w:rsid w:val="008235B6"/>
    <w:rsid w:val="00824103"/>
    <w:rsid w:val="008245D8"/>
    <w:rsid w:val="00824DA3"/>
    <w:rsid w:val="008254B8"/>
    <w:rsid w:val="00825BC9"/>
    <w:rsid w:val="00825E3B"/>
    <w:rsid w:val="0083029E"/>
    <w:rsid w:val="008302A9"/>
    <w:rsid w:val="00830971"/>
    <w:rsid w:val="00830FAE"/>
    <w:rsid w:val="00831049"/>
    <w:rsid w:val="00831631"/>
    <w:rsid w:val="008317B6"/>
    <w:rsid w:val="0083182E"/>
    <w:rsid w:val="00831B30"/>
    <w:rsid w:val="00831B4F"/>
    <w:rsid w:val="00832859"/>
    <w:rsid w:val="00832AF9"/>
    <w:rsid w:val="00833348"/>
    <w:rsid w:val="00833489"/>
    <w:rsid w:val="00833528"/>
    <w:rsid w:val="00833C5A"/>
    <w:rsid w:val="00833FCD"/>
    <w:rsid w:val="0083412F"/>
    <w:rsid w:val="008346F4"/>
    <w:rsid w:val="00834C72"/>
    <w:rsid w:val="0083576F"/>
    <w:rsid w:val="00836028"/>
    <w:rsid w:val="0083640F"/>
    <w:rsid w:val="00836B62"/>
    <w:rsid w:val="00836D1C"/>
    <w:rsid w:val="00836EC0"/>
    <w:rsid w:val="008370C4"/>
    <w:rsid w:val="008374F2"/>
    <w:rsid w:val="0083789B"/>
    <w:rsid w:val="00837959"/>
    <w:rsid w:val="00837B45"/>
    <w:rsid w:val="00837B72"/>
    <w:rsid w:val="00840B43"/>
    <w:rsid w:val="0084155C"/>
    <w:rsid w:val="008418E6"/>
    <w:rsid w:val="00841997"/>
    <w:rsid w:val="00841B51"/>
    <w:rsid w:val="00841D4F"/>
    <w:rsid w:val="00841EF6"/>
    <w:rsid w:val="008429F4"/>
    <w:rsid w:val="00842C04"/>
    <w:rsid w:val="00843E12"/>
    <w:rsid w:val="0084441F"/>
    <w:rsid w:val="00844496"/>
    <w:rsid w:val="00846212"/>
    <w:rsid w:val="00846651"/>
    <w:rsid w:val="00846F1B"/>
    <w:rsid w:val="0084727E"/>
    <w:rsid w:val="00847689"/>
    <w:rsid w:val="0084795C"/>
    <w:rsid w:val="00847D39"/>
    <w:rsid w:val="0085009A"/>
    <w:rsid w:val="0085044B"/>
    <w:rsid w:val="00850B65"/>
    <w:rsid w:val="00851155"/>
    <w:rsid w:val="00851762"/>
    <w:rsid w:val="008522E1"/>
    <w:rsid w:val="00852620"/>
    <w:rsid w:val="00852663"/>
    <w:rsid w:val="00852B4E"/>
    <w:rsid w:val="00852F39"/>
    <w:rsid w:val="00853213"/>
    <w:rsid w:val="00853231"/>
    <w:rsid w:val="00853343"/>
    <w:rsid w:val="008544FF"/>
    <w:rsid w:val="0085457E"/>
    <w:rsid w:val="00854EFD"/>
    <w:rsid w:val="008550CB"/>
    <w:rsid w:val="008561AD"/>
    <w:rsid w:val="00856724"/>
    <w:rsid w:val="00856BCC"/>
    <w:rsid w:val="00856CCB"/>
    <w:rsid w:val="00856D1E"/>
    <w:rsid w:val="0085707E"/>
    <w:rsid w:val="00857152"/>
    <w:rsid w:val="0085763D"/>
    <w:rsid w:val="00857672"/>
    <w:rsid w:val="008576D3"/>
    <w:rsid w:val="00857B11"/>
    <w:rsid w:val="00860217"/>
    <w:rsid w:val="0086073D"/>
    <w:rsid w:val="00860BF6"/>
    <w:rsid w:val="00861623"/>
    <w:rsid w:val="008618C5"/>
    <w:rsid w:val="0086249D"/>
    <w:rsid w:val="008625A8"/>
    <w:rsid w:val="008627DA"/>
    <w:rsid w:val="008628EC"/>
    <w:rsid w:val="00862AAC"/>
    <w:rsid w:val="00862B4E"/>
    <w:rsid w:val="00862EE3"/>
    <w:rsid w:val="008632F4"/>
    <w:rsid w:val="008640DF"/>
    <w:rsid w:val="0086428D"/>
    <w:rsid w:val="00864BAB"/>
    <w:rsid w:val="00864BCF"/>
    <w:rsid w:val="00864D72"/>
    <w:rsid w:val="00864F4C"/>
    <w:rsid w:val="00865295"/>
    <w:rsid w:val="008654D3"/>
    <w:rsid w:val="00865D8E"/>
    <w:rsid w:val="00865F1A"/>
    <w:rsid w:val="008661D6"/>
    <w:rsid w:val="008665C3"/>
    <w:rsid w:val="00866D81"/>
    <w:rsid w:val="00866DD5"/>
    <w:rsid w:val="00866F39"/>
    <w:rsid w:val="008672FA"/>
    <w:rsid w:val="00867B09"/>
    <w:rsid w:val="00870095"/>
    <w:rsid w:val="008703F3"/>
    <w:rsid w:val="00870777"/>
    <w:rsid w:val="00870AF0"/>
    <w:rsid w:val="00870C58"/>
    <w:rsid w:val="008713CA"/>
    <w:rsid w:val="008727DC"/>
    <w:rsid w:val="00872BE9"/>
    <w:rsid w:val="00872FA4"/>
    <w:rsid w:val="0087314B"/>
    <w:rsid w:val="00873734"/>
    <w:rsid w:val="00873C3D"/>
    <w:rsid w:val="00873FD1"/>
    <w:rsid w:val="00874226"/>
    <w:rsid w:val="008746BC"/>
    <w:rsid w:val="008751FF"/>
    <w:rsid w:val="00875374"/>
    <w:rsid w:val="008757EB"/>
    <w:rsid w:val="00875AD5"/>
    <w:rsid w:val="008764F6"/>
    <w:rsid w:val="008773C6"/>
    <w:rsid w:val="0087740D"/>
    <w:rsid w:val="008774E3"/>
    <w:rsid w:val="00877C2A"/>
    <w:rsid w:val="00877F77"/>
    <w:rsid w:val="00877F8E"/>
    <w:rsid w:val="008801D3"/>
    <w:rsid w:val="0088075B"/>
    <w:rsid w:val="00880AD5"/>
    <w:rsid w:val="00880F14"/>
    <w:rsid w:val="00880F61"/>
    <w:rsid w:val="00881076"/>
    <w:rsid w:val="0088144C"/>
    <w:rsid w:val="00881751"/>
    <w:rsid w:val="008824C0"/>
    <w:rsid w:val="0088283F"/>
    <w:rsid w:val="00882D08"/>
    <w:rsid w:val="00882E25"/>
    <w:rsid w:val="00883C45"/>
    <w:rsid w:val="008841C4"/>
    <w:rsid w:val="00884958"/>
    <w:rsid w:val="008853BC"/>
    <w:rsid w:val="00885872"/>
    <w:rsid w:val="008861AC"/>
    <w:rsid w:val="00886599"/>
    <w:rsid w:val="00887126"/>
    <w:rsid w:val="00887207"/>
    <w:rsid w:val="008873A9"/>
    <w:rsid w:val="00887454"/>
    <w:rsid w:val="008875BF"/>
    <w:rsid w:val="00887FD0"/>
    <w:rsid w:val="00890040"/>
    <w:rsid w:val="0089045A"/>
    <w:rsid w:val="00890701"/>
    <w:rsid w:val="00890B4D"/>
    <w:rsid w:val="00890C40"/>
    <w:rsid w:val="00891361"/>
    <w:rsid w:val="008915DC"/>
    <w:rsid w:val="00891D8B"/>
    <w:rsid w:val="008922B9"/>
    <w:rsid w:val="00892FBC"/>
    <w:rsid w:val="0089332B"/>
    <w:rsid w:val="00893335"/>
    <w:rsid w:val="0089394F"/>
    <w:rsid w:val="00894115"/>
    <w:rsid w:val="0089432E"/>
    <w:rsid w:val="00894B07"/>
    <w:rsid w:val="008966BA"/>
    <w:rsid w:val="00896FE4"/>
    <w:rsid w:val="00897317"/>
    <w:rsid w:val="0089733C"/>
    <w:rsid w:val="00897363"/>
    <w:rsid w:val="008977D4"/>
    <w:rsid w:val="008979AE"/>
    <w:rsid w:val="00897BC2"/>
    <w:rsid w:val="00897FDA"/>
    <w:rsid w:val="008A03DA"/>
    <w:rsid w:val="008A0927"/>
    <w:rsid w:val="008A0FD9"/>
    <w:rsid w:val="008A10CB"/>
    <w:rsid w:val="008A1A05"/>
    <w:rsid w:val="008A1A09"/>
    <w:rsid w:val="008A1CD5"/>
    <w:rsid w:val="008A1F3E"/>
    <w:rsid w:val="008A2AEA"/>
    <w:rsid w:val="008A2C7E"/>
    <w:rsid w:val="008A2F23"/>
    <w:rsid w:val="008A3146"/>
    <w:rsid w:val="008A337F"/>
    <w:rsid w:val="008A38F1"/>
    <w:rsid w:val="008A3DEE"/>
    <w:rsid w:val="008A47C8"/>
    <w:rsid w:val="008A4BF4"/>
    <w:rsid w:val="008A50CE"/>
    <w:rsid w:val="008A5617"/>
    <w:rsid w:val="008A580B"/>
    <w:rsid w:val="008A677B"/>
    <w:rsid w:val="008A777D"/>
    <w:rsid w:val="008A79CC"/>
    <w:rsid w:val="008B00BF"/>
    <w:rsid w:val="008B0B7B"/>
    <w:rsid w:val="008B111E"/>
    <w:rsid w:val="008B16F8"/>
    <w:rsid w:val="008B1C42"/>
    <w:rsid w:val="008B2099"/>
    <w:rsid w:val="008B240C"/>
    <w:rsid w:val="008B2DFA"/>
    <w:rsid w:val="008B2FAC"/>
    <w:rsid w:val="008B3374"/>
    <w:rsid w:val="008B364E"/>
    <w:rsid w:val="008B3EDE"/>
    <w:rsid w:val="008B4438"/>
    <w:rsid w:val="008B45EF"/>
    <w:rsid w:val="008B4948"/>
    <w:rsid w:val="008B498C"/>
    <w:rsid w:val="008B4A50"/>
    <w:rsid w:val="008B4CC9"/>
    <w:rsid w:val="008B4E79"/>
    <w:rsid w:val="008B57F4"/>
    <w:rsid w:val="008B5A6A"/>
    <w:rsid w:val="008B645B"/>
    <w:rsid w:val="008B6521"/>
    <w:rsid w:val="008B6587"/>
    <w:rsid w:val="008B698A"/>
    <w:rsid w:val="008B6D88"/>
    <w:rsid w:val="008B6E39"/>
    <w:rsid w:val="008B6F45"/>
    <w:rsid w:val="008B789B"/>
    <w:rsid w:val="008B7CE3"/>
    <w:rsid w:val="008C04A9"/>
    <w:rsid w:val="008C0AA9"/>
    <w:rsid w:val="008C13CC"/>
    <w:rsid w:val="008C1531"/>
    <w:rsid w:val="008C1754"/>
    <w:rsid w:val="008C18A2"/>
    <w:rsid w:val="008C18B2"/>
    <w:rsid w:val="008C1D11"/>
    <w:rsid w:val="008C2809"/>
    <w:rsid w:val="008C293D"/>
    <w:rsid w:val="008C295B"/>
    <w:rsid w:val="008C2EAA"/>
    <w:rsid w:val="008C3052"/>
    <w:rsid w:val="008C3684"/>
    <w:rsid w:val="008C3719"/>
    <w:rsid w:val="008C381B"/>
    <w:rsid w:val="008C3A71"/>
    <w:rsid w:val="008C47DC"/>
    <w:rsid w:val="008C5921"/>
    <w:rsid w:val="008C59CB"/>
    <w:rsid w:val="008C5BD4"/>
    <w:rsid w:val="008C681D"/>
    <w:rsid w:val="008C73EC"/>
    <w:rsid w:val="008C77CF"/>
    <w:rsid w:val="008C7A4B"/>
    <w:rsid w:val="008C7AD3"/>
    <w:rsid w:val="008D04DE"/>
    <w:rsid w:val="008D0565"/>
    <w:rsid w:val="008D0B00"/>
    <w:rsid w:val="008D0D64"/>
    <w:rsid w:val="008D1167"/>
    <w:rsid w:val="008D15B7"/>
    <w:rsid w:val="008D1993"/>
    <w:rsid w:val="008D1A76"/>
    <w:rsid w:val="008D1BDB"/>
    <w:rsid w:val="008D2081"/>
    <w:rsid w:val="008D2301"/>
    <w:rsid w:val="008D28DA"/>
    <w:rsid w:val="008D2B83"/>
    <w:rsid w:val="008D34B7"/>
    <w:rsid w:val="008D41E6"/>
    <w:rsid w:val="008D423B"/>
    <w:rsid w:val="008D4258"/>
    <w:rsid w:val="008D482B"/>
    <w:rsid w:val="008D48AA"/>
    <w:rsid w:val="008D4DD2"/>
    <w:rsid w:val="008D50CD"/>
    <w:rsid w:val="008D51E2"/>
    <w:rsid w:val="008D531E"/>
    <w:rsid w:val="008D5908"/>
    <w:rsid w:val="008D5F4A"/>
    <w:rsid w:val="008D6465"/>
    <w:rsid w:val="008D7467"/>
    <w:rsid w:val="008D77EF"/>
    <w:rsid w:val="008E0173"/>
    <w:rsid w:val="008E01C3"/>
    <w:rsid w:val="008E048F"/>
    <w:rsid w:val="008E0A50"/>
    <w:rsid w:val="008E0F21"/>
    <w:rsid w:val="008E18CC"/>
    <w:rsid w:val="008E1A80"/>
    <w:rsid w:val="008E2417"/>
    <w:rsid w:val="008E3F71"/>
    <w:rsid w:val="008E58F6"/>
    <w:rsid w:val="008E5F69"/>
    <w:rsid w:val="008E6AB8"/>
    <w:rsid w:val="008E6B02"/>
    <w:rsid w:val="008E6CC6"/>
    <w:rsid w:val="008E6EFB"/>
    <w:rsid w:val="008E77CF"/>
    <w:rsid w:val="008E7AFE"/>
    <w:rsid w:val="008F1B49"/>
    <w:rsid w:val="008F1BC0"/>
    <w:rsid w:val="008F213A"/>
    <w:rsid w:val="008F26A2"/>
    <w:rsid w:val="008F3342"/>
    <w:rsid w:val="008F34B2"/>
    <w:rsid w:val="008F387E"/>
    <w:rsid w:val="008F3F7F"/>
    <w:rsid w:val="008F450A"/>
    <w:rsid w:val="008F46F6"/>
    <w:rsid w:val="008F54E2"/>
    <w:rsid w:val="008F54FA"/>
    <w:rsid w:val="008F57DE"/>
    <w:rsid w:val="008F59D7"/>
    <w:rsid w:val="008F5D78"/>
    <w:rsid w:val="008F5E29"/>
    <w:rsid w:val="008F66F8"/>
    <w:rsid w:val="008F6800"/>
    <w:rsid w:val="008F6E00"/>
    <w:rsid w:val="008F6F5D"/>
    <w:rsid w:val="008F7155"/>
    <w:rsid w:val="008F7B73"/>
    <w:rsid w:val="0090002A"/>
    <w:rsid w:val="00900C3C"/>
    <w:rsid w:val="0090104C"/>
    <w:rsid w:val="009010CF"/>
    <w:rsid w:val="00901198"/>
    <w:rsid w:val="0090121D"/>
    <w:rsid w:val="0090136B"/>
    <w:rsid w:val="00901909"/>
    <w:rsid w:val="00901ED7"/>
    <w:rsid w:val="009022A5"/>
    <w:rsid w:val="00902CD7"/>
    <w:rsid w:val="0090321C"/>
    <w:rsid w:val="00903724"/>
    <w:rsid w:val="009037ED"/>
    <w:rsid w:val="00903D89"/>
    <w:rsid w:val="00904AB8"/>
    <w:rsid w:val="00904D67"/>
    <w:rsid w:val="00904F39"/>
    <w:rsid w:val="009054EE"/>
    <w:rsid w:val="00905A96"/>
    <w:rsid w:val="00905CF0"/>
    <w:rsid w:val="0090621B"/>
    <w:rsid w:val="0090670D"/>
    <w:rsid w:val="009069DC"/>
    <w:rsid w:val="00906F8E"/>
    <w:rsid w:val="00906FBF"/>
    <w:rsid w:val="009072B0"/>
    <w:rsid w:val="009107E0"/>
    <w:rsid w:val="009107FA"/>
    <w:rsid w:val="00910AF0"/>
    <w:rsid w:val="009115D9"/>
    <w:rsid w:val="009118E7"/>
    <w:rsid w:val="00911A7D"/>
    <w:rsid w:val="0091200D"/>
    <w:rsid w:val="009120BB"/>
    <w:rsid w:val="0091265A"/>
    <w:rsid w:val="0091382B"/>
    <w:rsid w:val="00913B2F"/>
    <w:rsid w:val="0091431A"/>
    <w:rsid w:val="0091485F"/>
    <w:rsid w:val="00914D94"/>
    <w:rsid w:val="00914EF9"/>
    <w:rsid w:val="00915C12"/>
    <w:rsid w:val="00915C49"/>
    <w:rsid w:val="00916300"/>
    <w:rsid w:val="00916460"/>
    <w:rsid w:val="00916590"/>
    <w:rsid w:val="00916784"/>
    <w:rsid w:val="00916899"/>
    <w:rsid w:val="009172BD"/>
    <w:rsid w:val="00917BC5"/>
    <w:rsid w:val="0092012A"/>
    <w:rsid w:val="00920AED"/>
    <w:rsid w:val="00920E03"/>
    <w:rsid w:val="00920F2A"/>
    <w:rsid w:val="00921259"/>
    <w:rsid w:val="009213F9"/>
    <w:rsid w:val="00922802"/>
    <w:rsid w:val="00922CE2"/>
    <w:rsid w:val="00922E2A"/>
    <w:rsid w:val="009231EA"/>
    <w:rsid w:val="00923876"/>
    <w:rsid w:val="00923DAC"/>
    <w:rsid w:val="00924555"/>
    <w:rsid w:val="00924956"/>
    <w:rsid w:val="00924991"/>
    <w:rsid w:val="009249BB"/>
    <w:rsid w:val="00924E1A"/>
    <w:rsid w:val="00925174"/>
    <w:rsid w:val="00925287"/>
    <w:rsid w:val="00925FD1"/>
    <w:rsid w:val="009261AA"/>
    <w:rsid w:val="009262FE"/>
    <w:rsid w:val="009266C4"/>
    <w:rsid w:val="00926844"/>
    <w:rsid w:val="00926E53"/>
    <w:rsid w:val="00927115"/>
    <w:rsid w:val="009273C4"/>
    <w:rsid w:val="00927BE6"/>
    <w:rsid w:val="00927E1F"/>
    <w:rsid w:val="00927FB7"/>
    <w:rsid w:val="00930053"/>
    <w:rsid w:val="0093018F"/>
    <w:rsid w:val="00930AB0"/>
    <w:rsid w:val="00930C3A"/>
    <w:rsid w:val="009311EA"/>
    <w:rsid w:val="00931560"/>
    <w:rsid w:val="00931BB7"/>
    <w:rsid w:val="00931ECE"/>
    <w:rsid w:val="0093292D"/>
    <w:rsid w:val="00932C7F"/>
    <w:rsid w:val="00932D7E"/>
    <w:rsid w:val="0093301C"/>
    <w:rsid w:val="0093313B"/>
    <w:rsid w:val="00933847"/>
    <w:rsid w:val="009339BA"/>
    <w:rsid w:val="00933B3F"/>
    <w:rsid w:val="00933CE4"/>
    <w:rsid w:val="00933D1A"/>
    <w:rsid w:val="0093403D"/>
    <w:rsid w:val="009343E5"/>
    <w:rsid w:val="00934623"/>
    <w:rsid w:val="009346D7"/>
    <w:rsid w:val="00934B62"/>
    <w:rsid w:val="00934F50"/>
    <w:rsid w:val="009357A9"/>
    <w:rsid w:val="00935F51"/>
    <w:rsid w:val="009364AD"/>
    <w:rsid w:val="009367F4"/>
    <w:rsid w:val="00936BBF"/>
    <w:rsid w:val="0093761E"/>
    <w:rsid w:val="00937BF3"/>
    <w:rsid w:val="009401D3"/>
    <w:rsid w:val="009401D7"/>
    <w:rsid w:val="009408FE"/>
    <w:rsid w:val="009410F0"/>
    <w:rsid w:val="00941106"/>
    <w:rsid w:val="0094180B"/>
    <w:rsid w:val="00941FC4"/>
    <w:rsid w:val="00942711"/>
    <w:rsid w:val="00942E3F"/>
    <w:rsid w:val="00942F06"/>
    <w:rsid w:val="00943079"/>
    <w:rsid w:val="00943359"/>
    <w:rsid w:val="0094379E"/>
    <w:rsid w:val="0094418D"/>
    <w:rsid w:val="009446F7"/>
    <w:rsid w:val="00944E2D"/>
    <w:rsid w:val="0094579B"/>
    <w:rsid w:val="00945A5F"/>
    <w:rsid w:val="0094623B"/>
    <w:rsid w:val="0094688D"/>
    <w:rsid w:val="009469D7"/>
    <w:rsid w:val="00947E9A"/>
    <w:rsid w:val="00950A59"/>
    <w:rsid w:val="0095101D"/>
    <w:rsid w:val="00951BC8"/>
    <w:rsid w:val="00952524"/>
    <w:rsid w:val="009525A1"/>
    <w:rsid w:val="00952BFB"/>
    <w:rsid w:val="00953AFE"/>
    <w:rsid w:val="00953D69"/>
    <w:rsid w:val="00953E2E"/>
    <w:rsid w:val="0095413B"/>
    <w:rsid w:val="00954233"/>
    <w:rsid w:val="00954B11"/>
    <w:rsid w:val="00954EB4"/>
    <w:rsid w:val="0095528B"/>
    <w:rsid w:val="00955709"/>
    <w:rsid w:val="009557E5"/>
    <w:rsid w:val="009566C1"/>
    <w:rsid w:val="00956E24"/>
    <w:rsid w:val="0095765E"/>
    <w:rsid w:val="00957FC0"/>
    <w:rsid w:val="0096022A"/>
    <w:rsid w:val="0096087B"/>
    <w:rsid w:val="00960CB4"/>
    <w:rsid w:val="0096103A"/>
    <w:rsid w:val="0096138E"/>
    <w:rsid w:val="009614ED"/>
    <w:rsid w:val="00961EB1"/>
    <w:rsid w:val="009629F3"/>
    <w:rsid w:val="00962EC8"/>
    <w:rsid w:val="00963084"/>
    <w:rsid w:val="009632C5"/>
    <w:rsid w:val="009641F6"/>
    <w:rsid w:val="00964DF3"/>
    <w:rsid w:val="00965249"/>
    <w:rsid w:val="009655C8"/>
    <w:rsid w:val="009659F5"/>
    <w:rsid w:val="009666AE"/>
    <w:rsid w:val="00967333"/>
    <w:rsid w:val="0096733F"/>
    <w:rsid w:val="0096743B"/>
    <w:rsid w:val="009679B5"/>
    <w:rsid w:val="009700A1"/>
    <w:rsid w:val="00970192"/>
    <w:rsid w:val="009704FF"/>
    <w:rsid w:val="00970715"/>
    <w:rsid w:val="00970780"/>
    <w:rsid w:val="00970877"/>
    <w:rsid w:val="00970C18"/>
    <w:rsid w:val="00971B56"/>
    <w:rsid w:val="00972313"/>
    <w:rsid w:val="009723B8"/>
    <w:rsid w:val="009726DC"/>
    <w:rsid w:val="00972975"/>
    <w:rsid w:val="009730C4"/>
    <w:rsid w:val="009732DB"/>
    <w:rsid w:val="0097353F"/>
    <w:rsid w:val="00973B02"/>
    <w:rsid w:val="00973D6A"/>
    <w:rsid w:val="00973EFC"/>
    <w:rsid w:val="00974465"/>
    <w:rsid w:val="0097460A"/>
    <w:rsid w:val="00974828"/>
    <w:rsid w:val="00974B72"/>
    <w:rsid w:val="00974DA8"/>
    <w:rsid w:val="0097532D"/>
    <w:rsid w:val="00975359"/>
    <w:rsid w:val="00975846"/>
    <w:rsid w:val="00975A30"/>
    <w:rsid w:val="00975F34"/>
    <w:rsid w:val="00976363"/>
    <w:rsid w:val="00976704"/>
    <w:rsid w:val="00976736"/>
    <w:rsid w:val="00977330"/>
    <w:rsid w:val="009773C6"/>
    <w:rsid w:val="00977A0F"/>
    <w:rsid w:val="00977BBC"/>
    <w:rsid w:val="00977F88"/>
    <w:rsid w:val="00980564"/>
    <w:rsid w:val="009807B3"/>
    <w:rsid w:val="00980D32"/>
    <w:rsid w:val="00980F13"/>
    <w:rsid w:val="00981064"/>
    <w:rsid w:val="00981AD5"/>
    <w:rsid w:val="00981D5D"/>
    <w:rsid w:val="009822FA"/>
    <w:rsid w:val="0098244E"/>
    <w:rsid w:val="009827B0"/>
    <w:rsid w:val="00982855"/>
    <w:rsid w:val="00982FEC"/>
    <w:rsid w:val="00983509"/>
    <w:rsid w:val="00983A54"/>
    <w:rsid w:val="00983E93"/>
    <w:rsid w:val="00983FBA"/>
    <w:rsid w:val="00984272"/>
    <w:rsid w:val="00984294"/>
    <w:rsid w:val="00984364"/>
    <w:rsid w:val="00984859"/>
    <w:rsid w:val="00985667"/>
    <w:rsid w:val="00985951"/>
    <w:rsid w:val="00985A55"/>
    <w:rsid w:val="00985B85"/>
    <w:rsid w:val="00986062"/>
    <w:rsid w:val="009868AA"/>
    <w:rsid w:val="0098705D"/>
    <w:rsid w:val="00987309"/>
    <w:rsid w:val="00987593"/>
    <w:rsid w:val="009879E6"/>
    <w:rsid w:val="0099099D"/>
    <w:rsid w:val="009910D2"/>
    <w:rsid w:val="00991B6A"/>
    <w:rsid w:val="00992145"/>
    <w:rsid w:val="00992DAA"/>
    <w:rsid w:val="00993D8F"/>
    <w:rsid w:val="00993EB7"/>
    <w:rsid w:val="0099483F"/>
    <w:rsid w:val="00995E6C"/>
    <w:rsid w:val="00995FAB"/>
    <w:rsid w:val="0099692D"/>
    <w:rsid w:val="00996A92"/>
    <w:rsid w:val="00996DD8"/>
    <w:rsid w:val="009972A9"/>
    <w:rsid w:val="009975E9"/>
    <w:rsid w:val="009977AB"/>
    <w:rsid w:val="00997EEA"/>
    <w:rsid w:val="009A0829"/>
    <w:rsid w:val="009A0E69"/>
    <w:rsid w:val="009A0F15"/>
    <w:rsid w:val="009A1103"/>
    <w:rsid w:val="009A13F1"/>
    <w:rsid w:val="009A1415"/>
    <w:rsid w:val="009A15AA"/>
    <w:rsid w:val="009A1A63"/>
    <w:rsid w:val="009A23FF"/>
    <w:rsid w:val="009A26B6"/>
    <w:rsid w:val="009A28DC"/>
    <w:rsid w:val="009A2E7C"/>
    <w:rsid w:val="009A3AF2"/>
    <w:rsid w:val="009A438B"/>
    <w:rsid w:val="009A53AD"/>
    <w:rsid w:val="009A592B"/>
    <w:rsid w:val="009A5B31"/>
    <w:rsid w:val="009A6091"/>
    <w:rsid w:val="009A64BB"/>
    <w:rsid w:val="009A7913"/>
    <w:rsid w:val="009A7A46"/>
    <w:rsid w:val="009A7B42"/>
    <w:rsid w:val="009B00A7"/>
    <w:rsid w:val="009B03A8"/>
    <w:rsid w:val="009B078F"/>
    <w:rsid w:val="009B0B73"/>
    <w:rsid w:val="009B0F94"/>
    <w:rsid w:val="009B114A"/>
    <w:rsid w:val="009B17E2"/>
    <w:rsid w:val="009B1972"/>
    <w:rsid w:val="009B1B0F"/>
    <w:rsid w:val="009B1FFC"/>
    <w:rsid w:val="009B2172"/>
    <w:rsid w:val="009B2AF5"/>
    <w:rsid w:val="009B2B5B"/>
    <w:rsid w:val="009B379C"/>
    <w:rsid w:val="009B381D"/>
    <w:rsid w:val="009B386F"/>
    <w:rsid w:val="009B3A6B"/>
    <w:rsid w:val="009B4D49"/>
    <w:rsid w:val="009B52E0"/>
    <w:rsid w:val="009B5612"/>
    <w:rsid w:val="009B5A5E"/>
    <w:rsid w:val="009B5C7F"/>
    <w:rsid w:val="009B5D86"/>
    <w:rsid w:val="009B6312"/>
    <w:rsid w:val="009B6C8D"/>
    <w:rsid w:val="009B6E08"/>
    <w:rsid w:val="009B6F2A"/>
    <w:rsid w:val="009B73DB"/>
    <w:rsid w:val="009B7535"/>
    <w:rsid w:val="009B7965"/>
    <w:rsid w:val="009B7988"/>
    <w:rsid w:val="009B7AC9"/>
    <w:rsid w:val="009B7E6C"/>
    <w:rsid w:val="009C00A7"/>
    <w:rsid w:val="009C043F"/>
    <w:rsid w:val="009C0647"/>
    <w:rsid w:val="009C06F9"/>
    <w:rsid w:val="009C07BB"/>
    <w:rsid w:val="009C19CC"/>
    <w:rsid w:val="009C1C8D"/>
    <w:rsid w:val="009C1C94"/>
    <w:rsid w:val="009C21D4"/>
    <w:rsid w:val="009C21E7"/>
    <w:rsid w:val="009C22AC"/>
    <w:rsid w:val="009C4764"/>
    <w:rsid w:val="009C4985"/>
    <w:rsid w:val="009C4ECE"/>
    <w:rsid w:val="009C5726"/>
    <w:rsid w:val="009C6916"/>
    <w:rsid w:val="009C697D"/>
    <w:rsid w:val="009C6A21"/>
    <w:rsid w:val="009C7057"/>
    <w:rsid w:val="009C7F10"/>
    <w:rsid w:val="009D069A"/>
    <w:rsid w:val="009D06F8"/>
    <w:rsid w:val="009D077E"/>
    <w:rsid w:val="009D0FB4"/>
    <w:rsid w:val="009D16B8"/>
    <w:rsid w:val="009D17C1"/>
    <w:rsid w:val="009D192A"/>
    <w:rsid w:val="009D1AED"/>
    <w:rsid w:val="009D2111"/>
    <w:rsid w:val="009D2566"/>
    <w:rsid w:val="009D3851"/>
    <w:rsid w:val="009D4281"/>
    <w:rsid w:val="009D42B6"/>
    <w:rsid w:val="009D447E"/>
    <w:rsid w:val="009D45DB"/>
    <w:rsid w:val="009D497C"/>
    <w:rsid w:val="009D4D0B"/>
    <w:rsid w:val="009D4DA2"/>
    <w:rsid w:val="009D4E79"/>
    <w:rsid w:val="009D4E98"/>
    <w:rsid w:val="009D6101"/>
    <w:rsid w:val="009D6361"/>
    <w:rsid w:val="009D698F"/>
    <w:rsid w:val="009D6B29"/>
    <w:rsid w:val="009D7148"/>
    <w:rsid w:val="009D72E4"/>
    <w:rsid w:val="009D72FF"/>
    <w:rsid w:val="009D7B42"/>
    <w:rsid w:val="009E031B"/>
    <w:rsid w:val="009E04DD"/>
    <w:rsid w:val="009E1312"/>
    <w:rsid w:val="009E147A"/>
    <w:rsid w:val="009E1BC7"/>
    <w:rsid w:val="009E1C34"/>
    <w:rsid w:val="009E1F34"/>
    <w:rsid w:val="009E234C"/>
    <w:rsid w:val="009E2520"/>
    <w:rsid w:val="009E2A16"/>
    <w:rsid w:val="009E2E4B"/>
    <w:rsid w:val="009E326F"/>
    <w:rsid w:val="009E334F"/>
    <w:rsid w:val="009E3398"/>
    <w:rsid w:val="009E43FA"/>
    <w:rsid w:val="009E4648"/>
    <w:rsid w:val="009E4ADC"/>
    <w:rsid w:val="009E5096"/>
    <w:rsid w:val="009E50EE"/>
    <w:rsid w:val="009E56F2"/>
    <w:rsid w:val="009E615C"/>
    <w:rsid w:val="009E63DB"/>
    <w:rsid w:val="009E68FA"/>
    <w:rsid w:val="009F001F"/>
    <w:rsid w:val="009F024A"/>
    <w:rsid w:val="009F0546"/>
    <w:rsid w:val="009F089E"/>
    <w:rsid w:val="009F0CDF"/>
    <w:rsid w:val="009F1486"/>
    <w:rsid w:val="009F176A"/>
    <w:rsid w:val="009F1D84"/>
    <w:rsid w:val="009F2215"/>
    <w:rsid w:val="009F25F4"/>
    <w:rsid w:val="009F2864"/>
    <w:rsid w:val="009F2C74"/>
    <w:rsid w:val="009F317A"/>
    <w:rsid w:val="009F320D"/>
    <w:rsid w:val="009F34E4"/>
    <w:rsid w:val="009F46C8"/>
    <w:rsid w:val="009F4970"/>
    <w:rsid w:val="009F4C94"/>
    <w:rsid w:val="009F4D88"/>
    <w:rsid w:val="009F51E5"/>
    <w:rsid w:val="009F53C2"/>
    <w:rsid w:val="009F676E"/>
    <w:rsid w:val="009F6B97"/>
    <w:rsid w:val="009F6C8A"/>
    <w:rsid w:val="009F7288"/>
    <w:rsid w:val="009F7412"/>
    <w:rsid w:val="009F75BB"/>
    <w:rsid w:val="009F7FA6"/>
    <w:rsid w:val="00A002ED"/>
    <w:rsid w:val="00A003EB"/>
    <w:rsid w:val="00A00554"/>
    <w:rsid w:val="00A00B2E"/>
    <w:rsid w:val="00A01AD1"/>
    <w:rsid w:val="00A01C10"/>
    <w:rsid w:val="00A01DCD"/>
    <w:rsid w:val="00A01E55"/>
    <w:rsid w:val="00A0215B"/>
    <w:rsid w:val="00A023F3"/>
    <w:rsid w:val="00A02593"/>
    <w:rsid w:val="00A02AD6"/>
    <w:rsid w:val="00A02BDA"/>
    <w:rsid w:val="00A03021"/>
    <w:rsid w:val="00A03B33"/>
    <w:rsid w:val="00A04006"/>
    <w:rsid w:val="00A04035"/>
    <w:rsid w:val="00A04311"/>
    <w:rsid w:val="00A05043"/>
    <w:rsid w:val="00A0508B"/>
    <w:rsid w:val="00A05780"/>
    <w:rsid w:val="00A058B9"/>
    <w:rsid w:val="00A05D96"/>
    <w:rsid w:val="00A066AE"/>
    <w:rsid w:val="00A06E17"/>
    <w:rsid w:val="00A06F47"/>
    <w:rsid w:val="00A06FCC"/>
    <w:rsid w:val="00A10006"/>
    <w:rsid w:val="00A102B1"/>
    <w:rsid w:val="00A10D00"/>
    <w:rsid w:val="00A11A7E"/>
    <w:rsid w:val="00A11CF1"/>
    <w:rsid w:val="00A11DFB"/>
    <w:rsid w:val="00A1222D"/>
    <w:rsid w:val="00A1232B"/>
    <w:rsid w:val="00A13728"/>
    <w:rsid w:val="00A13840"/>
    <w:rsid w:val="00A14464"/>
    <w:rsid w:val="00A14A8E"/>
    <w:rsid w:val="00A15F19"/>
    <w:rsid w:val="00A16368"/>
    <w:rsid w:val="00A16BAF"/>
    <w:rsid w:val="00A16DD0"/>
    <w:rsid w:val="00A172B9"/>
    <w:rsid w:val="00A172C3"/>
    <w:rsid w:val="00A17442"/>
    <w:rsid w:val="00A1799A"/>
    <w:rsid w:val="00A17A4D"/>
    <w:rsid w:val="00A17E70"/>
    <w:rsid w:val="00A2103A"/>
    <w:rsid w:val="00A210EE"/>
    <w:rsid w:val="00A21488"/>
    <w:rsid w:val="00A229F2"/>
    <w:rsid w:val="00A22DB9"/>
    <w:rsid w:val="00A23B0C"/>
    <w:rsid w:val="00A23B2D"/>
    <w:rsid w:val="00A2448A"/>
    <w:rsid w:val="00A24F0F"/>
    <w:rsid w:val="00A250F7"/>
    <w:rsid w:val="00A2667E"/>
    <w:rsid w:val="00A26A21"/>
    <w:rsid w:val="00A26B11"/>
    <w:rsid w:val="00A26F57"/>
    <w:rsid w:val="00A27C9E"/>
    <w:rsid w:val="00A27C9F"/>
    <w:rsid w:val="00A27D28"/>
    <w:rsid w:val="00A30093"/>
    <w:rsid w:val="00A3073F"/>
    <w:rsid w:val="00A308BF"/>
    <w:rsid w:val="00A31366"/>
    <w:rsid w:val="00A3210D"/>
    <w:rsid w:val="00A32208"/>
    <w:rsid w:val="00A322EB"/>
    <w:rsid w:val="00A32B61"/>
    <w:rsid w:val="00A32EA2"/>
    <w:rsid w:val="00A33179"/>
    <w:rsid w:val="00A333BE"/>
    <w:rsid w:val="00A33AD4"/>
    <w:rsid w:val="00A33B49"/>
    <w:rsid w:val="00A34068"/>
    <w:rsid w:val="00A34243"/>
    <w:rsid w:val="00A34D16"/>
    <w:rsid w:val="00A35C33"/>
    <w:rsid w:val="00A35CFD"/>
    <w:rsid w:val="00A360D4"/>
    <w:rsid w:val="00A36421"/>
    <w:rsid w:val="00A3654C"/>
    <w:rsid w:val="00A4012D"/>
    <w:rsid w:val="00A40290"/>
    <w:rsid w:val="00A40A58"/>
    <w:rsid w:val="00A40A7C"/>
    <w:rsid w:val="00A40E19"/>
    <w:rsid w:val="00A40F37"/>
    <w:rsid w:val="00A41224"/>
    <w:rsid w:val="00A41479"/>
    <w:rsid w:val="00A42027"/>
    <w:rsid w:val="00A4315D"/>
    <w:rsid w:val="00A43C73"/>
    <w:rsid w:val="00A43D8F"/>
    <w:rsid w:val="00A442C9"/>
    <w:rsid w:val="00A44846"/>
    <w:rsid w:val="00A448A4"/>
    <w:rsid w:val="00A4491E"/>
    <w:rsid w:val="00A4499F"/>
    <w:rsid w:val="00A451F1"/>
    <w:rsid w:val="00A455B7"/>
    <w:rsid w:val="00A458A2"/>
    <w:rsid w:val="00A45B68"/>
    <w:rsid w:val="00A45F4C"/>
    <w:rsid w:val="00A46584"/>
    <w:rsid w:val="00A46B0F"/>
    <w:rsid w:val="00A50011"/>
    <w:rsid w:val="00A50094"/>
    <w:rsid w:val="00A50D20"/>
    <w:rsid w:val="00A50E0F"/>
    <w:rsid w:val="00A50E23"/>
    <w:rsid w:val="00A51229"/>
    <w:rsid w:val="00A51236"/>
    <w:rsid w:val="00A51297"/>
    <w:rsid w:val="00A5142D"/>
    <w:rsid w:val="00A5151A"/>
    <w:rsid w:val="00A5163E"/>
    <w:rsid w:val="00A517E5"/>
    <w:rsid w:val="00A523D9"/>
    <w:rsid w:val="00A52478"/>
    <w:rsid w:val="00A52543"/>
    <w:rsid w:val="00A52BED"/>
    <w:rsid w:val="00A539FC"/>
    <w:rsid w:val="00A53B83"/>
    <w:rsid w:val="00A543FC"/>
    <w:rsid w:val="00A545B5"/>
    <w:rsid w:val="00A5478C"/>
    <w:rsid w:val="00A5480E"/>
    <w:rsid w:val="00A54A17"/>
    <w:rsid w:val="00A54DB3"/>
    <w:rsid w:val="00A554A6"/>
    <w:rsid w:val="00A5558A"/>
    <w:rsid w:val="00A555D8"/>
    <w:rsid w:val="00A55797"/>
    <w:rsid w:val="00A562C7"/>
    <w:rsid w:val="00A5630D"/>
    <w:rsid w:val="00A56F3D"/>
    <w:rsid w:val="00A575C5"/>
    <w:rsid w:val="00A5777A"/>
    <w:rsid w:val="00A57BF8"/>
    <w:rsid w:val="00A606A6"/>
    <w:rsid w:val="00A6099D"/>
    <w:rsid w:val="00A61457"/>
    <w:rsid w:val="00A61833"/>
    <w:rsid w:val="00A620F3"/>
    <w:rsid w:val="00A623E4"/>
    <w:rsid w:val="00A626EF"/>
    <w:rsid w:val="00A62775"/>
    <w:rsid w:val="00A637D0"/>
    <w:rsid w:val="00A63BD1"/>
    <w:rsid w:val="00A6465E"/>
    <w:rsid w:val="00A64A07"/>
    <w:rsid w:val="00A650E2"/>
    <w:rsid w:val="00A65AA3"/>
    <w:rsid w:val="00A65DE1"/>
    <w:rsid w:val="00A65F0C"/>
    <w:rsid w:val="00A665AA"/>
    <w:rsid w:val="00A6686C"/>
    <w:rsid w:val="00A66AF0"/>
    <w:rsid w:val="00A66D68"/>
    <w:rsid w:val="00A66D89"/>
    <w:rsid w:val="00A6763E"/>
    <w:rsid w:val="00A678B5"/>
    <w:rsid w:val="00A7088D"/>
    <w:rsid w:val="00A70CBB"/>
    <w:rsid w:val="00A7188C"/>
    <w:rsid w:val="00A71AC5"/>
    <w:rsid w:val="00A71F1F"/>
    <w:rsid w:val="00A721CA"/>
    <w:rsid w:val="00A7261E"/>
    <w:rsid w:val="00A72871"/>
    <w:rsid w:val="00A72BE7"/>
    <w:rsid w:val="00A72E04"/>
    <w:rsid w:val="00A72F2E"/>
    <w:rsid w:val="00A73301"/>
    <w:rsid w:val="00A7369F"/>
    <w:rsid w:val="00A73BE5"/>
    <w:rsid w:val="00A73CEE"/>
    <w:rsid w:val="00A73F3B"/>
    <w:rsid w:val="00A74293"/>
    <w:rsid w:val="00A74673"/>
    <w:rsid w:val="00A74914"/>
    <w:rsid w:val="00A7525C"/>
    <w:rsid w:val="00A75649"/>
    <w:rsid w:val="00A75770"/>
    <w:rsid w:val="00A75FD0"/>
    <w:rsid w:val="00A761B3"/>
    <w:rsid w:val="00A76218"/>
    <w:rsid w:val="00A7665C"/>
    <w:rsid w:val="00A76930"/>
    <w:rsid w:val="00A76C8C"/>
    <w:rsid w:val="00A76FAB"/>
    <w:rsid w:val="00A770C8"/>
    <w:rsid w:val="00A77276"/>
    <w:rsid w:val="00A77547"/>
    <w:rsid w:val="00A80128"/>
    <w:rsid w:val="00A805B9"/>
    <w:rsid w:val="00A8109F"/>
    <w:rsid w:val="00A81852"/>
    <w:rsid w:val="00A81894"/>
    <w:rsid w:val="00A818A4"/>
    <w:rsid w:val="00A81B7F"/>
    <w:rsid w:val="00A83612"/>
    <w:rsid w:val="00A83D86"/>
    <w:rsid w:val="00A83D99"/>
    <w:rsid w:val="00A84069"/>
    <w:rsid w:val="00A844D9"/>
    <w:rsid w:val="00A845FF"/>
    <w:rsid w:val="00A84F90"/>
    <w:rsid w:val="00A858F5"/>
    <w:rsid w:val="00A859FF"/>
    <w:rsid w:val="00A85A93"/>
    <w:rsid w:val="00A85AA5"/>
    <w:rsid w:val="00A85CC5"/>
    <w:rsid w:val="00A85F42"/>
    <w:rsid w:val="00A864CD"/>
    <w:rsid w:val="00A86671"/>
    <w:rsid w:val="00A867B6"/>
    <w:rsid w:val="00A86DE2"/>
    <w:rsid w:val="00A86F04"/>
    <w:rsid w:val="00A87989"/>
    <w:rsid w:val="00A9008E"/>
    <w:rsid w:val="00A90676"/>
    <w:rsid w:val="00A909E6"/>
    <w:rsid w:val="00A90D89"/>
    <w:rsid w:val="00A90EB8"/>
    <w:rsid w:val="00A914AC"/>
    <w:rsid w:val="00A91F3D"/>
    <w:rsid w:val="00A92186"/>
    <w:rsid w:val="00A92BB0"/>
    <w:rsid w:val="00A9339D"/>
    <w:rsid w:val="00A93A54"/>
    <w:rsid w:val="00A94B8D"/>
    <w:rsid w:val="00A94E4F"/>
    <w:rsid w:val="00A95601"/>
    <w:rsid w:val="00A9581B"/>
    <w:rsid w:val="00A95F16"/>
    <w:rsid w:val="00A96416"/>
    <w:rsid w:val="00A96AB3"/>
    <w:rsid w:val="00A96AD0"/>
    <w:rsid w:val="00A97477"/>
    <w:rsid w:val="00A9751F"/>
    <w:rsid w:val="00A97868"/>
    <w:rsid w:val="00A97A71"/>
    <w:rsid w:val="00A97E30"/>
    <w:rsid w:val="00AA094D"/>
    <w:rsid w:val="00AA1010"/>
    <w:rsid w:val="00AA1439"/>
    <w:rsid w:val="00AA2526"/>
    <w:rsid w:val="00AA2836"/>
    <w:rsid w:val="00AA2BC3"/>
    <w:rsid w:val="00AA33EB"/>
    <w:rsid w:val="00AA3DBB"/>
    <w:rsid w:val="00AA3EF6"/>
    <w:rsid w:val="00AA3FF8"/>
    <w:rsid w:val="00AA4001"/>
    <w:rsid w:val="00AA431A"/>
    <w:rsid w:val="00AA440D"/>
    <w:rsid w:val="00AA4D60"/>
    <w:rsid w:val="00AA561C"/>
    <w:rsid w:val="00AA563C"/>
    <w:rsid w:val="00AA5958"/>
    <w:rsid w:val="00AA6048"/>
    <w:rsid w:val="00AA60AE"/>
    <w:rsid w:val="00AA62B6"/>
    <w:rsid w:val="00AA6508"/>
    <w:rsid w:val="00AA652E"/>
    <w:rsid w:val="00AA65AD"/>
    <w:rsid w:val="00AA66B5"/>
    <w:rsid w:val="00AA6865"/>
    <w:rsid w:val="00AA6973"/>
    <w:rsid w:val="00AA69C8"/>
    <w:rsid w:val="00AA6B52"/>
    <w:rsid w:val="00AA6DA9"/>
    <w:rsid w:val="00AA735A"/>
    <w:rsid w:val="00AA73C6"/>
    <w:rsid w:val="00AA7406"/>
    <w:rsid w:val="00AA76BB"/>
    <w:rsid w:val="00AA7808"/>
    <w:rsid w:val="00AA780E"/>
    <w:rsid w:val="00AA7BE8"/>
    <w:rsid w:val="00AA7CE2"/>
    <w:rsid w:val="00AA7D6F"/>
    <w:rsid w:val="00AA7F2E"/>
    <w:rsid w:val="00AB0783"/>
    <w:rsid w:val="00AB0F86"/>
    <w:rsid w:val="00AB1227"/>
    <w:rsid w:val="00AB1747"/>
    <w:rsid w:val="00AB1991"/>
    <w:rsid w:val="00AB205B"/>
    <w:rsid w:val="00AB22CA"/>
    <w:rsid w:val="00AB23B9"/>
    <w:rsid w:val="00AB24C5"/>
    <w:rsid w:val="00AB26E5"/>
    <w:rsid w:val="00AB2E5B"/>
    <w:rsid w:val="00AB37F4"/>
    <w:rsid w:val="00AB3DAE"/>
    <w:rsid w:val="00AB4078"/>
    <w:rsid w:val="00AB413B"/>
    <w:rsid w:val="00AB47D7"/>
    <w:rsid w:val="00AB4A98"/>
    <w:rsid w:val="00AB4CD8"/>
    <w:rsid w:val="00AB4D26"/>
    <w:rsid w:val="00AB4F92"/>
    <w:rsid w:val="00AB513B"/>
    <w:rsid w:val="00AB545D"/>
    <w:rsid w:val="00AB59AA"/>
    <w:rsid w:val="00AB59BC"/>
    <w:rsid w:val="00AB5CB2"/>
    <w:rsid w:val="00AB6462"/>
    <w:rsid w:val="00AB664E"/>
    <w:rsid w:val="00AB7254"/>
    <w:rsid w:val="00AC07DA"/>
    <w:rsid w:val="00AC0A33"/>
    <w:rsid w:val="00AC1421"/>
    <w:rsid w:val="00AC15FD"/>
    <w:rsid w:val="00AC1A53"/>
    <w:rsid w:val="00AC1FFD"/>
    <w:rsid w:val="00AC238B"/>
    <w:rsid w:val="00AC2780"/>
    <w:rsid w:val="00AC2CD0"/>
    <w:rsid w:val="00AC3139"/>
    <w:rsid w:val="00AC32AD"/>
    <w:rsid w:val="00AC34DD"/>
    <w:rsid w:val="00AC45A8"/>
    <w:rsid w:val="00AC4740"/>
    <w:rsid w:val="00AC48C2"/>
    <w:rsid w:val="00AC4DDA"/>
    <w:rsid w:val="00AC4E8E"/>
    <w:rsid w:val="00AC5949"/>
    <w:rsid w:val="00AC6237"/>
    <w:rsid w:val="00AC6A6D"/>
    <w:rsid w:val="00AC6AC6"/>
    <w:rsid w:val="00AC6AE9"/>
    <w:rsid w:val="00AC6C20"/>
    <w:rsid w:val="00AC7C34"/>
    <w:rsid w:val="00AC7D0E"/>
    <w:rsid w:val="00AD0137"/>
    <w:rsid w:val="00AD0F73"/>
    <w:rsid w:val="00AD1375"/>
    <w:rsid w:val="00AD180F"/>
    <w:rsid w:val="00AD199B"/>
    <w:rsid w:val="00AD2901"/>
    <w:rsid w:val="00AD2D7D"/>
    <w:rsid w:val="00AD2F04"/>
    <w:rsid w:val="00AD2F47"/>
    <w:rsid w:val="00AD30A3"/>
    <w:rsid w:val="00AD33AF"/>
    <w:rsid w:val="00AD4921"/>
    <w:rsid w:val="00AD4959"/>
    <w:rsid w:val="00AD5106"/>
    <w:rsid w:val="00AD53E7"/>
    <w:rsid w:val="00AD541A"/>
    <w:rsid w:val="00AD59A2"/>
    <w:rsid w:val="00AD6221"/>
    <w:rsid w:val="00AD644C"/>
    <w:rsid w:val="00AD6780"/>
    <w:rsid w:val="00AD6EEF"/>
    <w:rsid w:val="00AD70F7"/>
    <w:rsid w:val="00AD7260"/>
    <w:rsid w:val="00AD745A"/>
    <w:rsid w:val="00AE0062"/>
    <w:rsid w:val="00AE0300"/>
    <w:rsid w:val="00AE0374"/>
    <w:rsid w:val="00AE0418"/>
    <w:rsid w:val="00AE0F22"/>
    <w:rsid w:val="00AE13B8"/>
    <w:rsid w:val="00AE160C"/>
    <w:rsid w:val="00AE17D9"/>
    <w:rsid w:val="00AE1A73"/>
    <w:rsid w:val="00AE2092"/>
    <w:rsid w:val="00AE2BF0"/>
    <w:rsid w:val="00AE2E56"/>
    <w:rsid w:val="00AE32A7"/>
    <w:rsid w:val="00AE3876"/>
    <w:rsid w:val="00AE3E09"/>
    <w:rsid w:val="00AE4165"/>
    <w:rsid w:val="00AE4339"/>
    <w:rsid w:val="00AE4CD1"/>
    <w:rsid w:val="00AE4D90"/>
    <w:rsid w:val="00AE59DD"/>
    <w:rsid w:val="00AE5D2B"/>
    <w:rsid w:val="00AE62A5"/>
    <w:rsid w:val="00AE6549"/>
    <w:rsid w:val="00AE6636"/>
    <w:rsid w:val="00AE698F"/>
    <w:rsid w:val="00AE6BB8"/>
    <w:rsid w:val="00AE6CB1"/>
    <w:rsid w:val="00AE729A"/>
    <w:rsid w:val="00AE73C8"/>
    <w:rsid w:val="00AE7D2A"/>
    <w:rsid w:val="00AF027C"/>
    <w:rsid w:val="00AF0663"/>
    <w:rsid w:val="00AF069E"/>
    <w:rsid w:val="00AF074B"/>
    <w:rsid w:val="00AF08BA"/>
    <w:rsid w:val="00AF149D"/>
    <w:rsid w:val="00AF17B5"/>
    <w:rsid w:val="00AF1953"/>
    <w:rsid w:val="00AF198E"/>
    <w:rsid w:val="00AF245F"/>
    <w:rsid w:val="00AF24E8"/>
    <w:rsid w:val="00AF377E"/>
    <w:rsid w:val="00AF3912"/>
    <w:rsid w:val="00AF3C89"/>
    <w:rsid w:val="00AF3DCD"/>
    <w:rsid w:val="00AF3EBB"/>
    <w:rsid w:val="00AF4718"/>
    <w:rsid w:val="00AF52CD"/>
    <w:rsid w:val="00AF5537"/>
    <w:rsid w:val="00AF57BC"/>
    <w:rsid w:val="00AF57EE"/>
    <w:rsid w:val="00AF5E48"/>
    <w:rsid w:val="00AF6696"/>
    <w:rsid w:val="00AF6C82"/>
    <w:rsid w:val="00AF7409"/>
    <w:rsid w:val="00AF76C8"/>
    <w:rsid w:val="00AF7996"/>
    <w:rsid w:val="00AF7DDD"/>
    <w:rsid w:val="00B0018F"/>
    <w:rsid w:val="00B0082E"/>
    <w:rsid w:val="00B00917"/>
    <w:rsid w:val="00B00D38"/>
    <w:rsid w:val="00B01032"/>
    <w:rsid w:val="00B01A6F"/>
    <w:rsid w:val="00B01C2D"/>
    <w:rsid w:val="00B01F0F"/>
    <w:rsid w:val="00B023BB"/>
    <w:rsid w:val="00B0282B"/>
    <w:rsid w:val="00B02F1F"/>
    <w:rsid w:val="00B034C5"/>
    <w:rsid w:val="00B03EFF"/>
    <w:rsid w:val="00B04924"/>
    <w:rsid w:val="00B04F4E"/>
    <w:rsid w:val="00B05AF8"/>
    <w:rsid w:val="00B05F32"/>
    <w:rsid w:val="00B06118"/>
    <w:rsid w:val="00B0679E"/>
    <w:rsid w:val="00B068F4"/>
    <w:rsid w:val="00B06E6F"/>
    <w:rsid w:val="00B0722C"/>
    <w:rsid w:val="00B073BE"/>
    <w:rsid w:val="00B07518"/>
    <w:rsid w:val="00B07880"/>
    <w:rsid w:val="00B079B4"/>
    <w:rsid w:val="00B10573"/>
    <w:rsid w:val="00B10A2A"/>
    <w:rsid w:val="00B10ABA"/>
    <w:rsid w:val="00B11020"/>
    <w:rsid w:val="00B11ED2"/>
    <w:rsid w:val="00B12676"/>
    <w:rsid w:val="00B129EF"/>
    <w:rsid w:val="00B12F46"/>
    <w:rsid w:val="00B13C4C"/>
    <w:rsid w:val="00B13EC7"/>
    <w:rsid w:val="00B1428E"/>
    <w:rsid w:val="00B143C2"/>
    <w:rsid w:val="00B145DB"/>
    <w:rsid w:val="00B147EB"/>
    <w:rsid w:val="00B14CA2"/>
    <w:rsid w:val="00B14DAE"/>
    <w:rsid w:val="00B14DDE"/>
    <w:rsid w:val="00B14F34"/>
    <w:rsid w:val="00B1528D"/>
    <w:rsid w:val="00B16026"/>
    <w:rsid w:val="00B1693A"/>
    <w:rsid w:val="00B16E39"/>
    <w:rsid w:val="00B16E84"/>
    <w:rsid w:val="00B16EF7"/>
    <w:rsid w:val="00B1753C"/>
    <w:rsid w:val="00B17ED3"/>
    <w:rsid w:val="00B20152"/>
    <w:rsid w:val="00B20320"/>
    <w:rsid w:val="00B20B8E"/>
    <w:rsid w:val="00B2111C"/>
    <w:rsid w:val="00B213CC"/>
    <w:rsid w:val="00B21C27"/>
    <w:rsid w:val="00B21C80"/>
    <w:rsid w:val="00B22562"/>
    <w:rsid w:val="00B233BD"/>
    <w:rsid w:val="00B23483"/>
    <w:rsid w:val="00B23916"/>
    <w:rsid w:val="00B23965"/>
    <w:rsid w:val="00B23CD8"/>
    <w:rsid w:val="00B23D23"/>
    <w:rsid w:val="00B244AB"/>
    <w:rsid w:val="00B251F6"/>
    <w:rsid w:val="00B255EC"/>
    <w:rsid w:val="00B256F8"/>
    <w:rsid w:val="00B2607E"/>
    <w:rsid w:val="00B260A2"/>
    <w:rsid w:val="00B26369"/>
    <w:rsid w:val="00B263A4"/>
    <w:rsid w:val="00B264F4"/>
    <w:rsid w:val="00B2691D"/>
    <w:rsid w:val="00B269C7"/>
    <w:rsid w:val="00B27281"/>
    <w:rsid w:val="00B27CEE"/>
    <w:rsid w:val="00B27EEE"/>
    <w:rsid w:val="00B30438"/>
    <w:rsid w:val="00B30533"/>
    <w:rsid w:val="00B307D2"/>
    <w:rsid w:val="00B308E1"/>
    <w:rsid w:val="00B308E8"/>
    <w:rsid w:val="00B311E5"/>
    <w:rsid w:val="00B312EB"/>
    <w:rsid w:val="00B312FC"/>
    <w:rsid w:val="00B31665"/>
    <w:rsid w:val="00B32222"/>
    <w:rsid w:val="00B3269E"/>
    <w:rsid w:val="00B330D3"/>
    <w:rsid w:val="00B33446"/>
    <w:rsid w:val="00B3410B"/>
    <w:rsid w:val="00B3498F"/>
    <w:rsid w:val="00B35579"/>
    <w:rsid w:val="00B37774"/>
    <w:rsid w:val="00B37792"/>
    <w:rsid w:val="00B37F00"/>
    <w:rsid w:val="00B37FF0"/>
    <w:rsid w:val="00B4044C"/>
    <w:rsid w:val="00B404F7"/>
    <w:rsid w:val="00B4083E"/>
    <w:rsid w:val="00B408EE"/>
    <w:rsid w:val="00B421BC"/>
    <w:rsid w:val="00B42FD1"/>
    <w:rsid w:val="00B42FEA"/>
    <w:rsid w:val="00B43BCC"/>
    <w:rsid w:val="00B4473A"/>
    <w:rsid w:val="00B44AA1"/>
    <w:rsid w:val="00B45244"/>
    <w:rsid w:val="00B4525E"/>
    <w:rsid w:val="00B453E8"/>
    <w:rsid w:val="00B45651"/>
    <w:rsid w:val="00B45E88"/>
    <w:rsid w:val="00B468D7"/>
    <w:rsid w:val="00B469B0"/>
    <w:rsid w:val="00B46F15"/>
    <w:rsid w:val="00B4710B"/>
    <w:rsid w:val="00B4761C"/>
    <w:rsid w:val="00B47D4E"/>
    <w:rsid w:val="00B506C4"/>
    <w:rsid w:val="00B51D8C"/>
    <w:rsid w:val="00B51FE2"/>
    <w:rsid w:val="00B524F8"/>
    <w:rsid w:val="00B529CF"/>
    <w:rsid w:val="00B52B1D"/>
    <w:rsid w:val="00B52D6B"/>
    <w:rsid w:val="00B52FF4"/>
    <w:rsid w:val="00B5320B"/>
    <w:rsid w:val="00B53237"/>
    <w:rsid w:val="00B532BA"/>
    <w:rsid w:val="00B53DC5"/>
    <w:rsid w:val="00B5455E"/>
    <w:rsid w:val="00B54A0D"/>
    <w:rsid w:val="00B54F70"/>
    <w:rsid w:val="00B5517A"/>
    <w:rsid w:val="00B554E3"/>
    <w:rsid w:val="00B55C99"/>
    <w:rsid w:val="00B55DEC"/>
    <w:rsid w:val="00B5657D"/>
    <w:rsid w:val="00B565E3"/>
    <w:rsid w:val="00B567FC"/>
    <w:rsid w:val="00B56986"/>
    <w:rsid w:val="00B56D85"/>
    <w:rsid w:val="00B5769F"/>
    <w:rsid w:val="00B57D82"/>
    <w:rsid w:val="00B6002E"/>
    <w:rsid w:val="00B600B2"/>
    <w:rsid w:val="00B607C4"/>
    <w:rsid w:val="00B60BFC"/>
    <w:rsid w:val="00B60D38"/>
    <w:rsid w:val="00B60D3C"/>
    <w:rsid w:val="00B60F4F"/>
    <w:rsid w:val="00B61625"/>
    <w:rsid w:val="00B6176F"/>
    <w:rsid w:val="00B61CAB"/>
    <w:rsid w:val="00B61DE6"/>
    <w:rsid w:val="00B61EBA"/>
    <w:rsid w:val="00B620F4"/>
    <w:rsid w:val="00B62549"/>
    <w:rsid w:val="00B62C46"/>
    <w:rsid w:val="00B63055"/>
    <w:rsid w:val="00B63346"/>
    <w:rsid w:val="00B633CB"/>
    <w:rsid w:val="00B6354C"/>
    <w:rsid w:val="00B63829"/>
    <w:rsid w:val="00B63CF1"/>
    <w:rsid w:val="00B63E55"/>
    <w:rsid w:val="00B64050"/>
    <w:rsid w:val="00B64605"/>
    <w:rsid w:val="00B646EB"/>
    <w:rsid w:val="00B64D78"/>
    <w:rsid w:val="00B64E49"/>
    <w:rsid w:val="00B64E9B"/>
    <w:rsid w:val="00B6512C"/>
    <w:rsid w:val="00B652F2"/>
    <w:rsid w:val="00B6587A"/>
    <w:rsid w:val="00B664D8"/>
    <w:rsid w:val="00B669BB"/>
    <w:rsid w:val="00B669ED"/>
    <w:rsid w:val="00B66D51"/>
    <w:rsid w:val="00B673EC"/>
    <w:rsid w:val="00B67A31"/>
    <w:rsid w:val="00B67CFB"/>
    <w:rsid w:val="00B7041B"/>
    <w:rsid w:val="00B705DD"/>
    <w:rsid w:val="00B708A8"/>
    <w:rsid w:val="00B70E3E"/>
    <w:rsid w:val="00B7161B"/>
    <w:rsid w:val="00B71D39"/>
    <w:rsid w:val="00B72598"/>
    <w:rsid w:val="00B725E1"/>
    <w:rsid w:val="00B726C8"/>
    <w:rsid w:val="00B72816"/>
    <w:rsid w:val="00B72961"/>
    <w:rsid w:val="00B72BE3"/>
    <w:rsid w:val="00B735DF"/>
    <w:rsid w:val="00B73A17"/>
    <w:rsid w:val="00B73E82"/>
    <w:rsid w:val="00B73EF5"/>
    <w:rsid w:val="00B743A6"/>
    <w:rsid w:val="00B744D0"/>
    <w:rsid w:val="00B74BFA"/>
    <w:rsid w:val="00B74C54"/>
    <w:rsid w:val="00B74F1F"/>
    <w:rsid w:val="00B75118"/>
    <w:rsid w:val="00B753AF"/>
    <w:rsid w:val="00B753DD"/>
    <w:rsid w:val="00B75487"/>
    <w:rsid w:val="00B75BA8"/>
    <w:rsid w:val="00B80033"/>
    <w:rsid w:val="00B805A9"/>
    <w:rsid w:val="00B80B30"/>
    <w:rsid w:val="00B81610"/>
    <w:rsid w:val="00B817F8"/>
    <w:rsid w:val="00B81933"/>
    <w:rsid w:val="00B81AE4"/>
    <w:rsid w:val="00B81C41"/>
    <w:rsid w:val="00B81F1D"/>
    <w:rsid w:val="00B8236A"/>
    <w:rsid w:val="00B8396F"/>
    <w:rsid w:val="00B83AC7"/>
    <w:rsid w:val="00B840C7"/>
    <w:rsid w:val="00B84A8E"/>
    <w:rsid w:val="00B85460"/>
    <w:rsid w:val="00B8589F"/>
    <w:rsid w:val="00B86160"/>
    <w:rsid w:val="00B86715"/>
    <w:rsid w:val="00B86FFD"/>
    <w:rsid w:val="00B871F0"/>
    <w:rsid w:val="00B87C0B"/>
    <w:rsid w:val="00B87EA5"/>
    <w:rsid w:val="00B9045F"/>
    <w:rsid w:val="00B9059B"/>
    <w:rsid w:val="00B91171"/>
    <w:rsid w:val="00B9154B"/>
    <w:rsid w:val="00B917BD"/>
    <w:rsid w:val="00B91B39"/>
    <w:rsid w:val="00B91CED"/>
    <w:rsid w:val="00B92064"/>
    <w:rsid w:val="00B9284B"/>
    <w:rsid w:val="00B92CFE"/>
    <w:rsid w:val="00B93B59"/>
    <w:rsid w:val="00B94AA9"/>
    <w:rsid w:val="00B95032"/>
    <w:rsid w:val="00B9509E"/>
    <w:rsid w:val="00B9618C"/>
    <w:rsid w:val="00B96477"/>
    <w:rsid w:val="00B9660F"/>
    <w:rsid w:val="00B96E46"/>
    <w:rsid w:val="00B97259"/>
    <w:rsid w:val="00B975CD"/>
    <w:rsid w:val="00B97C75"/>
    <w:rsid w:val="00BA003C"/>
    <w:rsid w:val="00BA0458"/>
    <w:rsid w:val="00BA06C7"/>
    <w:rsid w:val="00BA0E9A"/>
    <w:rsid w:val="00BA1278"/>
    <w:rsid w:val="00BA1E96"/>
    <w:rsid w:val="00BA1EFB"/>
    <w:rsid w:val="00BA25DF"/>
    <w:rsid w:val="00BA2C82"/>
    <w:rsid w:val="00BA33A4"/>
    <w:rsid w:val="00BA3BDE"/>
    <w:rsid w:val="00BA3EA9"/>
    <w:rsid w:val="00BA424E"/>
    <w:rsid w:val="00BA42D4"/>
    <w:rsid w:val="00BA48D7"/>
    <w:rsid w:val="00BA4CBD"/>
    <w:rsid w:val="00BA4E54"/>
    <w:rsid w:val="00BA527B"/>
    <w:rsid w:val="00BA53E7"/>
    <w:rsid w:val="00BA5902"/>
    <w:rsid w:val="00BA618C"/>
    <w:rsid w:val="00BA6386"/>
    <w:rsid w:val="00BA6841"/>
    <w:rsid w:val="00BA769B"/>
    <w:rsid w:val="00BA78B7"/>
    <w:rsid w:val="00BA7C0E"/>
    <w:rsid w:val="00BA7DF1"/>
    <w:rsid w:val="00BA7F5A"/>
    <w:rsid w:val="00BB0418"/>
    <w:rsid w:val="00BB0662"/>
    <w:rsid w:val="00BB0748"/>
    <w:rsid w:val="00BB0B7F"/>
    <w:rsid w:val="00BB175E"/>
    <w:rsid w:val="00BB19C8"/>
    <w:rsid w:val="00BB1EBF"/>
    <w:rsid w:val="00BB1FD5"/>
    <w:rsid w:val="00BB29EA"/>
    <w:rsid w:val="00BB2D3A"/>
    <w:rsid w:val="00BB2E44"/>
    <w:rsid w:val="00BB3361"/>
    <w:rsid w:val="00BB3373"/>
    <w:rsid w:val="00BB3889"/>
    <w:rsid w:val="00BB3F6A"/>
    <w:rsid w:val="00BB425D"/>
    <w:rsid w:val="00BB4358"/>
    <w:rsid w:val="00BB46D1"/>
    <w:rsid w:val="00BB480C"/>
    <w:rsid w:val="00BB4946"/>
    <w:rsid w:val="00BB4EFC"/>
    <w:rsid w:val="00BB513F"/>
    <w:rsid w:val="00BB58EF"/>
    <w:rsid w:val="00BB5E71"/>
    <w:rsid w:val="00BB75B9"/>
    <w:rsid w:val="00BB7898"/>
    <w:rsid w:val="00BC0806"/>
    <w:rsid w:val="00BC0AFA"/>
    <w:rsid w:val="00BC11C4"/>
    <w:rsid w:val="00BC1A14"/>
    <w:rsid w:val="00BC2087"/>
    <w:rsid w:val="00BC24C2"/>
    <w:rsid w:val="00BC277A"/>
    <w:rsid w:val="00BC2C8A"/>
    <w:rsid w:val="00BC2E5F"/>
    <w:rsid w:val="00BC3251"/>
    <w:rsid w:val="00BC35A1"/>
    <w:rsid w:val="00BC388E"/>
    <w:rsid w:val="00BC3C83"/>
    <w:rsid w:val="00BC4084"/>
    <w:rsid w:val="00BC4874"/>
    <w:rsid w:val="00BC56B4"/>
    <w:rsid w:val="00BC591B"/>
    <w:rsid w:val="00BC6044"/>
    <w:rsid w:val="00BC61BC"/>
    <w:rsid w:val="00BC6640"/>
    <w:rsid w:val="00BC6AC5"/>
    <w:rsid w:val="00BC6C4F"/>
    <w:rsid w:val="00BC742B"/>
    <w:rsid w:val="00BC7918"/>
    <w:rsid w:val="00BD07F4"/>
    <w:rsid w:val="00BD0AFC"/>
    <w:rsid w:val="00BD0E32"/>
    <w:rsid w:val="00BD193B"/>
    <w:rsid w:val="00BD2972"/>
    <w:rsid w:val="00BD3332"/>
    <w:rsid w:val="00BD4838"/>
    <w:rsid w:val="00BD5ACF"/>
    <w:rsid w:val="00BD7181"/>
    <w:rsid w:val="00BD7237"/>
    <w:rsid w:val="00BD79B2"/>
    <w:rsid w:val="00BD79FB"/>
    <w:rsid w:val="00BE055C"/>
    <w:rsid w:val="00BE07C7"/>
    <w:rsid w:val="00BE0B59"/>
    <w:rsid w:val="00BE0E6E"/>
    <w:rsid w:val="00BE1512"/>
    <w:rsid w:val="00BE1A90"/>
    <w:rsid w:val="00BE1E46"/>
    <w:rsid w:val="00BE28FE"/>
    <w:rsid w:val="00BE3374"/>
    <w:rsid w:val="00BE362A"/>
    <w:rsid w:val="00BE3C0F"/>
    <w:rsid w:val="00BE3C39"/>
    <w:rsid w:val="00BE4030"/>
    <w:rsid w:val="00BE48DC"/>
    <w:rsid w:val="00BE4AD1"/>
    <w:rsid w:val="00BE4C77"/>
    <w:rsid w:val="00BE4EF4"/>
    <w:rsid w:val="00BE51F5"/>
    <w:rsid w:val="00BE5264"/>
    <w:rsid w:val="00BE530C"/>
    <w:rsid w:val="00BE54EB"/>
    <w:rsid w:val="00BE5701"/>
    <w:rsid w:val="00BE5895"/>
    <w:rsid w:val="00BE625E"/>
    <w:rsid w:val="00BE628A"/>
    <w:rsid w:val="00BE7843"/>
    <w:rsid w:val="00BE7E89"/>
    <w:rsid w:val="00BF0081"/>
    <w:rsid w:val="00BF0DDE"/>
    <w:rsid w:val="00BF1138"/>
    <w:rsid w:val="00BF182C"/>
    <w:rsid w:val="00BF1C32"/>
    <w:rsid w:val="00BF23D9"/>
    <w:rsid w:val="00BF24AC"/>
    <w:rsid w:val="00BF26C1"/>
    <w:rsid w:val="00BF2C39"/>
    <w:rsid w:val="00BF2FAA"/>
    <w:rsid w:val="00BF3BC5"/>
    <w:rsid w:val="00BF3C62"/>
    <w:rsid w:val="00BF4070"/>
    <w:rsid w:val="00BF4A59"/>
    <w:rsid w:val="00BF4FC8"/>
    <w:rsid w:val="00BF5022"/>
    <w:rsid w:val="00BF5D9D"/>
    <w:rsid w:val="00BF5DF9"/>
    <w:rsid w:val="00BF61E9"/>
    <w:rsid w:val="00BF6300"/>
    <w:rsid w:val="00BF64A3"/>
    <w:rsid w:val="00BF66BB"/>
    <w:rsid w:val="00BF677D"/>
    <w:rsid w:val="00BF6830"/>
    <w:rsid w:val="00BF6BD8"/>
    <w:rsid w:val="00BF7874"/>
    <w:rsid w:val="00BF7A60"/>
    <w:rsid w:val="00BF7EF0"/>
    <w:rsid w:val="00C00421"/>
    <w:rsid w:val="00C00DFA"/>
    <w:rsid w:val="00C01467"/>
    <w:rsid w:val="00C01F0D"/>
    <w:rsid w:val="00C02A51"/>
    <w:rsid w:val="00C02CB9"/>
    <w:rsid w:val="00C030E7"/>
    <w:rsid w:val="00C03343"/>
    <w:rsid w:val="00C0385F"/>
    <w:rsid w:val="00C03D3C"/>
    <w:rsid w:val="00C043BC"/>
    <w:rsid w:val="00C045E0"/>
    <w:rsid w:val="00C049ED"/>
    <w:rsid w:val="00C04B43"/>
    <w:rsid w:val="00C04BC5"/>
    <w:rsid w:val="00C04FA3"/>
    <w:rsid w:val="00C05831"/>
    <w:rsid w:val="00C05B9F"/>
    <w:rsid w:val="00C06207"/>
    <w:rsid w:val="00C063EA"/>
    <w:rsid w:val="00C0656B"/>
    <w:rsid w:val="00C065D7"/>
    <w:rsid w:val="00C06BE2"/>
    <w:rsid w:val="00C06DD5"/>
    <w:rsid w:val="00C07113"/>
    <w:rsid w:val="00C07243"/>
    <w:rsid w:val="00C106B7"/>
    <w:rsid w:val="00C10B78"/>
    <w:rsid w:val="00C10B84"/>
    <w:rsid w:val="00C1105F"/>
    <w:rsid w:val="00C11360"/>
    <w:rsid w:val="00C11870"/>
    <w:rsid w:val="00C11A15"/>
    <w:rsid w:val="00C12F87"/>
    <w:rsid w:val="00C13C0F"/>
    <w:rsid w:val="00C146A7"/>
    <w:rsid w:val="00C148EE"/>
    <w:rsid w:val="00C14F80"/>
    <w:rsid w:val="00C15578"/>
    <w:rsid w:val="00C15D45"/>
    <w:rsid w:val="00C163B0"/>
    <w:rsid w:val="00C16F4C"/>
    <w:rsid w:val="00C179A2"/>
    <w:rsid w:val="00C17A45"/>
    <w:rsid w:val="00C17D7B"/>
    <w:rsid w:val="00C17E5B"/>
    <w:rsid w:val="00C20121"/>
    <w:rsid w:val="00C2021E"/>
    <w:rsid w:val="00C20609"/>
    <w:rsid w:val="00C20BDE"/>
    <w:rsid w:val="00C20D5D"/>
    <w:rsid w:val="00C213E1"/>
    <w:rsid w:val="00C22F02"/>
    <w:rsid w:val="00C2318D"/>
    <w:rsid w:val="00C23463"/>
    <w:rsid w:val="00C24910"/>
    <w:rsid w:val="00C24B83"/>
    <w:rsid w:val="00C24F65"/>
    <w:rsid w:val="00C2605D"/>
    <w:rsid w:val="00C26427"/>
    <w:rsid w:val="00C26792"/>
    <w:rsid w:val="00C2754B"/>
    <w:rsid w:val="00C3039B"/>
    <w:rsid w:val="00C30C5F"/>
    <w:rsid w:val="00C31B2E"/>
    <w:rsid w:val="00C32140"/>
    <w:rsid w:val="00C321B7"/>
    <w:rsid w:val="00C330D0"/>
    <w:rsid w:val="00C33564"/>
    <w:rsid w:val="00C33CBD"/>
    <w:rsid w:val="00C34218"/>
    <w:rsid w:val="00C34772"/>
    <w:rsid w:val="00C34B46"/>
    <w:rsid w:val="00C34E88"/>
    <w:rsid w:val="00C35180"/>
    <w:rsid w:val="00C35551"/>
    <w:rsid w:val="00C35670"/>
    <w:rsid w:val="00C378F3"/>
    <w:rsid w:val="00C37996"/>
    <w:rsid w:val="00C37BEB"/>
    <w:rsid w:val="00C37E47"/>
    <w:rsid w:val="00C4052A"/>
    <w:rsid w:val="00C40917"/>
    <w:rsid w:val="00C4149F"/>
    <w:rsid w:val="00C417B4"/>
    <w:rsid w:val="00C41A00"/>
    <w:rsid w:val="00C41B66"/>
    <w:rsid w:val="00C42769"/>
    <w:rsid w:val="00C42A32"/>
    <w:rsid w:val="00C42EC4"/>
    <w:rsid w:val="00C43445"/>
    <w:rsid w:val="00C4354D"/>
    <w:rsid w:val="00C43595"/>
    <w:rsid w:val="00C4377F"/>
    <w:rsid w:val="00C43AE1"/>
    <w:rsid w:val="00C43C74"/>
    <w:rsid w:val="00C43D09"/>
    <w:rsid w:val="00C44ACF"/>
    <w:rsid w:val="00C4504A"/>
    <w:rsid w:val="00C459A3"/>
    <w:rsid w:val="00C45FE5"/>
    <w:rsid w:val="00C460EB"/>
    <w:rsid w:val="00C46406"/>
    <w:rsid w:val="00C46E92"/>
    <w:rsid w:val="00C4706C"/>
    <w:rsid w:val="00C47F70"/>
    <w:rsid w:val="00C5011A"/>
    <w:rsid w:val="00C5036F"/>
    <w:rsid w:val="00C5039C"/>
    <w:rsid w:val="00C50D2F"/>
    <w:rsid w:val="00C50FE3"/>
    <w:rsid w:val="00C51258"/>
    <w:rsid w:val="00C51272"/>
    <w:rsid w:val="00C519CC"/>
    <w:rsid w:val="00C51C4C"/>
    <w:rsid w:val="00C51E8B"/>
    <w:rsid w:val="00C52034"/>
    <w:rsid w:val="00C52222"/>
    <w:rsid w:val="00C52475"/>
    <w:rsid w:val="00C52B5E"/>
    <w:rsid w:val="00C53DA4"/>
    <w:rsid w:val="00C54AD9"/>
    <w:rsid w:val="00C54BF8"/>
    <w:rsid w:val="00C54E16"/>
    <w:rsid w:val="00C54FC1"/>
    <w:rsid w:val="00C55DA3"/>
    <w:rsid w:val="00C55E88"/>
    <w:rsid w:val="00C55F9C"/>
    <w:rsid w:val="00C56356"/>
    <w:rsid w:val="00C564CA"/>
    <w:rsid w:val="00C5659D"/>
    <w:rsid w:val="00C56818"/>
    <w:rsid w:val="00C56EAF"/>
    <w:rsid w:val="00C57A5D"/>
    <w:rsid w:val="00C57FA1"/>
    <w:rsid w:val="00C610CF"/>
    <w:rsid w:val="00C61748"/>
    <w:rsid w:val="00C61D82"/>
    <w:rsid w:val="00C626FE"/>
    <w:rsid w:val="00C62776"/>
    <w:rsid w:val="00C62A90"/>
    <w:rsid w:val="00C62FD1"/>
    <w:rsid w:val="00C635FC"/>
    <w:rsid w:val="00C63847"/>
    <w:rsid w:val="00C6392D"/>
    <w:rsid w:val="00C63A94"/>
    <w:rsid w:val="00C63C97"/>
    <w:rsid w:val="00C63CB4"/>
    <w:rsid w:val="00C640D1"/>
    <w:rsid w:val="00C644B0"/>
    <w:rsid w:val="00C64BAC"/>
    <w:rsid w:val="00C64D30"/>
    <w:rsid w:val="00C6593B"/>
    <w:rsid w:val="00C65C5C"/>
    <w:rsid w:val="00C65F23"/>
    <w:rsid w:val="00C65F6E"/>
    <w:rsid w:val="00C66433"/>
    <w:rsid w:val="00C6643D"/>
    <w:rsid w:val="00C66582"/>
    <w:rsid w:val="00C66BB8"/>
    <w:rsid w:val="00C66C00"/>
    <w:rsid w:val="00C67011"/>
    <w:rsid w:val="00C67044"/>
    <w:rsid w:val="00C672AD"/>
    <w:rsid w:val="00C676B0"/>
    <w:rsid w:val="00C67CEE"/>
    <w:rsid w:val="00C705EE"/>
    <w:rsid w:val="00C706EA"/>
    <w:rsid w:val="00C7098F"/>
    <w:rsid w:val="00C70BDC"/>
    <w:rsid w:val="00C71AB0"/>
    <w:rsid w:val="00C71D8B"/>
    <w:rsid w:val="00C72440"/>
    <w:rsid w:val="00C72A7E"/>
    <w:rsid w:val="00C72C44"/>
    <w:rsid w:val="00C72E86"/>
    <w:rsid w:val="00C73140"/>
    <w:rsid w:val="00C73269"/>
    <w:rsid w:val="00C73B93"/>
    <w:rsid w:val="00C73D0F"/>
    <w:rsid w:val="00C73F8C"/>
    <w:rsid w:val="00C74045"/>
    <w:rsid w:val="00C74069"/>
    <w:rsid w:val="00C7457E"/>
    <w:rsid w:val="00C74B4C"/>
    <w:rsid w:val="00C75227"/>
    <w:rsid w:val="00C7682B"/>
    <w:rsid w:val="00C76968"/>
    <w:rsid w:val="00C76ECA"/>
    <w:rsid w:val="00C774FC"/>
    <w:rsid w:val="00C8088D"/>
    <w:rsid w:val="00C81A70"/>
    <w:rsid w:val="00C81E2E"/>
    <w:rsid w:val="00C82107"/>
    <w:rsid w:val="00C8259E"/>
    <w:rsid w:val="00C83614"/>
    <w:rsid w:val="00C83C3A"/>
    <w:rsid w:val="00C83D66"/>
    <w:rsid w:val="00C84113"/>
    <w:rsid w:val="00C84A07"/>
    <w:rsid w:val="00C8546C"/>
    <w:rsid w:val="00C85478"/>
    <w:rsid w:val="00C859EF"/>
    <w:rsid w:val="00C85A43"/>
    <w:rsid w:val="00C85CB6"/>
    <w:rsid w:val="00C85E99"/>
    <w:rsid w:val="00C864CB"/>
    <w:rsid w:val="00C873D5"/>
    <w:rsid w:val="00C87A71"/>
    <w:rsid w:val="00C903F5"/>
    <w:rsid w:val="00C90899"/>
    <w:rsid w:val="00C909DF"/>
    <w:rsid w:val="00C90F58"/>
    <w:rsid w:val="00C90F6B"/>
    <w:rsid w:val="00C91111"/>
    <w:rsid w:val="00C91669"/>
    <w:rsid w:val="00C91884"/>
    <w:rsid w:val="00C91A47"/>
    <w:rsid w:val="00C91FE8"/>
    <w:rsid w:val="00C9215F"/>
    <w:rsid w:val="00C9251B"/>
    <w:rsid w:val="00C92B3C"/>
    <w:rsid w:val="00C92F50"/>
    <w:rsid w:val="00C92FCA"/>
    <w:rsid w:val="00C9368F"/>
    <w:rsid w:val="00C9391C"/>
    <w:rsid w:val="00C93995"/>
    <w:rsid w:val="00C93FB3"/>
    <w:rsid w:val="00C950C4"/>
    <w:rsid w:val="00C95592"/>
    <w:rsid w:val="00C95614"/>
    <w:rsid w:val="00C961A8"/>
    <w:rsid w:val="00C963E7"/>
    <w:rsid w:val="00C966D0"/>
    <w:rsid w:val="00C975EA"/>
    <w:rsid w:val="00C97C1A"/>
    <w:rsid w:val="00CA025A"/>
    <w:rsid w:val="00CA08A3"/>
    <w:rsid w:val="00CA107D"/>
    <w:rsid w:val="00CA1098"/>
    <w:rsid w:val="00CA1615"/>
    <w:rsid w:val="00CA195A"/>
    <w:rsid w:val="00CA1CFF"/>
    <w:rsid w:val="00CA1E40"/>
    <w:rsid w:val="00CA27B5"/>
    <w:rsid w:val="00CA2D6D"/>
    <w:rsid w:val="00CA3913"/>
    <w:rsid w:val="00CA3DCD"/>
    <w:rsid w:val="00CA4E28"/>
    <w:rsid w:val="00CA4EB1"/>
    <w:rsid w:val="00CA5120"/>
    <w:rsid w:val="00CA58A3"/>
    <w:rsid w:val="00CA5A64"/>
    <w:rsid w:val="00CA5C22"/>
    <w:rsid w:val="00CA61E9"/>
    <w:rsid w:val="00CA6240"/>
    <w:rsid w:val="00CA6697"/>
    <w:rsid w:val="00CA6A62"/>
    <w:rsid w:val="00CA76DD"/>
    <w:rsid w:val="00CA7E77"/>
    <w:rsid w:val="00CB0C63"/>
    <w:rsid w:val="00CB1413"/>
    <w:rsid w:val="00CB19F7"/>
    <w:rsid w:val="00CB211C"/>
    <w:rsid w:val="00CB21DE"/>
    <w:rsid w:val="00CB29F8"/>
    <w:rsid w:val="00CB3509"/>
    <w:rsid w:val="00CB35CC"/>
    <w:rsid w:val="00CB3D7F"/>
    <w:rsid w:val="00CB4678"/>
    <w:rsid w:val="00CB4C48"/>
    <w:rsid w:val="00CB4FDF"/>
    <w:rsid w:val="00CB5F77"/>
    <w:rsid w:val="00CB6466"/>
    <w:rsid w:val="00CB7170"/>
    <w:rsid w:val="00CB763B"/>
    <w:rsid w:val="00CB7752"/>
    <w:rsid w:val="00CB7933"/>
    <w:rsid w:val="00CB7A88"/>
    <w:rsid w:val="00CB7BFD"/>
    <w:rsid w:val="00CB7CBC"/>
    <w:rsid w:val="00CC0566"/>
    <w:rsid w:val="00CC0FB9"/>
    <w:rsid w:val="00CC1963"/>
    <w:rsid w:val="00CC1A14"/>
    <w:rsid w:val="00CC1D91"/>
    <w:rsid w:val="00CC4065"/>
    <w:rsid w:val="00CC4304"/>
    <w:rsid w:val="00CC4376"/>
    <w:rsid w:val="00CC4900"/>
    <w:rsid w:val="00CC49B7"/>
    <w:rsid w:val="00CC4CFA"/>
    <w:rsid w:val="00CC4FCD"/>
    <w:rsid w:val="00CC5093"/>
    <w:rsid w:val="00CC52ED"/>
    <w:rsid w:val="00CC5462"/>
    <w:rsid w:val="00CC593B"/>
    <w:rsid w:val="00CC60DB"/>
    <w:rsid w:val="00CC63B1"/>
    <w:rsid w:val="00CC6875"/>
    <w:rsid w:val="00CC6AF3"/>
    <w:rsid w:val="00CC6BEF"/>
    <w:rsid w:val="00CC6F4E"/>
    <w:rsid w:val="00CC71B7"/>
    <w:rsid w:val="00CC7270"/>
    <w:rsid w:val="00CC765B"/>
    <w:rsid w:val="00CD02FF"/>
    <w:rsid w:val="00CD03D9"/>
    <w:rsid w:val="00CD0487"/>
    <w:rsid w:val="00CD0D35"/>
    <w:rsid w:val="00CD13F6"/>
    <w:rsid w:val="00CD144B"/>
    <w:rsid w:val="00CD17F5"/>
    <w:rsid w:val="00CD18EC"/>
    <w:rsid w:val="00CD1AE8"/>
    <w:rsid w:val="00CD2B92"/>
    <w:rsid w:val="00CD2F83"/>
    <w:rsid w:val="00CD32C2"/>
    <w:rsid w:val="00CD33A0"/>
    <w:rsid w:val="00CD3753"/>
    <w:rsid w:val="00CD377C"/>
    <w:rsid w:val="00CD43AB"/>
    <w:rsid w:val="00CD473F"/>
    <w:rsid w:val="00CD54A9"/>
    <w:rsid w:val="00CD62E6"/>
    <w:rsid w:val="00CD789C"/>
    <w:rsid w:val="00CE09AB"/>
    <w:rsid w:val="00CE0D29"/>
    <w:rsid w:val="00CE0E15"/>
    <w:rsid w:val="00CE111A"/>
    <w:rsid w:val="00CE1478"/>
    <w:rsid w:val="00CE159B"/>
    <w:rsid w:val="00CE1EB7"/>
    <w:rsid w:val="00CE22AE"/>
    <w:rsid w:val="00CE3603"/>
    <w:rsid w:val="00CE3C0E"/>
    <w:rsid w:val="00CE3C93"/>
    <w:rsid w:val="00CE3C96"/>
    <w:rsid w:val="00CE434E"/>
    <w:rsid w:val="00CE47EF"/>
    <w:rsid w:val="00CE4E57"/>
    <w:rsid w:val="00CE604F"/>
    <w:rsid w:val="00CE65D9"/>
    <w:rsid w:val="00CE6C66"/>
    <w:rsid w:val="00CE7254"/>
    <w:rsid w:val="00CE74D2"/>
    <w:rsid w:val="00CE7724"/>
    <w:rsid w:val="00CE7A41"/>
    <w:rsid w:val="00CF037A"/>
    <w:rsid w:val="00CF0892"/>
    <w:rsid w:val="00CF0BDB"/>
    <w:rsid w:val="00CF0BF1"/>
    <w:rsid w:val="00CF111B"/>
    <w:rsid w:val="00CF1345"/>
    <w:rsid w:val="00CF13BD"/>
    <w:rsid w:val="00CF171F"/>
    <w:rsid w:val="00CF19B6"/>
    <w:rsid w:val="00CF1DA2"/>
    <w:rsid w:val="00CF2338"/>
    <w:rsid w:val="00CF23FD"/>
    <w:rsid w:val="00CF2CE7"/>
    <w:rsid w:val="00CF2E43"/>
    <w:rsid w:val="00CF2EAB"/>
    <w:rsid w:val="00CF2F90"/>
    <w:rsid w:val="00CF38F0"/>
    <w:rsid w:val="00CF41A1"/>
    <w:rsid w:val="00CF41CB"/>
    <w:rsid w:val="00CF48B0"/>
    <w:rsid w:val="00CF4A11"/>
    <w:rsid w:val="00CF50D5"/>
    <w:rsid w:val="00CF55AA"/>
    <w:rsid w:val="00CF5F1A"/>
    <w:rsid w:val="00CF60F0"/>
    <w:rsid w:val="00CF615E"/>
    <w:rsid w:val="00CF6274"/>
    <w:rsid w:val="00CF6930"/>
    <w:rsid w:val="00CF6E14"/>
    <w:rsid w:val="00CF7187"/>
    <w:rsid w:val="00CF7515"/>
    <w:rsid w:val="00CF7C24"/>
    <w:rsid w:val="00CF7E56"/>
    <w:rsid w:val="00CF7F0B"/>
    <w:rsid w:val="00D002B8"/>
    <w:rsid w:val="00D00501"/>
    <w:rsid w:val="00D00CAD"/>
    <w:rsid w:val="00D00CE4"/>
    <w:rsid w:val="00D01A7F"/>
    <w:rsid w:val="00D01BAD"/>
    <w:rsid w:val="00D01CAB"/>
    <w:rsid w:val="00D01D2E"/>
    <w:rsid w:val="00D020D5"/>
    <w:rsid w:val="00D0270D"/>
    <w:rsid w:val="00D02A95"/>
    <w:rsid w:val="00D02DE5"/>
    <w:rsid w:val="00D03299"/>
    <w:rsid w:val="00D033AD"/>
    <w:rsid w:val="00D03C04"/>
    <w:rsid w:val="00D0448F"/>
    <w:rsid w:val="00D0460A"/>
    <w:rsid w:val="00D04E56"/>
    <w:rsid w:val="00D04F2C"/>
    <w:rsid w:val="00D05DE9"/>
    <w:rsid w:val="00D05E88"/>
    <w:rsid w:val="00D06007"/>
    <w:rsid w:val="00D062BC"/>
    <w:rsid w:val="00D10649"/>
    <w:rsid w:val="00D10CE1"/>
    <w:rsid w:val="00D10EA4"/>
    <w:rsid w:val="00D10EBB"/>
    <w:rsid w:val="00D11425"/>
    <w:rsid w:val="00D127B6"/>
    <w:rsid w:val="00D12E18"/>
    <w:rsid w:val="00D13BA1"/>
    <w:rsid w:val="00D13D8F"/>
    <w:rsid w:val="00D1434E"/>
    <w:rsid w:val="00D1445D"/>
    <w:rsid w:val="00D14519"/>
    <w:rsid w:val="00D1485E"/>
    <w:rsid w:val="00D15A24"/>
    <w:rsid w:val="00D15E0B"/>
    <w:rsid w:val="00D1631B"/>
    <w:rsid w:val="00D1639E"/>
    <w:rsid w:val="00D16AF1"/>
    <w:rsid w:val="00D17A15"/>
    <w:rsid w:val="00D17B23"/>
    <w:rsid w:val="00D17DC3"/>
    <w:rsid w:val="00D20AE8"/>
    <w:rsid w:val="00D20BA4"/>
    <w:rsid w:val="00D214DA"/>
    <w:rsid w:val="00D219D1"/>
    <w:rsid w:val="00D21F6D"/>
    <w:rsid w:val="00D21F98"/>
    <w:rsid w:val="00D225B6"/>
    <w:rsid w:val="00D225B9"/>
    <w:rsid w:val="00D22F8D"/>
    <w:rsid w:val="00D2322A"/>
    <w:rsid w:val="00D232FD"/>
    <w:rsid w:val="00D239B8"/>
    <w:rsid w:val="00D24128"/>
    <w:rsid w:val="00D24506"/>
    <w:rsid w:val="00D24E03"/>
    <w:rsid w:val="00D25A90"/>
    <w:rsid w:val="00D26147"/>
    <w:rsid w:val="00D26201"/>
    <w:rsid w:val="00D2759C"/>
    <w:rsid w:val="00D305A4"/>
    <w:rsid w:val="00D308CB"/>
    <w:rsid w:val="00D30BAE"/>
    <w:rsid w:val="00D30BEE"/>
    <w:rsid w:val="00D30D45"/>
    <w:rsid w:val="00D31170"/>
    <w:rsid w:val="00D31250"/>
    <w:rsid w:val="00D324F4"/>
    <w:rsid w:val="00D33150"/>
    <w:rsid w:val="00D335E0"/>
    <w:rsid w:val="00D34348"/>
    <w:rsid w:val="00D34C37"/>
    <w:rsid w:val="00D354F6"/>
    <w:rsid w:val="00D35AD6"/>
    <w:rsid w:val="00D35D3E"/>
    <w:rsid w:val="00D3640A"/>
    <w:rsid w:val="00D3643E"/>
    <w:rsid w:val="00D372F6"/>
    <w:rsid w:val="00D3783B"/>
    <w:rsid w:val="00D406D5"/>
    <w:rsid w:val="00D40E44"/>
    <w:rsid w:val="00D42333"/>
    <w:rsid w:val="00D426D6"/>
    <w:rsid w:val="00D42B99"/>
    <w:rsid w:val="00D432D4"/>
    <w:rsid w:val="00D4383F"/>
    <w:rsid w:val="00D43959"/>
    <w:rsid w:val="00D43A87"/>
    <w:rsid w:val="00D43C1F"/>
    <w:rsid w:val="00D43E97"/>
    <w:rsid w:val="00D44074"/>
    <w:rsid w:val="00D44588"/>
    <w:rsid w:val="00D44C6B"/>
    <w:rsid w:val="00D44F86"/>
    <w:rsid w:val="00D45179"/>
    <w:rsid w:val="00D45CFC"/>
    <w:rsid w:val="00D45F10"/>
    <w:rsid w:val="00D46118"/>
    <w:rsid w:val="00D465E9"/>
    <w:rsid w:val="00D46BCF"/>
    <w:rsid w:val="00D46E09"/>
    <w:rsid w:val="00D46F5F"/>
    <w:rsid w:val="00D471C2"/>
    <w:rsid w:val="00D47439"/>
    <w:rsid w:val="00D475DD"/>
    <w:rsid w:val="00D47688"/>
    <w:rsid w:val="00D47720"/>
    <w:rsid w:val="00D50414"/>
    <w:rsid w:val="00D50E3E"/>
    <w:rsid w:val="00D51116"/>
    <w:rsid w:val="00D51A0B"/>
    <w:rsid w:val="00D52081"/>
    <w:rsid w:val="00D52829"/>
    <w:rsid w:val="00D531CC"/>
    <w:rsid w:val="00D53221"/>
    <w:rsid w:val="00D533DA"/>
    <w:rsid w:val="00D5385D"/>
    <w:rsid w:val="00D54463"/>
    <w:rsid w:val="00D544C0"/>
    <w:rsid w:val="00D54BB9"/>
    <w:rsid w:val="00D550F2"/>
    <w:rsid w:val="00D5677C"/>
    <w:rsid w:val="00D56D44"/>
    <w:rsid w:val="00D573A1"/>
    <w:rsid w:val="00D57511"/>
    <w:rsid w:val="00D57638"/>
    <w:rsid w:val="00D57698"/>
    <w:rsid w:val="00D60395"/>
    <w:rsid w:val="00D605DB"/>
    <w:rsid w:val="00D60642"/>
    <w:rsid w:val="00D6074C"/>
    <w:rsid w:val="00D60B0D"/>
    <w:rsid w:val="00D625C4"/>
    <w:rsid w:val="00D62688"/>
    <w:rsid w:val="00D63CC4"/>
    <w:rsid w:val="00D63CF1"/>
    <w:rsid w:val="00D646E8"/>
    <w:rsid w:val="00D64775"/>
    <w:rsid w:val="00D64A18"/>
    <w:rsid w:val="00D662AF"/>
    <w:rsid w:val="00D667A4"/>
    <w:rsid w:val="00D66D5F"/>
    <w:rsid w:val="00D66F6A"/>
    <w:rsid w:val="00D70CC3"/>
    <w:rsid w:val="00D714A2"/>
    <w:rsid w:val="00D716EA"/>
    <w:rsid w:val="00D71F81"/>
    <w:rsid w:val="00D71FAB"/>
    <w:rsid w:val="00D71FE2"/>
    <w:rsid w:val="00D723B5"/>
    <w:rsid w:val="00D72DD9"/>
    <w:rsid w:val="00D732D6"/>
    <w:rsid w:val="00D743C0"/>
    <w:rsid w:val="00D74424"/>
    <w:rsid w:val="00D745C6"/>
    <w:rsid w:val="00D74AF3"/>
    <w:rsid w:val="00D74C0B"/>
    <w:rsid w:val="00D74D51"/>
    <w:rsid w:val="00D74ED3"/>
    <w:rsid w:val="00D7548D"/>
    <w:rsid w:val="00D75735"/>
    <w:rsid w:val="00D75FF9"/>
    <w:rsid w:val="00D76635"/>
    <w:rsid w:val="00D7667F"/>
    <w:rsid w:val="00D779C1"/>
    <w:rsid w:val="00D77A63"/>
    <w:rsid w:val="00D77DCA"/>
    <w:rsid w:val="00D804F4"/>
    <w:rsid w:val="00D80E56"/>
    <w:rsid w:val="00D80E77"/>
    <w:rsid w:val="00D81BC3"/>
    <w:rsid w:val="00D82154"/>
    <w:rsid w:val="00D82CB9"/>
    <w:rsid w:val="00D82DBE"/>
    <w:rsid w:val="00D830CA"/>
    <w:rsid w:val="00D8332B"/>
    <w:rsid w:val="00D83334"/>
    <w:rsid w:val="00D8337B"/>
    <w:rsid w:val="00D843D7"/>
    <w:rsid w:val="00D84607"/>
    <w:rsid w:val="00D8482A"/>
    <w:rsid w:val="00D8503D"/>
    <w:rsid w:val="00D8527E"/>
    <w:rsid w:val="00D858ED"/>
    <w:rsid w:val="00D85E1F"/>
    <w:rsid w:val="00D860C5"/>
    <w:rsid w:val="00D861FD"/>
    <w:rsid w:val="00D864F8"/>
    <w:rsid w:val="00D86E32"/>
    <w:rsid w:val="00D87194"/>
    <w:rsid w:val="00D87D99"/>
    <w:rsid w:val="00D87E16"/>
    <w:rsid w:val="00D90216"/>
    <w:rsid w:val="00D9043F"/>
    <w:rsid w:val="00D906D5"/>
    <w:rsid w:val="00D90CD7"/>
    <w:rsid w:val="00D91708"/>
    <w:rsid w:val="00D9245F"/>
    <w:rsid w:val="00D92A27"/>
    <w:rsid w:val="00D92F67"/>
    <w:rsid w:val="00D93189"/>
    <w:rsid w:val="00D93871"/>
    <w:rsid w:val="00D93B8F"/>
    <w:rsid w:val="00D948C1"/>
    <w:rsid w:val="00D94CE5"/>
    <w:rsid w:val="00D953CA"/>
    <w:rsid w:val="00D958C5"/>
    <w:rsid w:val="00D95A0C"/>
    <w:rsid w:val="00D95ADF"/>
    <w:rsid w:val="00D95CE5"/>
    <w:rsid w:val="00D95D75"/>
    <w:rsid w:val="00D960CB"/>
    <w:rsid w:val="00D960F5"/>
    <w:rsid w:val="00D96766"/>
    <w:rsid w:val="00D96A83"/>
    <w:rsid w:val="00D97013"/>
    <w:rsid w:val="00D97641"/>
    <w:rsid w:val="00DA01E5"/>
    <w:rsid w:val="00DA01E9"/>
    <w:rsid w:val="00DA0484"/>
    <w:rsid w:val="00DA0887"/>
    <w:rsid w:val="00DA0A36"/>
    <w:rsid w:val="00DA0BB2"/>
    <w:rsid w:val="00DA0CC2"/>
    <w:rsid w:val="00DA0D6A"/>
    <w:rsid w:val="00DA0DF6"/>
    <w:rsid w:val="00DA116C"/>
    <w:rsid w:val="00DA13C4"/>
    <w:rsid w:val="00DA1667"/>
    <w:rsid w:val="00DA1A80"/>
    <w:rsid w:val="00DA1C41"/>
    <w:rsid w:val="00DA24EA"/>
    <w:rsid w:val="00DA2506"/>
    <w:rsid w:val="00DA2AF3"/>
    <w:rsid w:val="00DA2C28"/>
    <w:rsid w:val="00DA2E2E"/>
    <w:rsid w:val="00DA2FB4"/>
    <w:rsid w:val="00DA354C"/>
    <w:rsid w:val="00DA3694"/>
    <w:rsid w:val="00DA3CBE"/>
    <w:rsid w:val="00DA432E"/>
    <w:rsid w:val="00DA46EE"/>
    <w:rsid w:val="00DA496C"/>
    <w:rsid w:val="00DA4C83"/>
    <w:rsid w:val="00DA5036"/>
    <w:rsid w:val="00DA5EE4"/>
    <w:rsid w:val="00DA6710"/>
    <w:rsid w:val="00DA6CAA"/>
    <w:rsid w:val="00DA7072"/>
    <w:rsid w:val="00DA71B0"/>
    <w:rsid w:val="00DA7280"/>
    <w:rsid w:val="00DA7771"/>
    <w:rsid w:val="00DB0145"/>
    <w:rsid w:val="00DB0623"/>
    <w:rsid w:val="00DB2508"/>
    <w:rsid w:val="00DB25E9"/>
    <w:rsid w:val="00DB2D11"/>
    <w:rsid w:val="00DB2D8B"/>
    <w:rsid w:val="00DB3043"/>
    <w:rsid w:val="00DB331E"/>
    <w:rsid w:val="00DB3682"/>
    <w:rsid w:val="00DB3CF5"/>
    <w:rsid w:val="00DB413B"/>
    <w:rsid w:val="00DB41DD"/>
    <w:rsid w:val="00DB4CF4"/>
    <w:rsid w:val="00DB4E18"/>
    <w:rsid w:val="00DB50A6"/>
    <w:rsid w:val="00DB5296"/>
    <w:rsid w:val="00DB5C16"/>
    <w:rsid w:val="00DB6245"/>
    <w:rsid w:val="00DB64CC"/>
    <w:rsid w:val="00DB69E3"/>
    <w:rsid w:val="00DB6EE2"/>
    <w:rsid w:val="00DB6F78"/>
    <w:rsid w:val="00DB72E6"/>
    <w:rsid w:val="00DB7AE4"/>
    <w:rsid w:val="00DC000A"/>
    <w:rsid w:val="00DC0AD9"/>
    <w:rsid w:val="00DC1077"/>
    <w:rsid w:val="00DC11DF"/>
    <w:rsid w:val="00DC1386"/>
    <w:rsid w:val="00DC21FC"/>
    <w:rsid w:val="00DC298A"/>
    <w:rsid w:val="00DC3096"/>
    <w:rsid w:val="00DC3C76"/>
    <w:rsid w:val="00DC4253"/>
    <w:rsid w:val="00DC45A2"/>
    <w:rsid w:val="00DC476C"/>
    <w:rsid w:val="00DC4CFF"/>
    <w:rsid w:val="00DC4EC3"/>
    <w:rsid w:val="00DC5145"/>
    <w:rsid w:val="00DC521F"/>
    <w:rsid w:val="00DC5C97"/>
    <w:rsid w:val="00DC5E1C"/>
    <w:rsid w:val="00DC65D4"/>
    <w:rsid w:val="00DC6A68"/>
    <w:rsid w:val="00DC6C97"/>
    <w:rsid w:val="00DC7A16"/>
    <w:rsid w:val="00DC7D93"/>
    <w:rsid w:val="00DD01EA"/>
    <w:rsid w:val="00DD01FE"/>
    <w:rsid w:val="00DD0665"/>
    <w:rsid w:val="00DD0BC5"/>
    <w:rsid w:val="00DD0CA9"/>
    <w:rsid w:val="00DD1A85"/>
    <w:rsid w:val="00DD2197"/>
    <w:rsid w:val="00DD254A"/>
    <w:rsid w:val="00DD27DD"/>
    <w:rsid w:val="00DD2894"/>
    <w:rsid w:val="00DD295E"/>
    <w:rsid w:val="00DD2D1C"/>
    <w:rsid w:val="00DD3316"/>
    <w:rsid w:val="00DD380F"/>
    <w:rsid w:val="00DD38ED"/>
    <w:rsid w:val="00DD3B97"/>
    <w:rsid w:val="00DD40B2"/>
    <w:rsid w:val="00DD481C"/>
    <w:rsid w:val="00DD5825"/>
    <w:rsid w:val="00DD63D7"/>
    <w:rsid w:val="00DD6895"/>
    <w:rsid w:val="00DD6FCC"/>
    <w:rsid w:val="00DD7210"/>
    <w:rsid w:val="00DD786D"/>
    <w:rsid w:val="00DD7C27"/>
    <w:rsid w:val="00DD7DC6"/>
    <w:rsid w:val="00DE0901"/>
    <w:rsid w:val="00DE0ABE"/>
    <w:rsid w:val="00DE0F77"/>
    <w:rsid w:val="00DE15C2"/>
    <w:rsid w:val="00DE1927"/>
    <w:rsid w:val="00DE1AD5"/>
    <w:rsid w:val="00DE21A1"/>
    <w:rsid w:val="00DE22C7"/>
    <w:rsid w:val="00DE2A57"/>
    <w:rsid w:val="00DE407D"/>
    <w:rsid w:val="00DE4508"/>
    <w:rsid w:val="00DE45AC"/>
    <w:rsid w:val="00DE4694"/>
    <w:rsid w:val="00DE4CF6"/>
    <w:rsid w:val="00DE4DA7"/>
    <w:rsid w:val="00DE58EF"/>
    <w:rsid w:val="00DE598C"/>
    <w:rsid w:val="00DE5BBF"/>
    <w:rsid w:val="00DE60DB"/>
    <w:rsid w:val="00DE6159"/>
    <w:rsid w:val="00DE6187"/>
    <w:rsid w:val="00DE66A6"/>
    <w:rsid w:val="00DE6E27"/>
    <w:rsid w:val="00DE72B1"/>
    <w:rsid w:val="00DE761A"/>
    <w:rsid w:val="00DE7862"/>
    <w:rsid w:val="00DE7AFA"/>
    <w:rsid w:val="00DE7C3B"/>
    <w:rsid w:val="00DE7C69"/>
    <w:rsid w:val="00DF01EE"/>
    <w:rsid w:val="00DF091F"/>
    <w:rsid w:val="00DF12CD"/>
    <w:rsid w:val="00DF1A01"/>
    <w:rsid w:val="00DF2334"/>
    <w:rsid w:val="00DF29F4"/>
    <w:rsid w:val="00DF2A24"/>
    <w:rsid w:val="00DF2B00"/>
    <w:rsid w:val="00DF342D"/>
    <w:rsid w:val="00DF34A2"/>
    <w:rsid w:val="00DF3658"/>
    <w:rsid w:val="00DF3DBC"/>
    <w:rsid w:val="00DF3E5F"/>
    <w:rsid w:val="00DF41AC"/>
    <w:rsid w:val="00DF479A"/>
    <w:rsid w:val="00DF4B1E"/>
    <w:rsid w:val="00DF4E87"/>
    <w:rsid w:val="00DF5335"/>
    <w:rsid w:val="00DF5C98"/>
    <w:rsid w:val="00DF5D16"/>
    <w:rsid w:val="00DF646B"/>
    <w:rsid w:val="00DF6C93"/>
    <w:rsid w:val="00DF6DA6"/>
    <w:rsid w:val="00DF6E7C"/>
    <w:rsid w:val="00DF75A3"/>
    <w:rsid w:val="00DF770E"/>
    <w:rsid w:val="00DF7A01"/>
    <w:rsid w:val="00DF7ADC"/>
    <w:rsid w:val="00E006C9"/>
    <w:rsid w:val="00E009DA"/>
    <w:rsid w:val="00E00B93"/>
    <w:rsid w:val="00E01085"/>
    <w:rsid w:val="00E01209"/>
    <w:rsid w:val="00E01707"/>
    <w:rsid w:val="00E0179E"/>
    <w:rsid w:val="00E0192E"/>
    <w:rsid w:val="00E01B75"/>
    <w:rsid w:val="00E01D3F"/>
    <w:rsid w:val="00E01DDA"/>
    <w:rsid w:val="00E02D36"/>
    <w:rsid w:val="00E032BC"/>
    <w:rsid w:val="00E03368"/>
    <w:rsid w:val="00E034A4"/>
    <w:rsid w:val="00E04240"/>
    <w:rsid w:val="00E0478E"/>
    <w:rsid w:val="00E0547F"/>
    <w:rsid w:val="00E057FC"/>
    <w:rsid w:val="00E05BDF"/>
    <w:rsid w:val="00E05D57"/>
    <w:rsid w:val="00E06554"/>
    <w:rsid w:val="00E065F6"/>
    <w:rsid w:val="00E070F1"/>
    <w:rsid w:val="00E07325"/>
    <w:rsid w:val="00E07C83"/>
    <w:rsid w:val="00E07D1C"/>
    <w:rsid w:val="00E07E0D"/>
    <w:rsid w:val="00E107EE"/>
    <w:rsid w:val="00E1098A"/>
    <w:rsid w:val="00E10C1E"/>
    <w:rsid w:val="00E10F63"/>
    <w:rsid w:val="00E10F7F"/>
    <w:rsid w:val="00E11142"/>
    <w:rsid w:val="00E1146B"/>
    <w:rsid w:val="00E119A6"/>
    <w:rsid w:val="00E12A31"/>
    <w:rsid w:val="00E12B11"/>
    <w:rsid w:val="00E12B17"/>
    <w:rsid w:val="00E12CE2"/>
    <w:rsid w:val="00E12DC5"/>
    <w:rsid w:val="00E13551"/>
    <w:rsid w:val="00E13EDD"/>
    <w:rsid w:val="00E1407A"/>
    <w:rsid w:val="00E1495C"/>
    <w:rsid w:val="00E149A6"/>
    <w:rsid w:val="00E14A79"/>
    <w:rsid w:val="00E14F22"/>
    <w:rsid w:val="00E15026"/>
    <w:rsid w:val="00E1551C"/>
    <w:rsid w:val="00E15C20"/>
    <w:rsid w:val="00E1625A"/>
    <w:rsid w:val="00E16986"/>
    <w:rsid w:val="00E16D4F"/>
    <w:rsid w:val="00E17716"/>
    <w:rsid w:val="00E177D8"/>
    <w:rsid w:val="00E17902"/>
    <w:rsid w:val="00E17992"/>
    <w:rsid w:val="00E2006A"/>
    <w:rsid w:val="00E20141"/>
    <w:rsid w:val="00E20219"/>
    <w:rsid w:val="00E2063B"/>
    <w:rsid w:val="00E20E8B"/>
    <w:rsid w:val="00E211C9"/>
    <w:rsid w:val="00E214C0"/>
    <w:rsid w:val="00E216EE"/>
    <w:rsid w:val="00E22018"/>
    <w:rsid w:val="00E22413"/>
    <w:rsid w:val="00E22DB7"/>
    <w:rsid w:val="00E22DDA"/>
    <w:rsid w:val="00E23BD6"/>
    <w:rsid w:val="00E24DB1"/>
    <w:rsid w:val="00E25141"/>
    <w:rsid w:val="00E25179"/>
    <w:rsid w:val="00E251C3"/>
    <w:rsid w:val="00E25258"/>
    <w:rsid w:val="00E253AB"/>
    <w:rsid w:val="00E2542F"/>
    <w:rsid w:val="00E2639F"/>
    <w:rsid w:val="00E26C50"/>
    <w:rsid w:val="00E26CF9"/>
    <w:rsid w:val="00E2718C"/>
    <w:rsid w:val="00E276E7"/>
    <w:rsid w:val="00E30C8D"/>
    <w:rsid w:val="00E31065"/>
    <w:rsid w:val="00E31F05"/>
    <w:rsid w:val="00E32B51"/>
    <w:rsid w:val="00E32BD3"/>
    <w:rsid w:val="00E3319D"/>
    <w:rsid w:val="00E33849"/>
    <w:rsid w:val="00E33E84"/>
    <w:rsid w:val="00E34B83"/>
    <w:rsid w:val="00E34C15"/>
    <w:rsid w:val="00E351F3"/>
    <w:rsid w:val="00E352D2"/>
    <w:rsid w:val="00E35581"/>
    <w:rsid w:val="00E35BBB"/>
    <w:rsid w:val="00E35BF5"/>
    <w:rsid w:val="00E35FD0"/>
    <w:rsid w:val="00E36775"/>
    <w:rsid w:val="00E36782"/>
    <w:rsid w:val="00E36991"/>
    <w:rsid w:val="00E36F64"/>
    <w:rsid w:val="00E370AE"/>
    <w:rsid w:val="00E37834"/>
    <w:rsid w:val="00E400A2"/>
    <w:rsid w:val="00E40961"/>
    <w:rsid w:val="00E411BE"/>
    <w:rsid w:val="00E41A68"/>
    <w:rsid w:val="00E41E0D"/>
    <w:rsid w:val="00E42E0C"/>
    <w:rsid w:val="00E42FB2"/>
    <w:rsid w:val="00E4334F"/>
    <w:rsid w:val="00E435D1"/>
    <w:rsid w:val="00E43D1E"/>
    <w:rsid w:val="00E44496"/>
    <w:rsid w:val="00E44810"/>
    <w:rsid w:val="00E4486D"/>
    <w:rsid w:val="00E4520B"/>
    <w:rsid w:val="00E4524C"/>
    <w:rsid w:val="00E456F1"/>
    <w:rsid w:val="00E45DFD"/>
    <w:rsid w:val="00E46059"/>
    <w:rsid w:val="00E4632C"/>
    <w:rsid w:val="00E46514"/>
    <w:rsid w:val="00E469A6"/>
    <w:rsid w:val="00E46B41"/>
    <w:rsid w:val="00E47AD8"/>
    <w:rsid w:val="00E50A38"/>
    <w:rsid w:val="00E50F8C"/>
    <w:rsid w:val="00E511CC"/>
    <w:rsid w:val="00E514C4"/>
    <w:rsid w:val="00E515E0"/>
    <w:rsid w:val="00E5161F"/>
    <w:rsid w:val="00E53136"/>
    <w:rsid w:val="00E536BB"/>
    <w:rsid w:val="00E53BE3"/>
    <w:rsid w:val="00E53F9C"/>
    <w:rsid w:val="00E54413"/>
    <w:rsid w:val="00E54454"/>
    <w:rsid w:val="00E54BE5"/>
    <w:rsid w:val="00E54E31"/>
    <w:rsid w:val="00E55951"/>
    <w:rsid w:val="00E55956"/>
    <w:rsid w:val="00E564AB"/>
    <w:rsid w:val="00E56826"/>
    <w:rsid w:val="00E56AC3"/>
    <w:rsid w:val="00E56E3A"/>
    <w:rsid w:val="00E5763A"/>
    <w:rsid w:val="00E576A4"/>
    <w:rsid w:val="00E579AF"/>
    <w:rsid w:val="00E605CB"/>
    <w:rsid w:val="00E60791"/>
    <w:rsid w:val="00E60826"/>
    <w:rsid w:val="00E60F94"/>
    <w:rsid w:val="00E61469"/>
    <w:rsid w:val="00E61A5C"/>
    <w:rsid w:val="00E61DAF"/>
    <w:rsid w:val="00E61EA6"/>
    <w:rsid w:val="00E62389"/>
    <w:rsid w:val="00E62F89"/>
    <w:rsid w:val="00E63397"/>
    <w:rsid w:val="00E63989"/>
    <w:rsid w:val="00E63B89"/>
    <w:rsid w:val="00E63E6A"/>
    <w:rsid w:val="00E640C4"/>
    <w:rsid w:val="00E64448"/>
    <w:rsid w:val="00E64DF7"/>
    <w:rsid w:val="00E64FE2"/>
    <w:rsid w:val="00E655F0"/>
    <w:rsid w:val="00E65A9A"/>
    <w:rsid w:val="00E667A9"/>
    <w:rsid w:val="00E66DE8"/>
    <w:rsid w:val="00E673FB"/>
    <w:rsid w:val="00E674B4"/>
    <w:rsid w:val="00E67AF6"/>
    <w:rsid w:val="00E67C47"/>
    <w:rsid w:val="00E67C4C"/>
    <w:rsid w:val="00E67FA6"/>
    <w:rsid w:val="00E700C0"/>
    <w:rsid w:val="00E703AD"/>
    <w:rsid w:val="00E70BEE"/>
    <w:rsid w:val="00E70EB9"/>
    <w:rsid w:val="00E71CB7"/>
    <w:rsid w:val="00E72199"/>
    <w:rsid w:val="00E721E9"/>
    <w:rsid w:val="00E72758"/>
    <w:rsid w:val="00E7335C"/>
    <w:rsid w:val="00E736CD"/>
    <w:rsid w:val="00E73B6F"/>
    <w:rsid w:val="00E73CB1"/>
    <w:rsid w:val="00E742A9"/>
    <w:rsid w:val="00E750E5"/>
    <w:rsid w:val="00E75463"/>
    <w:rsid w:val="00E7631F"/>
    <w:rsid w:val="00E76A63"/>
    <w:rsid w:val="00E76B67"/>
    <w:rsid w:val="00E8084B"/>
    <w:rsid w:val="00E80D62"/>
    <w:rsid w:val="00E80E31"/>
    <w:rsid w:val="00E81143"/>
    <w:rsid w:val="00E81298"/>
    <w:rsid w:val="00E8129C"/>
    <w:rsid w:val="00E81440"/>
    <w:rsid w:val="00E815CF"/>
    <w:rsid w:val="00E816EE"/>
    <w:rsid w:val="00E82249"/>
    <w:rsid w:val="00E823CE"/>
    <w:rsid w:val="00E82566"/>
    <w:rsid w:val="00E82860"/>
    <w:rsid w:val="00E82B6C"/>
    <w:rsid w:val="00E82BB9"/>
    <w:rsid w:val="00E82BDE"/>
    <w:rsid w:val="00E82DE1"/>
    <w:rsid w:val="00E82DF7"/>
    <w:rsid w:val="00E83832"/>
    <w:rsid w:val="00E839B3"/>
    <w:rsid w:val="00E842F5"/>
    <w:rsid w:val="00E8451F"/>
    <w:rsid w:val="00E8539B"/>
    <w:rsid w:val="00E859F6"/>
    <w:rsid w:val="00E85AE1"/>
    <w:rsid w:val="00E85BCE"/>
    <w:rsid w:val="00E85BE8"/>
    <w:rsid w:val="00E85E6A"/>
    <w:rsid w:val="00E86313"/>
    <w:rsid w:val="00E8643E"/>
    <w:rsid w:val="00E871B6"/>
    <w:rsid w:val="00E874AD"/>
    <w:rsid w:val="00E87849"/>
    <w:rsid w:val="00E87D23"/>
    <w:rsid w:val="00E87D43"/>
    <w:rsid w:val="00E87D8D"/>
    <w:rsid w:val="00E87DB3"/>
    <w:rsid w:val="00E9038E"/>
    <w:rsid w:val="00E90991"/>
    <w:rsid w:val="00E90E87"/>
    <w:rsid w:val="00E910F9"/>
    <w:rsid w:val="00E9113B"/>
    <w:rsid w:val="00E91302"/>
    <w:rsid w:val="00E91938"/>
    <w:rsid w:val="00E91AD2"/>
    <w:rsid w:val="00E91FB1"/>
    <w:rsid w:val="00E9272C"/>
    <w:rsid w:val="00E933A8"/>
    <w:rsid w:val="00E9377F"/>
    <w:rsid w:val="00E949AD"/>
    <w:rsid w:val="00E94DD4"/>
    <w:rsid w:val="00E9563D"/>
    <w:rsid w:val="00E95EA9"/>
    <w:rsid w:val="00E963C6"/>
    <w:rsid w:val="00E96793"/>
    <w:rsid w:val="00E96C22"/>
    <w:rsid w:val="00E97866"/>
    <w:rsid w:val="00E97873"/>
    <w:rsid w:val="00EA0739"/>
    <w:rsid w:val="00EA0D78"/>
    <w:rsid w:val="00EA10ED"/>
    <w:rsid w:val="00EA1127"/>
    <w:rsid w:val="00EA168B"/>
    <w:rsid w:val="00EA1FA4"/>
    <w:rsid w:val="00EA22CF"/>
    <w:rsid w:val="00EA22EA"/>
    <w:rsid w:val="00EA2AA6"/>
    <w:rsid w:val="00EA2C2C"/>
    <w:rsid w:val="00EA2C47"/>
    <w:rsid w:val="00EA2D6F"/>
    <w:rsid w:val="00EA2EB9"/>
    <w:rsid w:val="00EA300A"/>
    <w:rsid w:val="00EA38E2"/>
    <w:rsid w:val="00EA399C"/>
    <w:rsid w:val="00EA3D61"/>
    <w:rsid w:val="00EA3EB8"/>
    <w:rsid w:val="00EA413F"/>
    <w:rsid w:val="00EA4724"/>
    <w:rsid w:val="00EA489C"/>
    <w:rsid w:val="00EA53D9"/>
    <w:rsid w:val="00EA54AA"/>
    <w:rsid w:val="00EA5689"/>
    <w:rsid w:val="00EA5CDC"/>
    <w:rsid w:val="00EA62F2"/>
    <w:rsid w:val="00EA6C6C"/>
    <w:rsid w:val="00EA7109"/>
    <w:rsid w:val="00EA7432"/>
    <w:rsid w:val="00EA751E"/>
    <w:rsid w:val="00EA7607"/>
    <w:rsid w:val="00EA7EDE"/>
    <w:rsid w:val="00EA7FA7"/>
    <w:rsid w:val="00EB086D"/>
    <w:rsid w:val="00EB122C"/>
    <w:rsid w:val="00EB128F"/>
    <w:rsid w:val="00EB190F"/>
    <w:rsid w:val="00EB1947"/>
    <w:rsid w:val="00EB2AA0"/>
    <w:rsid w:val="00EB2ABE"/>
    <w:rsid w:val="00EB2B5B"/>
    <w:rsid w:val="00EB3118"/>
    <w:rsid w:val="00EB3593"/>
    <w:rsid w:val="00EB38C3"/>
    <w:rsid w:val="00EB4048"/>
    <w:rsid w:val="00EB4813"/>
    <w:rsid w:val="00EB49AF"/>
    <w:rsid w:val="00EB4B3B"/>
    <w:rsid w:val="00EB62B2"/>
    <w:rsid w:val="00EB6680"/>
    <w:rsid w:val="00EB691E"/>
    <w:rsid w:val="00EB695E"/>
    <w:rsid w:val="00EB6A78"/>
    <w:rsid w:val="00EB6B6A"/>
    <w:rsid w:val="00EB769A"/>
    <w:rsid w:val="00EC0274"/>
    <w:rsid w:val="00EC0422"/>
    <w:rsid w:val="00EC0A8A"/>
    <w:rsid w:val="00EC0C46"/>
    <w:rsid w:val="00EC0CEB"/>
    <w:rsid w:val="00EC0E6D"/>
    <w:rsid w:val="00EC0F92"/>
    <w:rsid w:val="00EC0FBF"/>
    <w:rsid w:val="00EC11E7"/>
    <w:rsid w:val="00EC1933"/>
    <w:rsid w:val="00EC218A"/>
    <w:rsid w:val="00EC2438"/>
    <w:rsid w:val="00EC32CE"/>
    <w:rsid w:val="00EC3487"/>
    <w:rsid w:val="00EC3885"/>
    <w:rsid w:val="00EC3B90"/>
    <w:rsid w:val="00EC4589"/>
    <w:rsid w:val="00EC4D4C"/>
    <w:rsid w:val="00EC521E"/>
    <w:rsid w:val="00EC5AC1"/>
    <w:rsid w:val="00EC5E10"/>
    <w:rsid w:val="00EC6098"/>
    <w:rsid w:val="00EC6111"/>
    <w:rsid w:val="00EC6828"/>
    <w:rsid w:val="00EC6B36"/>
    <w:rsid w:val="00EC73DE"/>
    <w:rsid w:val="00ED0584"/>
    <w:rsid w:val="00ED08AA"/>
    <w:rsid w:val="00ED0A56"/>
    <w:rsid w:val="00ED0B84"/>
    <w:rsid w:val="00ED0BEC"/>
    <w:rsid w:val="00ED0D94"/>
    <w:rsid w:val="00ED1C6E"/>
    <w:rsid w:val="00ED1F3A"/>
    <w:rsid w:val="00ED21C2"/>
    <w:rsid w:val="00ED2987"/>
    <w:rsid w:val="00ED2F11"/>
    <w:rsid w:val="00ED3118"/>
    <w:rsid w:val="00ED32C6"/>
    <w:rsid w:val="00ED35A7"/>
    <w:rsid w:val="00ED456C"/>
    <w:rsid w:val="00ED48BE"/>
    <w:rsid w:val="00ED49A1"/>
    <w:rsid w:val="00ED5832"/>
    <w:rsid w:val="00ED5CA6"/>
    <w:rsid w:val="00ED5DAA"/>
    <w:rsid w:val="00ED621F"/>
    <w:rsid w:val="00ED6F5F"/>
    <w:rsid w:val="00ED76A1"/>
    <w:rsid w:val="00EE0145"/>
    <w:rsid w:val="00EE01AB"/>
    <w:rsid w:val="00EE17A6"/>
    <w:rsid w:val="00EE1D91"/>
    <w:rsid w:val="00EE2290"/>
    <w:rsid w:val="00EE30B2"/>
    <w:rsid w:val="00EE35BA"/>
    <w:rsid w:val="00EE3789"/>
    <w:rsid w:val="00EE3B9E"/>
    <w:rsid w:val="00EE3C93"/>
    <w:rsid w:val="00EE43B1"/>
    <w:rsid w:val="00EE5090"/>
    <w:rsid w:val="00EE50E6"/>
    <w:rsid w:val="00EE5263"/>
    <w:rsid w:val="00EE5EED"/>
    <w:rsid w:val="00EE694C"/>
    <w:rsid w:val="00EE6B7D"/>
    <w:rsid w:val="00EE710D"/>
    <w:rsid w:val="00EE7746"/>
    <w:rsid w:val="00EF0C7E"/>
    <w:rsid w:val="00EF0ED9"/>
    <w:rsid w:val="00EF1661"/>
    <w:rsid w:val="00EF1ADA"/>
    <w:rsid w:val="00EF1CEF"/>
    <w:rsid w:val="00EF1D0E"/>
    <w:rsid w:val="00EF2251"/>
    <w:rsid w:val="00EF26ED"/>
    <w:rsid w:val="00EF2943"/>
    <w:rsid w:val="00EF30E5"/>
    <w:rsid w:val="00EF32D5"/>
    <w:rsid w:val="00EF343B"/>
    <w:rsid w:val="00EF344A"/>
    <w:rsid w:val="00EF3528"/>
    <w:rsid w:val="00EF3EC9"/>
    <w:rsid w:val="00EF4270"/>
    <w:rsid w:val="00EF43A9"/>
    <w:rsid w:val="00EF46AF"/>
    <w:rsid w:val="00EF4EB8"/>
    <w:rsid w:val="00EF5290"/>
    <w:rsid w:val="00EF54CB"/>
    <w:rsid w:val="00EF5ADF"/>
    <w:rsid w:val="00EF7C58"/>
    <w:rsid w:val="00F00483"/>
    <w:rsid w:val="00F004B0"/>
    <w:rsid w:val="00F00AF3"/>
    <w:rsid w:val="00F0198B"/>
    <w:rsid w:val="00F01FB2"/>
    <w:rsid w:val="00F01FD9"/>
    <w:rsid w:val="00F01FF2"/>
    <w:rsid w:val="00F02059"/>
    <w:rsid w:val="00F020A7"/>
    <w:rsid w:val="00F031E0"/>
    <w:rsid w:val="00F03726"/>
    <w:rsid w:val="00F0402A"/>
    <w:rsid w:val="00F0422F"/>
    <w:rsid w:val="00F04272"/>
    <w:rsid w:val="00F05A94"/>
    <w:rsid w:val="00F05F09"/>
    <w:rsid w:val="00F06699"/>
    <w:rsid w:val="00F066B7"/>
    <w:rsid w:val="00F06846"/>
    <w:rsid w:val="00F06DCC"/>
    <w:rsid w:val="00F06F0B"/>
    <w:rsid w:val="00F07716"/>
    <w:rsid w:val="00F10912"/>
    <w:rsid w:val="00F10A12"/>
    <w:rsid w:val="00F11298"/>
    <w:rsid w:val="00F1136A"/>
    <w:rsid w:val="00F114EA"/>
    <w:rsid w:val="00F11E15"/>
    <w:rsid w:val="00F12792"/>
    <w:rsid w:val="00F12798"/>
    <w:rsid w:val="00F12C77"/>
    <w:rsid w:val="00F13069"/>
    <w:rsid w:val="00F13910"/>
    <w:rsid w:val="00F14212"/>
    <w:rsid w:val="00F1429E"/>
    <w:rsid w:val="00F14715"/>
    <w:rsid w:val="00F14AC9"/>
    <w:rsid w:val="00F14D57"/>
    <w:rsid w:val="00F1523F"/>
    <w:rsid w:val="00F1557B"/>
    <w:rsid w:val="00F1593F"/>
    <w:rsid w:val="00F15966"/>
    <w:rsid w:val="00F15D60"/>
    <w:rsid w:val="00F15F28"/>
    <w:rsid w:val="00F16018"/>
    <w:rsid w:val="00F161B3"/>
    <w:rsid w:val="00F16B34"/>
    <w:rsid w:val="00F16F33"/>
    <w:rsid w:val="00F170A4"/>
    <w:rsid w:val="00F17527"/>
    <w:rsid w:val="00F17AA9"/>
    <w:rsid w:val="00F20094"/>
    <w:rsid w:val="00F205CD"/>
    <w:rsid w:val="00F20660"/>
    <w:rsid w:val="00F20C0E"/>
    <w:rsid w:val="00F217B8"/>
    <w:rsid w:val="00F21C74"/>
    <w:rsid w:val="00F21D91"/>
    <w:rsid w:val="00F220F4"/>
    <w:rsid w:val="00F2325E"/>
    <w:rsid w:val="00F2344C"/>
    <w:rsid w:val="00F238F2"/>
    <w:rsid w:val="00F238FE"/>
    <w:rsid w:val="00F239FE"/>
    <w:rsid w:val="00F23D2F"/>
    <w:rsid w:val="00F23D5F"/>
    <w:rsid w:val="00F23D8F"/>
    <w:rsid w:val="00F24C65"/>
    <w:rsid w:val="00F24DCB"/>
    <w:rsid w:val="00F24E98"/>
    <w:rsid w:val="00F24F1F"/>
    <w:rsid w:val="00F252BC"/>
    <w:rsid w:val="00F256C8"/>
    <w:rsid w:val="00F25A7C"/>
    <w:rsid w:val="00F25BA8"/>
    <w:rsid w:val="00F25F77"/>
    <w:rsid w:val="00F26246"/>
    <w:rsid w:val="00F26A44"/>
    <w:rsid w:val="00F27104"/>
    <w:rsid w:val="00F27922"/>
    <w:rsid w:val="00F307A3"/>
    <w:rsid w:val="00F30B01"/>
    <w:rsid w:val="00F3131E"/>
    <w:rsid w:val="00F31E2D"/>
    <w:rsid w:val="00F32423"/>
    <w:rsid w:val="00F33172"/>
    <w:rsid w:val="00F332DF"/>
    <w:rsid w:val="00F33340"/>
    <w:rsid w:val="00F333FC"/>
    <w:rsid w:val="00F335C6"/>
    <w:rsid w:val="00F3388F"/>
    <w:rsid w:val="00F34B6D"/>
    <w:rsid w:val="00F34B80"/>
    <w:rsid w:val="00F34E79"/>
    <w:rsid w:val="00F34EAC"/>
    <w:rsid w:val="00F35C91"/>
    <w:rsid w:val="00F35DC8"/>
    <w:rsid w:val="00F36402"/>
    <w:rsid w:val="00F36DDE"/>
    <w:rsid w:val="00F36EE4"/>
    <w:rsid w:val="00F372FF"/>
    <w:rsid w:val="00F376C8"/>
    <w:rsid w:val="00F412B6"/>
    <w:rsid w:val="00F41582"/>
    <w:rsid w:val="00F42A02"/>
    <w:rsid w:val="00F42D2F"/>
    <w:rsid w:val="00F433C8"/>
    <w:rsid w:val="00F43405"/>
    <w:rsid w:val="00F43EC4"/>
    <w:rsid w:val="00F44519"/>
    <w:rsid w:val="00F44C95"/>
    <w:rsid w:val="00F44D46"/>
    <w:rsid w:val="00F4593A"/>
    <w:rsid w:val="00F45BA0"/>
    <w:rsid w:val="00F462D1"/>
    <w:rsid w:val="00F46570"/>
    <w:rsid w:val="00F46A9B"/>
    <w:rsid w:val="00F46C8D"/>
    <w:rsid w:val="00F46FC1"/>
    <w:rsid w:val="00F47080"/>
    <w:rsid w:val="00F47C87"/>
    <w:rsid w:val="00F500D6"/>
    <w:rsid w:val="00F50151"/>
    <w:rsid w:val="00F50304"/>
    <w:rsid w:val="00F50CF3"/>
    <w:rsid w:val="00F514A3"/>
    <w:rsid w:val="00F5199F"/>
    <w:rsid w:val="00F519EE"/>
    <w:rsid w:val="00F51FCD"/>
    <w:rsid w:val="00F52038"/>
    <w:rsid w:val="00F5271F"/>
    <w:rsid w:val="00F5289E"/>
    <w:rsid w:val="00F52BEE"/>
    <w:rsid w:val="00F52F42"/>
    <w:rsid w:val="00F54377"/>
    <w:rsid w:val="00F546C5"/>
    <w:rsid w:val="00F5537D"/>
    <w:rsid w:val="00F556BC"/>
    <w:rsid w:val="00F557EC"/>
    <w:rsid w:val="00F55B1C"/>
    <w:rsid w:val="00F5711D"/>
    <w:rsid w:val="00F57D13"/>
    <w:rsid w:val="00F60655"/>
    <w:rsid w:val="00F60A77"/>
    <w:rsid w:val="00F60C3E"/>
    <w:rsid w:val="00F60E97"/>
    <w:rsid w:val="00F61286"/>
    <w:rsid w:val="00F61F3E"/>
    <w:rsid w:val="00F625B2"/>
    <w:rsid w:val="00F62C4E"/>
    <w:rsid w:val="00F63872"/>
    <w:rsid w:val="00F641AC"/>
    <w:rsid w:val="00F64614"/>
    <w:rsid w:val="00F64B0C"/>
    <w:rsid w:val="00F64D1B"/>
    <w:rsid w:val="00F65220"/>
    <w:rsid w:val="00F65E1F"/>
    <w:rsid w:val="00F6611B"/>
    <w:rsid w:val="00F663CF"/>
    <w:rsid w:val="00F66519"/>
    <w:rsid w:val="00F66811"/>
    <w:rsid w:val="00F67520"/>
    <w:rsid w:val="00F6785E"/>
    <w:rsid w:val="00F67BAF"/>
    <w:rsid w:val="00F700AA"/>
    <w:rsid w:val="00F7028B"/>
    <w:rsid w:val="00F7046C"/>
    <w:rsid w:val="00F70902"/>
    <w:rsid w:val="00F70B51"/>
    <w:rsid w:val="00F715E7"/>
    <w:rsid w:val="00F71C0E"/>
    <w:rsid w:val="00F71D8C"/>
    <w:rsid w:val="00F72714"/>
    <w:rsid w:val="00F72DA7"/>
    <w:rsid w:val="00F73020"/>
    <w:rsid w:val="00F732E5"/>
    <w:rsid w:val="00F736CD"/>
    <w:rsid w:val="00F73C99"/>
    <w:rsid w:val="00F73CED"/>
    <w:rsid w:val="00F745B6"/>
    <w:rsid w:val="00F7488B"/>
    <w:rsid w:val="00F748EB"/>
    <w:rsid w:val="00F74E7D"/>
    <w:rsid w:val="00F750C2"/>
    <w:rsid w:val="00F755B5"/>
    <w:rsid w:val="00F756D5"/>
    <w:rsid w:val="00F763E7"/>
    <w:rsid w:val="00F76FD4"/>
    <w:rsid w:val="00F771B5"/>
    <w:rsid w:val="00F77632"/>
    <w:rsid w:val="00F77E2E"/>
    <w:rsid w:val="00F800C7"/>
    <w:rsid w:val="00F80187"/>
    <w:rsid w:val="00F8038A"/>
    <w:rsid w:val="00F80878"/>
    <w:rsid w:val="00F81B8E"/>
    <w:rsid w:val="00F81DCC"/>
    <w:rsid w:val="00F82251"/>
    <w:rsid w:val="00F828BE"/>
    <w:rsid w:val="00F82D93"/>
    <w:rsid w:val="00F82E2E"/>
    <w:rsid w:val="00F83004"/>
    <w:rsid w:val="00F830C1"/>
    <w:rsid w:val="00F8374B"/>
    <w:rsid w:val="00F84253"/>
    <w:rsid w:val="00F8446F"/>
    <w:rsid w:val="00F848F0"/>
    <w:rsid w:val="00F84CA8"/>
    <w:rsid w:val="00F84CF8"/>
    <w:rsid w:val="00F860B4"/>
    <w:rsid w:val="00F86378"/>
    <w:rsid w:val="00F86399"/>
    <w:rsid w:val="00F864B9"/>
    <w:rsid w:val="00F869CC"/>
    <w:rsid w:val="00F87596"/>
    <w:rsid w:val="00F87CC0"/>
    <w:rsid w:val="00F903C0"/>
    <w:rsid w:val="00F90672"/>
    <w:rsid w:val="00F9069F"/>
    <w:rsid w:val="00F91480"/>
    <w:rsid w:val="00F91927"/>
    <w:rsid w:val="00F91C43"/>
    <w:rsid w:val="00F91FEC"/>
    <w:rsid w:val="00F92DFE"/>
    <w:rsid w:val="00F93F5A"/>
    <w:rsid w:val="00F94088"/>
    <w:rsid w:val="00F943CF"/>
    <w:rsid w:val="00F94C05"/>
    <w:rsid w:val="00F94D2E"/>
    <w:rsid w:val="00F957C2"/>
    <w:rsid w:val="00F95EF0"/>
    <w:rsid w:val="00F963C6"/>
    <w:rsid w:val="00F96776"/>
    <w:rsid w:val="00F969E9"/>
    <w:rsid w:val="00F96C8B"/>
    <w:rsid w:val="00F9739A"/>
    <w:rsid w:val="00F97567"/>
    <w:rsid w:val="00FA0C0D"/>
    <w:rsid w:val="00FA0DA5"/>
    <w:rsid w:val="00FA0F33"/>
    <w:rsid w:val="00FA1523"/>
    <w:rsid w:val="00FA18E2"/>
    <w:rsid w:val="00FA1B8F"/>
    <w:rsid w:val="00FA22B6"/>
    <w:rsid w:val="00FA2535"/>
    <w:rsid w:val="00FA39EA"/>
    <w:rsid w:val="00FA3B40"/>
    <w:rsid w:val="00FA3CBD"/>
    <w:rsid w:val="00FA4A6B"/>
    <w:rsid w:val="00FA4C0B"/>
    <w:rsid w:val="00FA6629"/>
    <w:rsid w:val="00FA670C"/>
    <w:rsid w:val="00FA683F"/>
    <w:rsid w:val="00FA6F1C"/>
    <w:rsid w:val="00FA71D8"/>
    <w:rsid w:val="00FA769B"/>
    <w:rsid w:val="00FB096A"/>
    <w:rsid w:val="00FB0ED5"/>
    <w:rsid w:val="00FB1082"/>
    <w:rsid w:val="00FB1DA8"/>
    <w:rsid w:val="00FB2403"/>
    <w:rsid w:val="00FB247F"/>
    <w:rsid w:val="00FB3503"/>
    <w:rsid w:val="00FB3CCD"/>
    <w:rsid w:val="00FB4046"/>
    <w:rsid w:val="00FB4297"/>
    <w:rsid w:val="00FB42CA"/>
    <w:rsid w:val="00FB43E5"/>
    <w:rsid w:val="00FB4A4D"/>
    <w:rsid w:val="00FB4E78"/>
    <w:rsid w:val="00FB5AD0"/>
    <w:rsid w:val="00FB6BD0"/>
    <w:rsid w:val="00FB7E28"/>
    <w:rsid w:val="00FC0284"/>
    <w:rsid w:val="00FC051A"/>
    <w:rsid w:val="00FC0571"/>
    <w:rsid w:val="00FC0A02"/>
    <w:rsid w:val="00FC1C84"/>
    <w:rsid w:val="00FC1E16"/>
    <w:rsid w:val="00FC240C"/>
    <w:rsid w:val="00FC269A"/>
    <w:rsid w:val="00FC28EE"/>
    <w:rsid w:val="00FC29AC"/>
    <w:rsid w:val="00FC3461"/>
    <w:rsid w:val="00FC3EE1"/>
    <w:rsid w:val="00FC47A7"/>
    <w:rsid w:val="00FC4B5C"/>
    <w:rsid w:val="00FC4BB0"/>
    <w:rsid w:val="00FC4BBC"/>
    <w:rsid w:val="00FC5329"/>
    <w:rsid w:val="00FC54D4"/>
    <w:rsid w:val="00FC5CB4"/>
    <w:rsid w:val="00FC6203"/>
    <w:rsid w:val="00FC6525"/>
    <w:rsid w:val="00FC6CDC"/>
    <w:rsid w:val="00FC7250"/>
    <w:rsid w:val="00FC76B2"/>
    <w:rsid w:val="00FC7AF7"/>
    <w:rsid w:val="00FC7BFF"/>
    <w:rsid w:val="00FC7C99"/>
    <w:rsid w:val="00FC7E63"/>
    <w:rsid w:val="00FD0B0E"/>
    <w:rsid w:val="00FD1B16"/>
    <w:rsid w:val="00FD1BF4"/>
    <w:rsid w:val="00FD1CEC"/>
    <w:rsid w:val="00FD2000"/>
    <w:rsid w:val="00FD216A"/>
    <w:rsid w:val="00FD22F4"/>
    <w:rsid w:val="00FD242B"/>
    <w:rsid w:val="00FD2E92"/>
    <w:rsid w:val="00FD308D"/>
    <w:rsid w:val="00FD33DB"/>
    <w:rsid w:val="00FD3897"/>
    <w:rsid w:val="00FD3E57"/>
    <w:rsid w:val="00FD41CC"/>
    <w:rsid w:val="00FD459B"/>
    <w:rsid w:val="00FD477A"/>
    <w:rsid w:val="00FD490F"/>
    <w:rsid w:val="00FD5A53"/>
    <w:rsid w:val="00FD64A6"/>
    <w:rsid w:val="00FD6D45"/>
    <w:rsid w:val="00FD6DAB"/>
    <w:rsid w:val="00FD7B39"/>
    <w:rsid w:val="00FD7EEA"/>
    <w:rsid w:val="00FE0533"/>
    <w:rsid w:val="00FE06B3"/>
    <w:rsid w:val="00FE0932"/>
    <w:rsid w:val="00FE0A63"/>
    <w:rsid w:val="00FE0F87"/>
    <w:rsid w:val="00FE14CD"/>
    <w:rsid w:val="00FE20FC"/>
    <w:rsid w:val="00FE2441"/>
    <w:rsid w:val="00FE256C"/>
    <w:rsid w:val="00FE27D4"/>
    <w:rsid w:val="00FE2B2D"/>
    <w:rsid w:val="00FE38E8"/>
    <w:rsid w:val="00FE39D8"/>
    <w:rsid w:val="00FE4E7B"/>
    <w:rsid w:val="00FE4E9F"/>
    <w:rsid w:val="00FE55C0"/>
    <w:rsid w:val="00FE5644"/>
    <w:rsid w:val="00FE577E"/>
    <w:rsid w:val="00FE5821"/>
    <w:rsid w:val="00FE616A"/>
    <w:rsid w:val="00FE64D9"/>
    <w:rsid w:val="00FE6CCB"/>
    <w:rsid w:val="00FE7E65"/>
    <w:rsid w:val="00FF0080"/>
    <w:rsid w:val="00FF0BCB"/>
    <w:rsid w:val="00FF0C65"/>
    <w:rsid w:val="00FF21F0"/>
    <w:rsid w:val="00FF24FB"/>
    <w:rsid w:val="00FF2667"/>
    <w:rsid w:val="00FF3060"/>
    <w:rsid w:val="00FF3099"/>
    <w:rsid w:val="00FF3599"/>
    <w:rsid w:val="00FF3BEF"/>
    <w:rsid w:val="00FF3D02"/>
    <w:rsid w:val="00FF3DF0"/>
    <w:rsid w:val="00FF4100"/>
    <w:rsid w:val="00FF43EE"/>
    <w:rsid w:val="00FF4667"/>
    <w:rsid w:val="00FF4A9F"/>
    <w:rsid w:val="00FF4F5D"/>
    <w:rsid w:val="00FF5118"/>
    <w:rsid w:val="00FF565F"/>
    <w:rsid w:val="00FF5A25"/>
    <w:rsid w:val="00FF5FDE"/>
    <w:rsid w:val="00FF64AE"/>
    <w:rsid w:val="00FF67CA"/>
    <w:rsid w:val="00FF68C7"/>
    <w:rsid w:val="00FF7770"/>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DD62"/>
  <w15:docId w15:val="{FFBBB5DF-A0B4-446C-B266-12C269D1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29B"/>
    <w:rPr>
      <w:rFonts w:ascii="Arial" w:hAnsi="Arial"/>
      <w:sz w:val="24"/>
      <w:lang w:eastAsia="en-US"/>
    </w:rPr>
  </w:style>
  <w:style w:type="paragraph" w:styleId="Heading1">
    <w:name w:val="heading 1"/>
    <w:aliases w:val="RR level 1"/>
    <w:basedOn w:val="Normal"/>
    <w:next w:val="Normal"/>
    <w:link w:val="Heading1Char"/>
    <w:qFormat/>
    <w:pPr>
      <w:keepNext/>
      <w:outlineLvl w:val="0"/>
    </w:pPr>
    <w:rPr>
      <w:b/>
    </w:rPr>
  </w:style>
  <w:style w:type="paragraph" w:styleId="Heading2">
    <w:name w:val="heading 2"/>
    <w:basedOn w:val="Normal"/>
    <w:next w:val="Normal"/>
    <w:qFormat/>
    <w:pPr>
      <w:keepNext/>
      <w:ind w:right="-331"/>
      <w:jc w:val="center"/>
      <w:outlineLvl w:val="1"/>
    </w:pPr>
    <w:rPr>
      <w:b/>
      <w:sz w:val="28"/>
    </w:rPr>
  </w:style>
  <w:style w:type="paragraph" w:styleId="Heading3">
    <w:name w:val="heading 3"/>
    <w:basedOn w:val="Normal"/>
    <w:next w:val="Normal"/>
    <w:qFormat/>
    <w:pPr>
      <w:keepNext/>
      <w:ind w:right="-331"/>
      <w:outlineLvl w:val="2"/>
    </w:pPr>
    <w:rPr>
      <w:b/>
    </w:rPr>
  </w:style>
  <w:style w:type="paragraph" w:styleId="Heading4">
    <w:name w:val="heading 4"/>
    <w:basedOn w:val="Normal"/>
    <w:next w:val="Normal"/>
    <w:qFormat/>
    <w:pPr>
      <w:keepNext/>
      <w:spacing w:after="120"/>
      <w:outlineLvl w:val="3"/>
    </w:pPr>
    <w:rPr>
      <w:b/>
      <w:sz w:val="1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tabs>
        <w:tab w:val="left" w:pos="720"/>
        <w:tab w:val="left" w:pos="1422"/>
        <w:tab w:val="right" w:pos="7920"/>
      </w:tabs>
      <w:ind w:left="1422"/>
      <w:outlineLvl w:val="6"/>
    </w:pPr>
    <w:rPr>
      <w:b/>
    </w:rPr>
  </w:style>
  <w:style w:type="paragraph" w:styleId="Heading8">
    <w:name w:val="heading 8"/>
    <w:basedOn w:val="Normal"/>
    <w:next w:val="Normal"/>
    <w:qFormat/>
    <w:pPr>
      <w:keepNext/>
      <w:jc w:val="center"/>
      <w:outlineLvl w:val="7"/>
    </w:pPr>
    <w:rPr>
      <w:sz w:val="18"/>
      <w:u w:val="single"/>
    </w:rPr>
  </w:style>
  <w:style w:type="paragraph" w:styleId="Heading9">
    <w:name w:val="heading 9"/>
    <w:basedOn w:val="Normal"/>
    <w:next w:val="Normal"/>
    <w:qFormat/>
    <w:pPr>
      <w:keepNext/>
      <w:jc w:val="center"/>
      <w:outlineLvl w:val="8"/>
    </w:pPr>
    <w:rPr>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lang w:val="en-US"/>
    </w:rPr>
  </w:style>
  <w:style w:type="paragraph" w:styleId="BodyTextIndent2">
    <w:name w:val="Body Text Indent 2"/>
    <w:basedOn w:val="Normal"/>
    <w:pPr>
      <w:ind w:left="720" w:hanging="720"/>
    </w:pPr>
  </w:style>
  <w:style w:type="paragraph" w:styleId="BlockText">
    <w:name w:val="Block Text"/>
    <w:basedOn w:val="Normal"/>
    <w:pPr>
      <w:ind w:left="720" w:right="-331"/>
    </w:pPr>
  </w:style>
  <w:style w:type="paragraph" w:styleId="BodyText">
    <w:name w:val="Body Text"/>
    <w:basedOn w:val="Normal"/>
    <w:pPr>
      <w:spacing w:after="240"/>
      <w:jc w:val="center"/>
    </w:pPr>
    <w:rPr>
      <w:sz w:val="20"/>
    </w:rPr>
  </w:style>
  <w:style w:type="paragraph" w:styleId="BodyTextIndent3">
    <w:name w:val="Body Text Indent 3"/>
    <w:basedOn w:val="Normal"/>
    <w:pPr>
      <w:spacing w:after="240"/>
      <w:ind w:left="1440"/>
    </w:pPr>
  </w:style>
  <w:style w:type="paragraph" w:styleId="Caption">
    <w:name w:val="caption"/>
    <w:basedOn w:val="Normal"/>
    <w:next w:val="Normal"/>
    <w:qFormat/>
    <w:pPr>
      <w:jc w:val="center"/>
    </w:pPr>
    <w:rPr>
      <w:b/>
      <w:sz w:val="28"/>
    </w:rPr>
  </w:style>
  <w:style w:type="paragraph" w:styleId="BodyText2">
    <w:name w:val="Body Text 2"/>
    <w:basedOn w:val="Normal"/>
    <w:rPr>
      <w:color w:val="FF000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32"/>
    </w:rPr>
  </w:style>
  <w:style w:type="paragraph" w:customStyle="1" w:styleId="Bodyindent">
    <w:name w:val="Body indent"/>
    <w:basedOn w:val="Normal"/>
    <w:pPr>
      <w:widowControl w:val="0"/>
      <w:spacing w:before="140" w:line="290" w:lineRule="atLeast"/>
      <w:ind w:left="680"/>
    </w:pPr>
    <w:rPr>
      <w:rFonts w:ascii="Sabon" w:hAnsi="Sabon"/>
      <w:color w:val="000000"/>
      <w:sz w:val="21"/>
      <w:lang w:val="en-US"/>
    </w:rPr>
  </w:style>
  <w:style w:type="paragraph" w:customStyle="1" w:styleId="Bullets">
    <w:name w:val="Bullets"/>
    <w:basedOn w:val="Normal"/>
    <w:pPr>
      <w:numPr>
        <w:numId w:val="1"/>
      </w:numPr>
      <w:tabs>
        <w:tab w:val="left" w:pos="3062"/>
      </w:tabs>
      <w:spacing w:before="30" w:line="264" w:lineRule="auto"/>
    </w:pPr>
    <w:rPr>
      <w:rFonts w:ascii="Times" w:hAnsi="Times"/>
      <w:sz w:val="21"/>
    </w:rPr>
  </w:style>
  <w:style w:type="paragraph" w:customStyle="1" w:styleId="Body">
    <w:name w:val="Body"/>
    <w:basedOn w:val="Normal"/>
    <w:pPr>
      <w:widowControl w:val="0"/>
      <w:spacing w:before="140" w:line="290" w:lineRule="atLeast"/>
      <w:ind w:left="680" w:hanging="454"/>
    </w:pPr>
    <w:rPr>
      <w:rFonts w:ascii="Sabon" w:hAnsi="Sabon"/>
      <w:color w:val="000000"/>
      <w:sz w:val="21"/>
      <w:lang w:val="en-US"/>
    </w:rPr>
  </w:style>
  <w:style w:type="paragraph" w:customStyle="1" w:styleId="BodyText1">
    <w:name w:val="Body Text1"/>
    <w:basedOn w:val="Normal"/>
    <w:link w:val="BodytextChar"/>
    <w:pPr>
      <w:spacing w:before="140" w:after="140"/>
      <w:ind w:left="397"/>
    </w:pPr>
  </w:style>
  <w:style w:type="character" w:customStyle="1" w:styleId="Bodytextemphasised">
    <w:name w:val="Body text (emphasised)"/>
    <w:rPr>
      <w:rFonts w:ascii="Arial" w:hAnsi="Arial"/>
      <w:b/>
      <w:noProof w:val="0"/>
      <w:sz w:val="24"/>
      <w:szCs w:val="24"/>
      <w:lang w:val="en-GB" w:eastAsia="en-GB" w:bidi="ar-SA"/>
    </w:rPr>
  </w:style>
  <w:style w:type="paragraph" w:customStyle="1" w:styleId="Bodytextnumbered">
    <w:name w:val="Body text (numbered)"/>
    <w:basedOn w:val="BodyText1"/>
    <w:pPr>
      <w:numPr>
        <w:numId w:val="2"/>
      </w:numPr>
    </w:pPr>
  </w:style>
  <w:style w:type="paragraph" w:customStyle="1" w:styleId="Bullet1">
    <w:name w:val="Bullet 1"/>
    <w:basedOn w:val="Normal"/>
    <w:link w:val="Bullet1CharChar"/>
    <w:pPr>
      <w:numPr>
        <w:numId w:val="3"/>
      </w:numPr>
      <w:spacing w:before="100"/>
    </w:pPr>
  </w:style>
  <w:style w:type="paragraph" w:styleId="BalloonText">
    <w:name w:val="Balloon Text"/>
    <w:basedOn w:val="Normal"/>
    <w:rPr>
      <w:rFonts w:ascii="Tahoma" w:hAnsi="Tahoma"/>
      <w:sz w:val="16"/>
    </w:rPr>
  </w:style>
  <w:style w:type="paragraph" w:styleId="CommentSubject">
    <w:name w:val="annotation subject"/>
    <w:basedOn w:val="CommentText"/>
    <w:next w:val="CommentText"/>
    <w:rPr>
      <w:rFonts w:ascii="Times New Roman" w:hAnsi="Times New Roman"/>
      <w:b/>
    </w:rPr>
  </w:style>
  <w:style w:type="paragraph" w:styleId="CommentText">
    <w:name w:val="annotation text"/>
    <w:basedOn w:val="Normal"/>
    <w:link w:val="CommentTextChar"/>
    <w:uiPriority w:val="99"/>
    <w:semiHidden/>
    <w:rPr>
      <w:sz w:val="20"/>
    </w:rPr>
  </w:style>
  <w:style w:type="paragraph" w:styleId="NormalWeb">
    <w:name w:val="Normal (Web)"/>
    <w:basedOn w:val="Normal"/>
    <w:uiPriority w:val="99"/>
    <w:pPr>
      <w:spacing w:before="100" w:after="100"/>
    </w:pPr>
    <w:rPr>
      <w:rFonts w:ascii="Times New Roman" w:hAnsi="Times New Roman"/>
    </w:rPr>
  </w:style>
  <w:style w:type="paragraph" w:customStyle="1" w:styleId="ReportHeading">
    <w:name w:val="Report Heading"/>
    <w:basedOn w:val="Normal"/>
    <w:rsid w:val="005B07C9"/>
    <w:pPr>
      <w:overflowPunct w:val="0"/>
      <w:autoSpaceDE w:val="0"/>
      <w:autoSpaceDN w:val="0"/>
      <w:adjustRightInd w:val="0"/>
      <w:jc w:val="center"/>
      <w:textAlignment w:val="baseline"/>
    </w:pPr>
    <w:rPr>
      <w:b/>
      <w:color w:val="000000"/>
      <w:u w:val="single"/>
      <w:lang w:val="en-US"/>
    </w:rPr>
  </w:style>
  <w:style w:type="table" w:styleId="TableGrid">
    <w:name w:val="Table Grid"/>
    <w:basedOn w:val="TableNormal"/>
    <w:rsid w:val="00AF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Char">
    <w:name w:val="Bullet 1 Char Char"/>
    <w:link w:val="Bullet1"/>
    <w:rsid w:val="00462F54"/>
    <w:rPr>
      <w:rFonts w:ascii="Arial" w:hAnsi="Arial"/>
      <w:sz w:val="24"/>
      <w:lang w:eastAsia="en-US"/>
    </w:rPr>
  </w:style>
  <w:style w:type="character" w:styleId="Hyperlink">
    <w:name w:val="Hyperlink"/>
    <w:uiPriority w:val="99"/>
    <w:rsid w:val="00D0270D"/>
    <w:rPr>
      <w:color w:val="0000FF"/>
      <w:u w:val="single"/>
    </w:rPr>
  </w:style>
  <w:style w:type="table" w:styleId="TableGrid8">
    <w:name w:val="Table Grid 8"/>
    <w:basedOn w:val="TableNormal"/>
    <w:rsid w:val="00B404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
    <w:name w:val="Body text Char"/>
    <w:link w:val="BodyText1"/>
    <w:rsid w:val="006F63AC"/>
    <w:rPr>
      <w:rFonts w:ascii="Arial" w:hAnsi="Arial"/>
      <w:sz w:val="24"/>
      <w:lang w:val="en-GB" w:eastAsia="en-US" w:bidi="ar-SA"/>
    </w:rPr>
  </w:style>
  <w:style w:type="character" w:styleId="Strong">
    <w:name w:val="Strong"/>
    <w:qFormat/>
    <w:rsid w:val="008C5921"/>
    <w:rPr>
      <w:rFonts w:cs="Times New Roman"/>
      <w:b/>
      <w:bCs/>
    </w:rPr>
  </w:style>
  <w:style w:type="paragraph" w:customStyle="1" w:styleId="00-Normal-BB">
    <w:name w:val="00-Normal-BB"/>
    <w:rsid w:val="008C5921"/>
    <w:pPr>
      <w:jc w:val="both"/>
    </w:pPr>
    <w:rPr>
      <w:rFonts w:ascii="Arial" w:eastAsia="Calibri" w:hAnsi="Arial"/>
      <w:sz w:val="22"/>
      <w:lang w:eastAsia="en-US"/>
    </w:rPr>
  </w:style>
  <w:style w:type="paragraph" w:customStyle="1" w:styleId="01-NormInd1-BB">
    <w:name w:val="01-NormInd1-BB"/>
    <w:basedOn w:val="00-Normal-BB"/>
    <w:rsid w:val="008C5921"/>
    <w:pPr>
      <w:ind w:left="720"/>
    </w:pPr>
  </w:style>
  <w:style w:type="table" w:styleId="TableProfessional">
    <w:name w:val="Table Professional"/>
    <w:basedOn w:val="TableNormal"/>
    <w:rsid w:val="009C69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nlinenormal">
    <w:name w:val="inlinenormal"/>
    <w:basedOn w:val="Normal"/>
    <w:rsid w:val="00935F51"/>
    <w:pPr>
      <w:autoSpaceDN w:val="0"/>
      <w:spacing w:before="120" w:after="60" w:line="264" w:lineRule="auto"/>
    </w:pPr>
    <w:rPr>
      <w:rFonts w:cs="Arial"/>
      <w:szCs w:val="24"/>
      <w:lang w:eastAsia="en-GB"/>
    </w:rPr>
  </w:style>
  <w:style w:type="character" w:styleId="Emphasis">
    <w:name w:val="Emphasis"/>
    <w:uiPriority w:val="20"/>
    <w:qFormat/>
    <w:rsid w:val="00935F51"/>
    <w:rPr>
      <w:i/>
      <w:iCs/>
    </w:rPr>
  </w:style>
  <w:style w:type="character" w:styleId="FollowedHyperlink">
    <w:name w:val="FollowedHyperlink"/>
    <w:rsid w:val="0035771D"/>
    <w:rPr>
      <w:color w:val="800080"/>
      <w:u w:val="single"/>
    </w:rPr>
  </w:style>
  <w:style w:type="character" w:customStyle="1" w:styleId="FooterChar">
    <w:name w:val="Footer Char"/>
    <w:link w:val="Footer"/>
    <w:locked/>
    <w:rsid w:val="00F96776"/>
    <w:rPr>
      <w:rFonts w:ascii="Arial" w:hAnsi="Arial"/>
      <w:sz w:val="24"/>
      <w:lang w:val="en-GB" w:eastAsia="en-US" w:bidi="ar-SA"/>
    </w:rPr>
  </w:style>
  <w:style w:type="paragraph" w:styleId="ListParagraph">
    <w:name w:val="List Paragraph"/>
    <w:basedOn w:val="Normal"/>
    <w:link w:val="ListParagraphChar"/>
    <w:uiPriority w:val="34"/>
    <w:qFormat/>
    <w:rsid w:val="00F96776"/>
    <w:pPr>
      <w:ind w:left="720"/>
      <w:contextualSpacing/>
    </w:pPr>
    <w:rPr>
      <w:rFonts w:eastAsia="Calibri"/>
    </w:rPr>
  </w:style>
  <w:style w:type="paragraph" w:styleId="NoSpacing">
    <w:name w:val="No Spacing"/>
    <w:uiPriority w:val="1"/>
    <w:qFormat/>
    <w:rsid w:val="0008007D"/>
    <w:rPr>
      <w:rFonts w:ascii="Arial" w:hAnsi="Arial"/>
      <w:sz w:val="24"/>
      <w:lang w:eastAsia="en-US"/>
    </w:rPr>
  </w:style>
  <w:style w:type="character" w:customStyle="1" w:styleId="Heading1Char">
    <w:name w:val="Heading 1 Char"/>
    <w:aliases w:val="RR level 1 Char"/>
    <w:basedOn w:val="DefaultParagraphFont"/>
    <w:link w:val="Heading1"/>
    <w:rsid w:val="00E07E0D"/>
    <w:rPr>
      <w:rFonts w:ascii="Arial" w:hAnsi="Arial"/>
      <w:b/>
      <w:sz w:val="24"/>
      <w:lang w:eastAsia="en-US"/>
    </w:rPr>
  </w:style>
  <w:style w:type="character" w:styleId="CommentReference">
    <w:name w:val="annotation reference"/>
    <w:basedOn w:val="DefaultParagraphFont"/>
    <w:uiPriority w:val="99"/>
    <w:rsid w:val="006B4BE1"/>
    <w:rPr>
      <w:sz w:val="16"/>
      <w:szCs w:val="16"/>
    </w:rPr>
  </w:style>
  <w:style w:type="paragraph" w:styleId="Revision">
    <w:name w:val="Revision"/>
    <w:hidden/>
    <w:uiPriority w:val="99"/>
    <w:semiHidden/>
    <w:rsid w:val="00F27922"/>
    <w:rPr>
      <w:rFonts w:ascii="Arial" w:hAnsi="Arial"/>
      <w:sz w:val="24"/>
      <w:lang w:eastAsia="en-US"/>
    </w:rPr>
  </w:style>
  <w:style w:type="paragraph" w:customStyle="1" w:styleId="Default">
    <w:name w:val="Default"/>
    <w:rsid w:val="00BD0E3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EF26ED"/>
    <w:rPr>
      <w:rFonts w:ascii="Arial" w:hAnsi="Arial"/>
      <w:lang w:eastAsia="en-US"/>
    </w:rPr>
  </w:style>
  <w:style w:type="paragraph" w:styleId="ListBullet">
    <w:name w:val="List Bullet"/>
    <w:basedOn w:val="Normal"/>
    <w:uiPriority w:val="1"/>
    <w:unhideWhenUsed/>
    <w:qFormat/>
    <w:rsid w:val="005E2D14"/>
    <w:pPr>
      <w:numPr>
        <w:numId w:val="39"/>
      </w:numPr>
      <w:spacing w:after="120" w:line="240" w:lineRule="atLeast"/>
    </w:pPr>
    <w:rPr>
      <w:rFonts w:ascii="Times New Roman" w:hAnsi="Times New Roman"/>
      <w:sz w:val="20"/>
      <w:lang w:eastAsia="en-GB"/>
    </w:rPr>
  </w:style>
  <w:style w:type="paragraph" w:styleId="ListBullet2">
    <w:name w:val="List Bullet 2"/>
    <w:basedOn w:val="Normal"/>
    <w:uiPriority w:val="1"/>
    <w:unhideWhenUsed/>
    <w:qFormat/>
    <w:rsid w:val="005E2D14"/>
    <w:pPr>
      <w:numPr>
        <w:ilvl w:val="1"/>
        <w:numId w:val="39"/>
      </w:numPr>
      <w:spacing w:after="120" w:line="240" w:lineRule="atLeast"/>
    </w:pPr>
    <w:rPr>
      <w:rFonts w:asciiTheme="minorHAnsi" w:hAnsiTheme="minorHAnsi"/>
      <w:sz w:val="18"/>
      <w:szCs w:val="18"/>
    </w:rPr>
  </w:style>
  <w:style w:type="paragraph" w:styleId="ListBullet3">
    <w:name w:val="List Bullet 3"/>
    <w:basedOn w:val="Normal"/>
    <w:uiPriority w:val="1"/>
    <w:unhideWhenUsed/>
    <w:qFormat/>
    <w:rsid w:val="005E2D14"/>
    <w:pPr>
      <w:numPr>
        <w:ilvl w:val="2"/>
        <w:numId w:val="39"/>
      </w:numPr>
      <w:spacing w:after="120" w:line="240" w:lineRule="atLeast"/>
    </w:pPr>
    <w:rPr>
      <w:rFonts w:asciiTheme="minorHAnsi" w:hAnsiTheme="minorHAnsi"/>
      <w:sz w:val="18"/>
      <w:szCs w:val="18"/>
    </w:rPr>
  </w:style>
  <w:style w:type="numbering" w:customStyle="1" w:styleId="GTListBullet">
    <w:name w:val="GT List Bullet"/>
    <w:uiPriority w:val="99"/>
    <w:rsid w:val="005E2D14"/>
    <w:pPr>
      <w:numPr>
        <w:numId w:val="39"/>
      </w:numPr>
    </w:pPr>
  </w:style>
  <w:style w:type="character" w:styleId="UnresolvedMention">
    <w:name w:val="Unresolved Mention"/>
    <w:basedOn w:val="DefaultParagraphFont"/>
    <w:uiPriority w:val="99"/>
    <w:semiHidden/>
    <w:unhideWhenUsed/>
    <w:rsid w:val="005E2D14"/>
    <w:rPr>
      <w:color w:val="605E5C"/>
      <w:shd w:val="clear" w:color="auto" w:fill="E1DFDD"/>
    </w:rPr>
  </w:style>
  <w:style w:type="character" w:customStyle="1" w:styleId="ListParagraphChar">
    <w:name w:val="List Paragraph Char"/>
    <w:link w:val="ListParagraph"/>
    <w:uiPriority w:val="34"/>
    <w:locked/>
    <w:rsid w:val="0077530B"/>
    <w:rPr>
      <w:rFonts w:ascii="Arial" w:eastAsia="Calibri" w:hAnsi="Arial"/>
      <w:sz w:val="24"/>
      <w:lang w:eastAsia="en-US"/>
    </w:rPr>
  </w:style>
  <w:style w:type="paragraph" w:styleId="TOCHeading">
    <w:name w:val="TOC Heading"/>
    <w:basedOn w:val="Heading1"/>
    <w:next w:val="Normal"/>
    <w:uiPriority w:val="39"/>
    <w:unhideWhenUsed/>
    <w:qFormat/>
    <w:rsid w:val="005A3C76"/>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EA5689"/>
    <w:pPr>
      <w:spacing w:after="100"/>
    </w:pPr>
  </w:style>
  <w:style w:type="paragraph" w:styleId="TOC2">
    <w:name w:val="toc 2"/>
    <w:basedOn w:val="Normal"/>
    <w:next w:val="Normal"/>
    <w:autoRedefine/>
    <w:uiPriority w:val="39"/>
    <w:unhideWhenUsed/>
    <w:rsid w:val="00BE3374"/>
    <w:pPr>
      <w:spacing w:after="100"/>
      <w:ind w:left="240"/>
    </w:pPr>
  </w:style>
  <w:style w:type="paragraph" w:styleId="TOC3">
    <w:name w:val="toc 3"/>
    <w:basedOn w:val="Normal"/>
    <w:next w:val="Normal"/>
    <w:autoRedefine/>
    <w:uiPriority w:val="39"/>
    <w:unhideWhenUsed/>
    <w:rsid w:val="00BE337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960">
      <w:bodyDiv w:val="1"/>
      <w:marLeft w:val="0"/>
      <w:marRight w:val="0"/>
      <w:marTop w:val="0"/>
      <w:marBottom w:val="0"/>
      <w:divBdr>
        <w:top w:val="none" w:sz="0" w:space="0" w:color="auto"/>
        <w:left w:val="none" w:sz="0" w:space="0" w:color="auto"/>
        <w:bottom w:val="none" w:sz="0" w:space="0" w:color="auto"/>
        <w:right w:val="none" w:sz="0" w:space="0" w:color="auto"/>
      </w:divBdr>
    </w:div>
    <w:div w:id="13383782">
      <w:bodyDiv w:val="1"/>
      <w:marLeft w:val="0"/>
      <w:marRight w:val="0"/>
      <w:marTop w:val="0"/>
      <w:marBottom w:val="0"/>
      <w:divBdr>
        <w:top w:val="none" w:sz="0" w:space="0" w:color="auto"/>
        <w:left w:val="none" w:sz="0" w:space="0" w:color="auto"/>
        <w:bottom w:val="none" w:sz="0" w:space="0" w:color="auto"/>
        <w:right w:val="none" w:sz="0" w:space="0" w:color="auto"/>
      </w:divBdr>
    </w:div>
    <w:div w:id="183788838">
      <w:bodyDiv w:val="1"/>
      <w:marLeft w:val="0"/>
      <w:marRight w:val="0"/>
      <w:marTop w:val="0"/>
      <w:marBottom w:val="0"/>
      <w:divBdr>
        <w:top w:val="none" w:sz="0" w:space="0" w:color="auto"/>
        <w:left w:val="none" w:sz="0" w:space="0" w:color="auto"/>
        <w:bottom w:val="none" w:sz="0" w:space="0" w:color="auto"/>
        <w:right w:val="none" w:sz="0" w:space="0" w:color="auto"/>
      </w:divBdr>
    </w:div>
    <w:div w:id="217789227">
      <w:bodyDiv w:val="1"/>
      <w:marLeft w:val="0"/>
      <w:marRight w:val="0"/>
      <w:marTop w:val="0"/>
      <w:marBottom w:val="0"/>
      <w:divBdr>
        <w:top w:val="none" w:sz="0" w:space="0" w:color="auto"/>
        <w:left w:val="none" w:sz="0" w:space="0" w:color="auto"/>
        <w:bottom w:val="none" w:sz="0" w:space="0" w:color="auto"/>
        <w:right w:val="none" w:sz="0" w:space="0" w:color="auto"/>
      </w:divBdr>
    </w:div>
    <w:div w:id="229775449">
      <w:bodyDiv w:val="1"/>
      <w:marLeft w:val="0"/>
      <w:marRight w:val="0"/>
      <w:marTop w:val="0"/>
      <w:marBottom w:val="0"/>
      <w:divBdr>
        <w:top w:val="none" w:sz="0" w:space="0" w:color="auto"/>
        <w:left w:val="none" w:sz="0" w:space="0" w:color="auto"/>
        <w:bottom w:val="none" w:sz="0" w:space="0" w:color="auto"/>
        <w:right w:val="none" w:sz="0" w:space="0" w:color="auto"/>
      </w:divBdr>
    </w:div>
    <w:div w:id="239946874">
      <w:bodyDiv w:val="1"/>
      <w:marLeft w:val="0"/>
      <w:marRight w:val="0"/>
      <w:marTop w:val="0"/>
      <w:marBottom w:val="0"/>
      <w:divBdr>
        <w:top w:val="none" w:sz="0" w:space="0" w:color="auto"/>
        <w:left w:val="none" w:sz="0" w:space="0" w:color="auto"/>
        <w:bottom w:val="none" w:sz="0" w:space="0" w:color="auto"/>
        <w:right w:val="none" w:sz="0" w:space="0" w:color="auto"/>
      </w:divBdr>
    </w:div>
    <w:div w:id="253366966">
      <w:bodyDiv w:val="1"/>
      <w:marLeft w:val="0"/>
      <w:marRight w:val="0"/>
      <w:marTop w:val="0"/>
      <w:marBottom w:val="0"/>
      <w:divBdr>
        <w:top w:val="none" w:sz="0" w:space="0" w:color="auto"/>
        <w:left w:val="none" w:sz="0" w:space="0" w:color="auto"/>
        <w:bottom w:val="none" w:sz="0" w:space="0" w:color="auto"/>
        <w:right w:val="none" w:sz="0" w:space="0" w:color="auto"/>
      </w:divBdr>
    </w:div>
    <w:div w:id="283582808">
      <w:bodyDiv w:val="1"/>
      <w:marLeft w:val="0"/>
      <w:marRight w:val="0"/>
      <w:marTop w:val="0"/>
      <w:marBottom w:val="0"/>
      <w:divBdr>
        <w:top w:val="none" w:sz="0" w:space="0" w:color="auto"/>
        <w:left w:val="none" w:sz="0" w:space="0" w:color="auto"/>
        <w:bottom w:val="none" w:sz="0" w:space="0" w:color="auto"/>
        <w:right w:val="none" w:sz="0" w:space="0" w:color="auto"/>
      </w:divBdr>
    </w:div>
    <w:div w:id="479926902">
      <w:bodyDiv w:val="1"/>
      <w:marLeft w:val="0"/>
      <w:marRight w:val="0"/>
      <w:marTop w:val="0"/>
      <w:marBottom w:val="0"/>
      <w:divBdr>
        <w:top w:val="none" w:sz="0" w:space="0" w:color="auto"/>
        <w:left w:val="none" w:sz="0" w:space="0" w:color="auto"/>
        <w:bottom w:val="none" w:sz="0" w:space="0" w:color="auto"/>
        <w:right w:val="none" w:sz="0" w:space="0" w:color="auto"/>
      </w:divBdr>
    </w:div>
    <w:div w:id="519390715">
      <w:bodyDiv w:val="1"/>
      <w:marLeft w:val="0"/>
      <w:marRight w:val="0"/>
      <w:marTop w:val="0"/>
      <w:marBottom w:val="0"/>
      <w:divBdr>
        <w:top w:val="none" w:sz="0" w:space="0" w:color="auto"/>
        <w:left w:val="none" w:sz="0" w:space="0" w:color="auto"/>
        <w:bottom w:val="none" w:sz="0" w:space="0" w:color="auto"/>
        <w:right w:val="none" w:sz="0" w:space="0" w:color="auto"/>
      </w:divBdr>
    </w:div>
    <w:div w:id="545332960">
      <w:bodyDiv w:val="1"/>
      <w:marLeft w:val="0"/>
      <w:marRight w:val="0"/>
      <w:marTop w:val="0"/>
      <w:marBottom w:val="0"/>
      <w:divBdr>
        <w:top w:val="none" w:sz="0" w:space="0" w:color="auto"/>
        <w:left w:val="none" w:sz="0" w:space="0" w:color="auto"/>
        <w:bottom w:val="none" w:sz="0" w:space="0" w:color="auto"/>
        <w:right w:val="none" w:sz="0" w:space="0" w:color="auto"/>
      </w:divBdr>
    </w:div>
    <w:div w:id="553395427">
      <w:bodyDiv w:val="1"/>
      <w:marLeft w:val="0"/>
      <w:marRight w:val="0"/>
      <w:marTop w:val="0"/>
      <w:marBottom w:val="0"/>
      <w:divBdr>
        <w:top w:val="none" w:sz="0" w:space="0" w:color="auto"/>
        <w:left w:val="none" w:sz="0" w:space="0" w:color="auto"/>
        <w:bottom w:val="none" w:sz="0" w:space="0" w:color="auto"/>
        <w:right w:val="none" w:sz="0" w:space="0" w:color="auto"/>
      </w:divBdr>
    </w:div>
    <w:div w:id="583148100">
      <w:bodyDiv w:val="1"/>
      <w:marLeft w:val="0"/>
      <w:marRight w:val="0"/>
      <w:marTop w:val="0"/>
      <w:marBottom w:val="0"/>
      <w:divBdr>
        <w:top w:val="none" w:sz="0" w:space="0" w:color="auto"/>
        <w:left w:val="none" w:sz="0" w:space="0" w:color="auto"/>
        <w:bottom w:val="none" w:sz="0" w:space="0" w:color="auto"/>
        <w:right w:val="none" w:sz="0" w:space="0" w:color="auto"/>
      </w:divBdr>
    </w:div>
    <w:div w:id="597370310">
      <w:bodyDiv w:val="1"/>
      <w:marLeft w:val="0"/>
      <w:marRight w:val="0"/>
      <w:marTop w:val="0"/>
      <w:marBottom w:val="0"/>
      <w:divBdr>
        <w:top w:val="none" w:sz="0" w:space="0" w:color="auto"/>
        <w:left w:val="none" w:sz="0" w:space="0" w:color="auto"/>
        <w:bottom w:val="none" w:sz="0" w:space="0" w:color="auto"/>
        <w:right w:val="none" w:sz="0" w:space="0" w:color="auto"/>
      </w:divBdr>
    </w:div>
    <w:div w:id="659239871">
      <w:bodyDiv w:val="1"/>
      <w:marLeft w:val="0"/>
      <w:marRight w:val="0"/>
      <w:marTop w:val="0"/>
      <w:marBottom w:val="0"/>
      <w:divBdr>
        <w:top w:val="none" w:sz="0" w:space="0" w:color="auto"/>
        <w:left w:val="none" w:sz="0" w:space="0" w:color="auto"/>
        <w:bottom w:val="none" w:sz="0" w:space="0" w:color="auto"/>
        <w:right w:val="none" w:sz="0" w:space="0" w:color="auto"/>
      </w:divBdr>
    </w:div>
    <w:div w:id="689768704">
      <w:bodyDiv w:val="1"/>
      <w:marLeft w:val="0"/>
      <w:marRight w:val="0"/>
      <w:marTop w:val="0"/>
      <w:marBottom w:val="0"/>
      <w:divBdr>
        <w:top w:val="none" w:sz="0" w:space="0" w:color="auto"/>
        <w:left w:val="none" w:sz="0" w:space="0" w:color="auto"/>
        <w:bottom w:val="none" w:sz="0" w:space="0" w:color="auto"/>
        <w:right w:val="none" w:sz="0" w:space="0" w:color="auto"/>
      </w:divBdr>
    </w:div>
    <w:div w:id="694306354">
      <w:bodyDiv w:val="1"/>
      <w:marLeft w:val="0"/>
      <w:marRight w:val="0"/>
      <w:marTop w:val="0"/>
      <w:marBottom w:val="0"/>
      <w:divBdr>
        <w:top w:val="none" w:sz="0" w:space="0" w:color="auto"/>
        <w:left w:val="none" w:sz="0" w:space="0" w:color="auto"/>
        <w:bottom w:val="none" w:sz="0" w:space="0" w:color="auto"/>
        <w:right w:val="none" w:sz="0" w:space="0" w:color="auto"/>
      </w:divBdr>
    </w:div>
    <w:div w:id="730614933">
      <w:bodyDiv w:val="1"/>
      <w:marLeft w:val="0"/>
      <w:marRight w:val="0"/>
      <w:marTop w:val="0"/>
      <w:marBottom w:val="0"/>
      <w:divBdr>
        <w:top w:val="none" w:sz="0" w:space="0" w:color="auto"/>
        <w:left w:val="none" w:sz="0" w:space="0" w:color="auto"/>
        <w:bottom w:val="none" w:sz="0" w:space="0" w:color="auto"/>
        <w:right w:val="none" w:sz="0" w:space="0" w:color="auto"/>
      </w:divBdr>
    </w:div>
    <w:div w:id="779304556">
      <w:bodyDiv w:val="1"/>
      <w:marLeft w:val="0"/>
      <w:marRight w:val="0"/>
      <w:marTop w:val="0"/>
      <w:marBottom w:val="0"/>
      <w:divBdr>
        <w:top w:val="none" w:sz="0" w:space="0" w:color="auto"/>
        <w:left w:val="none" w:sz="0" w:space="0" w:color="auto"/>
        <w:bottom w:val="none" w:sz="0" w:space="0" w:color="auto"/>
        <w:right w:val="none" w:sz="0" w:space="0" w:color="auto"/>
      </w:divBdr>
    </w:div>
    <w:div w:id="787969580">
      <w:bodyDiv w:val="1"/>
      <w:marLeft w:val="0"/>
      <w:marRight w:val="0"/>
      <w:marTop w:val="0"/>
      <w:marBottom w:val="0"/>
      <w:divBdr>
        <w:top w:val="none" w:sz="0" w:space="0" w:color="auto"/>
        <w:left w:val="none" w:sz="0" w:space="0" w:color="auto"/>
        <w:bottom w:val="none" w:sz="0" w:space="0" w:color="auto"/>
        <w:right w:val="none" w:sz="0" w:space="0" w:color="auto"/>
      </w:divBdr>
    </w:div>
    <w:div w:id="840586717">
      <w:bodyDiv w:val="1"/>
      <w:marLeft w:val="0"/>
      <w:marRight w:val="0"/>
      <w:marTop w:val="0"/>
      <w:marBottom w:val="0"/>
      <w:divBdr>
        <w:top w:val="none" w:sz="0" w:space="0" w:color="auto"/>
        <w:left w:val="none" w:sz="0" w:space="0" w:color="auto"/>
        <w:bottom w:val="none" w:sz="0" w:space="0" w:color="auto"/>
        <w:right w:val="none" w:sz="0" w:space="0" w:color="auto"/>
      </w:divBdr>
    </w:div>
    <w:div w:id="845290201">
      <w:bodyDiv w:val="1"/>
      <w:marLeft w:val="0"/>
      <w:marRight w:val="0"/>
      <w:marTop w:val="0"/>
      <w:marBottom w:val="0"/>
      <w:divBdr>
        <w:top w:val="none" w:sz="0" w:space="0" w:color="auto"/>
        <w:left w:val="none" w:sz="0" w:space="0" w:color="auto"/>
        <w:bottom w:val="none" w:sz="0" w:space="0" w:color="auto"/>
        <w:right w:val="none" w:sz="0" w:space="0" w:color="auto"/>
      </w:divBdr>
    </w:div>
    <w:div w:id="865289491">
      <w:bodyDiv w:val="1"/>
      <w:marLeft w:val="0"/>
      <w:marRight w:val="0"/>
      <w:marTop w:val="0"/>
      <w:marBottom w:val="0"/>
      <w:divBdr>
        <w:top w:val="none" w:sz="0" w:space="0" w:color="auto"/>
        <w:left w:val="none" w:sz="0" w:space="0" w:color="auto"/>
        <w:bottom w:val="none" w:sz="0" w:space="0" w:color="auto"/>
        <w:right w:val="none" w:sz="0" w:space="0" w:color="auto"/>
      </w:divBdr>
    </w:div>
    <w:div w:id="899755122">
      <w:bodyDiv w:val="1"/>
      <w:marLeft w:val="0"/>
      <w:marRight w:val="0"/>
      <w:marTop w:val="0"/>
      <w:marBottom w:val="0"/>
      <w:divBdr>
        <w:top w:val="none" w:sz="0" w:space="0" w:color="auto"/>
        <w:left w:val="none" w:sz="0" w:space="0" w:color="auto"/>
        <w:bottom w:val="none" w:sz="0" w:space="0" w:color="auto"/>
        <w:right w:val="none" w:sz="0" w:space="0" w:color="auto"/>
      </w:divBdr>
    </w:div>
    <w:div w:id="911280008">
      <w:bodyDiv w:val="1"/>
      <w:marLeft w:val="0"/>
      <w:marRight w:val="0"/>
      <w:marTop w:val="0"/>
      <w:marBottom w:val="0"/>
      <w:divBdr>
        <w:top w:val="none" w:sz="0" w:space="0" w:color="auto"/>
        <w:left w:val="none" w:sz="0" w:space="0" w:color="auto"/>
        <w:bottom w:val="none" w:sz="0" w:space="0" w:color="auto"/>
        <w:right w:val="none" w:sz="0" w:space="0" w:color="auto"/>
      </w:divBdr>
    </w:div>
    <w:div w:id="919561059">
      <w:bodyDiv w:val="1"/>
      <w:marLeft w:val="0"/>
      <w:marRight w:val="0"/>
      <w:marTop w:val="0"/>
      <w:marBottom w:val="0"/>
      <w:divBdr>
        <w:top w:val="none" w:sz="0" w:space="0" w:color="auto"/>
        <w:left w:val="none" w:sz="0" w:space="0" w:color="auto"/>
        <w:bottom w:val="none" w:sz="0" w:space="0" w:color="auto"/>
        <w:right w:val="none" w:sz="0" w:space="0" w:color="auto"/>
      </w:divBdr>
    </w:div>
    <w:div w:id="921374219">
      <w:bodyDiv w:val="1"/>
      <w:marLeft w:val="0"/>
      <w:marRight w:val="0"/>
      <w:marTop w:val="0"/>
      <w:marBottom w:val="0"/>
      <w:divBdr>
        <w:top w:val="none" w:sz="0" w:space="0" w:color="auto"/>
        <w:left w:val="none" w:sz="0" w:space="0" w:color="auto"/>
        <w:bottom w:val="none" w:sz="0" w:space="0" w:color="auto"/>
        <w:right w:val="none" w:sz="0" w:space="0" w:color="auto"/>
      </w:divBdr>
    </w:div>
    <w:div w:id="926228685">
      <w:bodyDiv w:val="1"/>
      <w:marLeft w:val="0"/>
      <w:marRight w:val="0"/>
      <w:marTop w:val="0"/>
      <w:marBottom w:val="0"/>
      <w:divBdr>
        <w:top w:val="none" w:sz="0" w:space="0" w:color="auto"/>
        <w:left w:val="none" w:sz="0" w:space="0" w:color="auto"/>
        <w:bottom w:val="none" w:sz="0" w:space="0" w:color="auto"/>
        <w:right w:val="none" w:sz="0" w:space="0" w:color="auto"/>
      </w:divBdr>
    </w:div>
    <w:div w:id="932007430">
      <w:bodyDiv w:val="1"/>
      <w:marLeft w:val="0"/>
      <w:marRight w:val="0"/>
      <w:marTop w:val="0"/>
      <w:marBottom w:val="0"/>
      <w:divBdr>
        <w:top w:val="none" w:sz="0" w:space="0" w:color="auto"/>
        <w:left w:val="none" w:sz="0" w:space="0" w:color="auto"/>
        <w:bottom w:val="none" w:sz="0" w:space="0" w:color="auto"/>
        <w:right w:val="none" w:sz="0" w:space="0" w:color="auto"/>
      </w:divBdr>
    </w:div>
    <w:div w:id="992833591">
      <w:bodyDiv w:val="1"/>
      <w:marLeft w:val="0"/>
      <w:marRight w:val="0"/>
      <w:marTop w:val="0"/>
      <w:marBottom w:val="0"/>
      <w:divBdr>
        <w:top w:val="none" w:sz="0" w:space="0" w:color="auto"/>
        <w:left w:val="none" w:sz="0" w:space="0" w:color="auto"/>
        <w:bottom w:val="none" w:sz="0" w:space="0" w:color="auto"/>
        <w:right w:val="none" w:sz="0" w:space="0" w:color="auto"/>
      </w:divBdr>
    </w:div>
    <w:div w:id="1021398007">
      <w:bodyDiv w:val="1"/>
      <w:marLeft w:val="0"/>
      <w:marRight w:val="0"/>
      <w:marTop w:val="0"/>
      <w:marBottom w:val="0"/>
      <w:divBdr>
        <w:top w:val="none" w:sz="0" w:space="0" w:color="auto"/>
        <w:left w:val="none" w:sz="0" w:space="0" w:color="auto"/>
        <w:bottom w:val="none" w:sz="0" w:space="0" w:color="auto"/>
        <w:right w:val="none" w:sz="0" w:space="0" w:color="auto"/>
      </w:divBdr>
    </w:div>
    <w:div w:id="1024552874">
      <w:bodyDiv w:val="1"/>
      <w:marLeft w:val="0"/>
      <w:marRight w:val="0"/>
      <w:marTop w:val="0"/>
      <w:marBottom w:val="0"/>
      <w:divBdr>
        <w:top w:val="none" w:sz="0" w:space="0" w:color="auto"/>
        <w:left w:val="none" w:sz="0" w:space="0" w:color="auto"/>
        <w:bottom w:val="none" w:sz="0" w:space="0" w:color="auto"/>
        <w:right w:val="none" w:sz="0" w:space="0" w:color="auto"/>
      </w:divBdr>
    </w:div>
    <w:div w:id="1109470796">
      <w:bodyDiv w:val="1"/>
      <w:marLeft w:val="0"/>
      <w:marRight w:val="0"/>
      <w:marTop w:val="0"/>
      <w:marBottom w:val="0"/>
      <w:divBdr>
        <w:top w:val="none" w:sz="0" w:space="0" w:color="auto"/>
        <w:left w:val="none" w:sz="0" w:space="0" w:color="auto"/>
        <w:bottom w:val="none" w:sz="0" w:space="0" w:color="auto"/>
        <w:right w:val="none" w:sz="0" w:space="0" w:color="auto"/>
      </w:divBdr>
    </w:div>
    <w:div w:id="1120880607">
      <w:bodyDiv w:val="1"/>
      <w:marLeft w:val="0"/>
      <w:marRight w:val="0"/>
      <w:marTop w:val="0"/>
      <w:marBottom w:val="0"/>
      <w:divBdr>
        <w:top w:val="none" w:sz="0" w:space="0" w:color="auto"/>
        <w:left w:val="none" w:sz="0" w:space="0" w:color="auto"/>
        <w:bottom w:val="none" w:sz="0" w:space="0" w:color="auto"/>
        <w:right w:val="none" w:sz="0" w:space="0" w:color="auto"/>
      </w:divBdr>
    </w:div>
    <w:div w:id="1127889184">
      <w:bodyDiv w:val="1"/>
      <w:marLeft w:val="0"/>
      <w:marRight w:val="0"/>
      <w:marTop w:val="0"/>
      <w:marBottom w:val="0"/>
      <w:divBdr>
        <w:top w:val="none" w:sz="0" w:space="0" w:color="auto"/>
        <w:left w:val="none" w:sz="0" w:space="0" w:color="auto"/>
        <w:bottom w:val="none" w:sz="0" w:space="0" w:color="auto"/>
        <w:right w:val="none" w:sz="0" w:space="0" w:color="auto"/>
      </w:divBdr>
    </w:div>
    <w:div w:id="1167743119">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245409338">
      <w:bodyDiv w:val="1"/>
      <w:marLeft w:val="0"/>
      <w:marRight w:val="0"/>
      <w:marTop w:val="0"/>
      <w:marBottom w:val="0"/>
      <w:divBdr>
        <w:top w:val="none" w:sz="0" w:space="0" w:color="auto"/>
        <w:left w:val="none" w:sz="0" w:space="0" w:color="auto"/>
        <w:bottom w:val="none" w:sz="0" w:space="0" w:color="auto"/>
        <w:right w:val="none" w:sz="0" w:space="0" w:color="auto"/>
      </w:divBdr>
      <w:divsChild>
        <w:div w:id="194319120">
          <w:marLeft w:val="0"/>
          <w:marRight w:val="0"/>
          <w:marTop w:val="0"/>
          <w:marBottom w:val="0"/>
          <w:divBdr>
            <w:top w:val="none" w:sz="0" w:space="0" w:color="auto"/>
            <w:left w:val="none" w:sz="0" w:space="0" w:color="auto"/>
            <w:bottom w:val="none" w:sz="0" w:space="0" w:color="auto"/>
            <w:right w:val="none" w:sz="0" w:space="0" w:color="auto"/>
          </w:divBdr>
        </w:div>
      </w:divsChild>
    </w:div>
    <w:div w:id="1312060529">
      <w:bodyDiv w:val="1"/>
      <w:marLeft w:val="0"/>
      <w:marRight w:val="0"/>
      <w:marTop w:val="0"/>
      <w:marBottom w:val="0"/>
      <w:divBdr>
        <w:top w:val="none" w:sz="0" w:space="0" w:color="auto"/>
        <w:left w:val="none" w:sz="0" w:space="0" w:color="auto"/>
        <w:bottom w:val="none" w:sz="0" w:space="0" w:color="auto"/>
        <w:right w:val="none" w:sz="0" w:space="0" w:color="auto"/>
      </w:divBdr>
    </w:div>
    <w:div w:id="1319307303">
      <w:bodyDiv w:val="1"/>
      <w:marLeft w:val="0"/>
      <w:marRight w:val="0"/>
      <w:marTop w:val="0"/>
      <w:marBottom w:val="0"/>
      <w:divBdr>
        <w:top w:val="none" w:sz="0" w:space="0" w:color="auto"/>
        <w:left w:val="none" w:sz="0" w:space="0" w:color="auto"/>
        <w:bottom w:val="none" w:sz="0" w:space="0" w:color="auto"/>
        <w:right w:val="none" w:sz="0" w:space="0" w:color="auto"/>
      </w:divBdr>
    </w:div>
    <w:div w:id="1342973032">
      <w:bodyDiv w:val="1"/>
      <w:marLeft w:val="0"/>
      <w:marRight w:val="0"/>
      <w:marTop w:val="0"/>
      <w:marBottom w:val="0"/>
      <w:divBdr>
        <w:top w:val="none" w:sz="0" w:space="0" w:color="auto"/>
        <w:left w:val="none" w:sz="0" w:space="0" w:color="auto"/>
        <w:bottom w:val="none" w:sz="0" w:space="0" w:color="auto"/>
        <w:right w:val="none" w:sz="0" w:space="0" w:color="auto"/>
      </w:divBdr>
    </w:div>
    <w:div w:id="1369257920">
      <w:bodyDiv w:val="1"/>
      <w:marLeft w:val="0"/>
      <w:marRight w:val="0"/>
      <w:marTop w:val="0"/>
      <w:marBottom w:val="0"/>
      <w:divBdr>
        <w:top w:val="none" w:sz="0" w:space="0" w:color="auto"/>
        <w:left w:val="none" w:sz="0" w:space="0" w:color="auto"/>
        <w:bottom w:val="none" w:sz="0" w:space="0" w:color="auto"/>
        <w:right w:val="none" w:sz="0" w:space="0" w:color="auto"/>
      </w:divBdr>
    </w:div>
    <w:div w:id="1388337695">
      <w:bodyDiv w:val="1"/>
      <w:marLeft w:val="0"/>
      <w:marRight w:val="0"/>
      <w:marTop w:val="0"/>
      <w:marBottom w:val="0"/>
      <w:divBdr>
        <w:top w:val="none" w:sz="0" w:space="0" w:color="auto"/>
        <w:left w:val="none" w:sz="0" w:space="0" w:color="auto"/>
        <w:bottom w:val="none" w:sz="0" w:space="0" w:color="auto"/>
        <w:right w:val="none" w:sz="0" w:space="0" w:color="auto"/>
      </w:divBdr>
    </w:div>
    <w:div w:id="1388725305">
      <w:bodyDiv w:val="1"/>
      <w:marLeft w:val="0"/>
      <w:marRight w:val="0"/>
      <w:marTop w:val="0"/>
      <w:marBottom w:val="0"/>
      <w:divBdr>
        <w:top w:val="none" w:sz="0" w:space="0" w:color="auto"/>
        <w:left w:val="none" w:sz="0" w:space="0" w:color="auto"/>
        <w:bottom w:val="none" w:sz="0" w:space="0" w:color="auto"/>
        <w:right w:val="none" w:sz="0" w:space="0" w:color="auto"/>
      </w:divBdr>
    </w:div>
    <w:div w:id="1423840254">
      <w:bodyDiv w:val="1"/>
      <w:marLeft w:val="0"/>
      <w:marRight w:val="0"/>
      <w:marTop w:val="0"/>
      <w:marBottom w:val="0"/>
      <w:divBdr>
        <w:top w:val="none" w:sz="0" w:space="0" w:color="auto"/>
        <w:left w:val="none" w:sz="0" w:space="0" w:color="auto"/>
        <w:bottom w:val="none" w:sz="0" w:space="0" w:color="auto"/>
        <w:right w:val="none" w:sz="0" w:space="0" w:color="auto"/>
      </w:divBdr>
    </w:div>
    <w:div w:id="1470634422">
      <w:bodyDiv w:val="1"/>
      <w:marLeft w:val="0"/>
      <w:marRight w:val="0"/>
      <w:marTop w:val="0"/>
      <w:marBottom w:val="0"/>
      <w:divBdr>
        <w:top w:val="none" w:sz="0" w:space="0" w:color="auto"/>
        <w:left w:val="none" w:sz="0" w:space="0" w:color="auto"/>
        <w:bottom w:val="none" w:sz="0" w:space="0" w:color="auto"/>
        <w:right w:val="none" w:sz="0" w:space="0" w:color="auto"/>
      </w:divBdr>
    </w:div>
    <w:div w:id="1474446323">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18077533">
      <w:bodyDiv w:val="1"/>
      <w:marLeft w:val="0"/>
      <w:marRight w:val="0"/>
      <w:marTop w:val="0"/>
      <w:marBottom w:val="0"/>
      <w:divBdr>
        <w:top w:val="none" w:sz="0" w:space="0" w:color="auto"/>
        <w:left w:val="none" w:sz="0" w:space="0" w:color="auto"/>
        <w:bottom w:val="none" w:sz="0" w:space="0" w:color="auto"/>
        <w:right w:val="none" w:sz="0" w:space="0" w:color="auto"/>
      </w:divBdr>
    </w:div>
    <w:div w:id="1551577621">
      <w:bodyDiv w:val="1"/>
      <w:marLeft w:val="0"/>
      <w:marRight w:val="0"/>
      <w:marTop w:val="0"/>
      <w:marBottom w:val="0"/>
      <w:divBdr>
        <w:top w:val="none" w:sz="0" w:space="0" w:color="auto"/>
        <w:left w:val="none" w:sz="0" w:space="0" w:color="auto"/>
        <w:bottom w:val="none" w:sz="0" w:space="0" w:color="auto"/>
        <w:right w:val="none" w:sz="0" w:space="0" w:color="auto"/>
      </w:divBdr>
    </w:div>
    <w:div w:id="1612130230">
      <w:bodyDiv w:val="1"/>
      <w:marLeft w:val="0"/>
      <w:marRight w:val="0"/>
      <w:marTop w:val="0"/>
      <w:marBottom w:val="0"/>
      <w:divBdr>
        <w:top w:val="none" w:sz="0" w:space="0" w:color="auto"/>
        <w:left w:val="none" w:sz="0" w:space="0" w:color="auto"/>
        <w:bottom w:val="none" w:sz="0" w:space="0" w:color="auto"/>
        <w:right w:val="none" w:sz="0" w:space="0" w:color="auto"/>
      </w:divBdr>
    </w:div>
    <w:div w:id="1643387827">
      <w:bodyDiv w:val="1"/>
      <w:marLeft w:val="0"/>
      <w:marRight w:val="0"/>
      <w:marTop w:val="0"/>
      <w:marBottom w:val="0"/>
      <w:divBdr>
        <w:top w:val="none" w:sz="0" w:space="0" w:color="auto"/>
        <w:left w:val="none" w:sz="0" w:space="0" w:color="auto"/>
        <w:bottom w:val="none" w:sz="0" w:space="0" w:color="auto"/>
        <w:right w:val="none" w:sz="0" w:space="0" w:color="auto"/>
      </w:divBdr>
    </w:div>
    <w:div w:id="1673799274">
      <w:bodyDiv w:val="1"/>
      <w:marLeft w:val="0"/>
      <w:marRight w:val="0"/>
      <w:marTop w:val="0"/>
      <w:marBottom w:val="0"/>
      <w:divBdr>
        <w:top w:val="none" w:sz="0" w:space="0" w:color="auto"/>
        <w:left w:val="none" w:sz="0" w:space="0" w:color="auto"/>
        <w:bottom w:val="none" w:sz="0" w:space="0" w:color="auto"/>
        <w:right w:val="none" w:sz="0" w:space="0" w:color="auto"/>
      </w:divBdr>
      <w:divsChild>
        <w:div w:id="1774326778">
          <w:marLeft w:val="0"/>
          <w:marRight w:val="0"/>
          <w:marTop w:val="0"/>
          <w:marBottom w:val="0"/>
          <w:divBdr>
            <w:top w:val="none" w:sz="0" w:space="0" w:color="auto"/>
            <w:left w:val="none" w:sz="0" w:space="0" w:color="auto"/>
            <w:bottom w:val="none" w:sz="0" w:space="0" w:color="auto"/>
            <w:right w:val="none" w:sz="0" w:space="0" w:color="auto"/>
          </w:divBdr>
          <w:divsChild>
            <w:div w:id="1081371114">
              <w:marLeft w:val="0"/>
              <w:marRight w:val="0"/>
              <w:marTop w:val="0"/>
              <w:marBottom w:val="0"/>
              <w:divBdr>
                <w:top w:val="none" w:sz="0" w:space="0" w:color="auto"/>
                <w:left w:val="none" w:sz="0" w:space="0" w:color="auto"/>
                <w:bottom w:val="none" w:sz="0" w:space="0" w:color="auto"/>
                <w:right w:val="none" w:sz="0" w:space="0" w:color="auto"/>
              </w:divBdr>
              <w:divsChild>
                <w:div w:id="19459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9899">
      <w:bodyDiv w:val="1"/>
      <w:marLeft w:val="0"/>
      <w:marRight w:val="0"/>
      <w:marTop w:val="0"/>
      <w:marBottom w:val="0"/>
      <w:divBdr>
        <w:top w:val="none" w:sz="0" w:space="0" w:color="auto"/>
        <w:left w:val="none" w:sz="0" w:space="0" w:color="auto"/>
        <w:bottom w:val="none" w:sz="0" w:space="0" w:color="auto"/>
        <w:right w:val="none" w:sz="0" w:space="0" w:color="auto"/>
      </w:divBdr>
    </w:div>
    <w:div w:id="1677876496">
      <w:bodyDiv w:val="1"/>
      <w:marLeft w:val="0"/>
      <w:marRight w:val="0"/>
      <w:marTop w:val="0"/>
      <w:marBottom w:val="0"/>
      <w:divBdr>
        <w:top w:val="none" w:sz="0" w:space="0" w:color="auto"/>
        <w:left w:val="none" w:sz="0" w:space="0" w:color="auto"/>
        <w:bottom w:val="none" w:sz="0" w:space="0" w:color="auto"/>
        <w:right w:val="none" w:sz="0" w:space="0" w:color="auto"/>
      </w:divBdr>
    </w:div>
    <w:div w:id="1722973078">
      <w:bodyDiv w:val="1"/>
      <w:marLeft w:val="0"/>
      <w:marRight w:val="0"/>
      <w:marTop w:val="0"/>
      <w:marBottom w:val="0"/>
      <w:divBdr>
        <w:top w:val="none" w:sz="0" w:space="0" w:color="auto"/>
        <w:left w:val="none" w:sz="0" w:space="0" w:color="auto"/>
        <w:bottom w:val="none" w:sz="0" w:space="0" w:color="auto"/>
        <w:right w:val="none" w:sz="0" w:space="0" w:color="auto"/>
      </w:divBdr>
    </w:div>
    <w:div w:id="1732271268">
      <w:bodyDiv w:val="1"/>
      <w:marLeft w:val="0"/>
      <w:marRight w:val="0"/>
      <w:marTop w:val="0"/>
      <w:marBottom w:val="0"/>
      <w:divBdr>
        <w:top w:val="none" w:sz="0" w:space="0" w:color="auto"/>
        <w:left w:val="none" w:sz="0" w:space="0" w:color="auto"/>
        <w:bottom w:val="none" w:sz="0" w:space="0" w:color="auto"/>
        <w:right w:val="none" w:sz="0" w:space="0" w:color="auto"/>
      </w:divBdr>
    </w:div>
    <w:div w:id="1798252226">
      <w:bodyDiv w:val="1"/>
      <w:marLeft w:val="0"/>
      <w:marRight w:val="0"/>
      <w:marTop w:val="0"/>
      <w:marBottom w:val="0"/>
      <w:divBdr>
        <w:top w:val="none" w:sz="0" w:space="0" w:color="auto"/>
        <w:left w:val="none" w:sz="0" w:space="0" w:color="auto"/>
        <w:bottom w:val="none" w:sz="0" w:space="0" w:color="auto"/>
        <w:right w:val="none" w:sz="0" w:space="0" w:color="auto"/>
      </w:divBdr>
      <w:divsChild>
        <w:div w:id="1263609217">
          <w:marLeft w:val="0"/>
          <w:marRight w:val="0"/>
          <w:marTop w:val="0"/>
          <w:marBottom w:val="0"/>
          <w:divBdr>
            <w:top w:val="none" w:sz="0" w:space="0" w:color="auto"/>
            <w:left w:val="none" w:sz="0" w:space="0" w:color="auto"/>
            <w:bottom w:val="none" w:sz="0" w:space="0" w:color="auto"/>
            <w:right w:val="none" w:sz="0" w:space="0" w:color="auto"/>
          </w:divBdr>
        </w:div>
      </w:divsChild>
    </w:div>
    <w:div w:id="1832019441">
      <w:bodyDiv w:val="1"/>
      <w:marLeft w:val="0"/>
      <w:marRight w:val="0"/>
      <w:marTop w:val="0"/>
      <w:marBottom w:val="0"/>
      <w:divBdr>
        <w:top w:val="none" w:sz="0" w:space="0" w:color="auto"/>
        <w:left w:val="none" w:sz="0" w:space="0" w:color="auto"/>
        <w:bottom w:val="none" w:sz="0" w:space="0" w:color="auto"/>
        <w:right w:val="none" w:sz="0" w:space="0" w:color="auto"/>
      </w:divBdr>
    </w:div>
    <w:div w:id="1835535374">
      <w:bodyDiv w:val="1"/>
      <w:marLeft w:val="0"/>
      <w:marRight w:val="0"/>
      <w:marTop w:val="0"/>
      <w:marBottom w:val="0"/>
      <w:divBdr>
        <w:top w:val="none" w:sz="0" w:space="0" w:color="auto"/>
        <w:left w:val="none" w:sz="0" w:space="0" w:color="auto"/>
        <w:bottom w:val="none" w:sz="0" w:space="0" w:color="auto"/>
        <w:right w:val="none" w:sz="0" w:space="0" w:color="auto"/>
      </w:divBdr>
    </w:div>
    <w:div w:id="1856993657">
      <w:bodyDiv w:val="1"/>
      <w:marLeft w:val="0"/>
      <w:marRight w:val="0"/>
      <w:marTop w:val="0"/>
      <w:marBottom w:val="0"/>
      <w:divBdr>
        <w:top w:val="none" w:sz="0" w:space="0" w:color="auto"/>
        <w:left w:val="none" w:sz="0" w:space="0" w:color="auto"/>
        <w:bottom w:val="none" w:sz="0" w:space="0" w:color="auto"/>
        <w:right w:val="none" w:sz="0" w:space="0" w:color="auto"/>
      </w:divBdr>
    </w:div>
    <w:div w:id="1860389515">
      <w:bodyDiv w:val="1"/>
      <w:marLeft w:val="0"/>
      <w:marRight w:val="0"/>
      <w:marTop w:val="0"/>
      <w:marBottom w:val="0"/>
      <w:divBdr>
        <w:top w:val="none" w:sz="0" w:space="0" w:color="auto"/>
        <w:left w:val="none" w:sz="0" w:space="0" w:color="auto"/>
        <w:bottom w:val="none" w:sz="0" w:space="0" w:color="auto"/>
        <w:right w:val="none" w:sz="0" w:space="0" w:color="auto"/>
      </w:divBdr>
    </w:div>
    <w:div w:id="1900549444">
      <w:bodyDiv w:val="1"/>
      <w:marLeft w:val="0"/>
      <w:marRight w:val="0"/>
      <w:marTop w:val="0"/>
      <w:marBottom w:val="0"/>
      <w:divBdr>
        <w:top w:val="none" w:sz="0" w:space="0" w:color="auto"/>
        <w:left w:val="none" w:sz="0" w:space="0" w:color="auto"/>
        <w:bottom w:val="none" w:sz="0" w:space="0" w:color="auto"/>
        <w:right w:val="none" w:sz="0" w:space="0" w:color="auto"/>
      </w:divBdr>
    </w:div>
    <w:div w:id="1942488787">
      <w:bodyDiv w:val="1"/>
      <w:marLeft w:val="0"/>
      <w:marRight w:val="0"/>
      <w:marTop w:val="0"/>
      <w:marBottom w:val="0"/>
      <w:divBdr>
        <w:top w:val="none" w:sz="0" w:space="0" w:color="auto"/>
        <w:left w:val="none" w:sz="0" w:space="0" w:color="auto"/>
        <w:bottom w:val="none" w:sz="0" w:space="0" w:color="auto"/>
        <w:right w:val="none" w:sz="0" w:space="0" w:color="auto"/>
      </w:divBdr>
    </w:div>
    <w:div w:id="2096585595">
      <w:bodyDiv w:val="1"/>
      <w:marLeft w:val="0"/>
      <w:marRight w:val="0"/>
      <w:marTop w:val="0"/>
      <w:marBottom w:val="0"/>
      <w:divBdr>
        <w:top w:val="none" w:sz="0" w:space="0" w:color="auto"/>
        <w:left w:val="none" w:sz="0" w:space="0" w:color="auto"/>
        <w:bottom w:val="none" w:sz="0" w:space="0" w:color="auto"/>
        <w:right w:val="none" w:sz="0" w:space="0" w:color="auto"/>
      </w:divBdr>
    </w:div>
    <w:div w:id="21082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lancsfirerescue.org.uk/about/publications/community-risk-management-plan-2022-202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frsict.sharepoint.com/sites/SDEP-Finance/Shared%20Documents/2023-24/Year%20End%2023-24/www.frc.org.uk/auditorsresponsibilit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ancsfirerescue.org.uk/about/publication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fa.lancsfirerescue.org.uk/documents/s7990/Item%207%20-%20Appendix%201%20-%20Lancashire%20Combined%20Fire%20Authority%20Auditors%20Annual%20Report%2022-23.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ancsfirerescue.org.uk/about/publications/annual-service-plan-2024-2025"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ancsfirerescue.org.uk/about/publications/strategic-assessment-of-risk-2022-2023" TargetMode="External"/><Relationship Id="rId27" Type="http://schemas.openxmlformats.org/officeDocument/2006/relationships/header" Target="header5.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file:///\\L031\shqfincommon\2023-24\Year%20End%2023-24\Accounts%20Workings\Main%20Statem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031\shqfincommon\2023-24\Year%20End%2023-24\Accounts%20Workings\Main%20Statemen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cap="none">
                <a:latin typeface="Arial" panose="020B0604020202020204" pitchFamily="34" charset="0"/>
                <a:cs typeface="Arial" panose="020B0604020202020204" pitchFamily="34" charset="0"/>
              </a:rPr>
              <a:t>Expenditure Analysis 2023/24</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Narrative!$D$4</c:f>
              <c:strCache>
                <c:ptCount val="1"/>
                <c:pt idx="0">
                  <c:v>Spend</c:v>
                </c:pt>
              </c:strCache>
            </c:strRef>
          </c:tx>
          <c:explosion val="8"/>
          <c:dPt>
            <c:idx val="0"/>
            <c:bubble3D val="0"/>
            <c:explosion val="2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80F-4638-866A-BBB889CC7E7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80F-4638-866A-BBB889CC7E7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80F-4638-866A-BBB889CC7E7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80F-4638-866A-BBB889CC7E7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80F-4638-866A-BBB889CC7E7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80F-4638-866A-BBB889CC7E71}"/>
              </c:ext>
            </c:extLst>
          </c:dPt>
          <c:dLbls>
            <c:dLbl>
              <c:idx val="0"/>
              <c:layout>
                <c:manualLayout>
                  <c:x val="0"/>
                  <c:y val="6.1974942488746049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0F-4638-866A-BBB889CC7E71}"/>
                </c:ext>
              </c:extLst>
            </c:dLbl>
            <c:dLbl>
              <c:idx val="1"/>
              <c:layout>
                <c:manualLayout>
                  <c:x val="2.2961585482956806E-2"/>
                  <c:y val="0.1846944836006862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0F-4638-866A-BBB889CC7E71}"/>
                </c:ext>
              </c:extLst>
            </c:dLbl>
            <c:dLbl>
              <c:idx val="2"/>
              <c:layout>
                <c:manualLayout>
                  <c:x val="-4.5923468519623041E-2"/>
                  <c:y val="4.3747018227350151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0F-4638-866A-BBB889CC7E71}"/>
                </c:ext>
              </c:extLst>
            </c:dLbl>
            <c:dLbl>
              <c:idx val="3"/>
              <c:layout>
                <c:manualLayout>
                  <c:x val="-5.1026076132914489E-2"/>
                  <c:y val="1.822792426139589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0F-4638-866A-BBB889CC7E71}"/>
                </c:ext>
              </c:extLst>
            </c:dLbl>
            <c:dLbl>
              <c:idx val="4"/>
              <c:layout>
                <c:manualLayout>
                  <c:x val="-8.9295633232600355E-2"/>
                  <c:y val="-3.341747510436845E-17"/>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0F-4638-866A-BBB889CC7E71}"/>
                </c:ext>
              </c:extLst>
            </c:dLbl>
            <c:dLbl>
              <c:idx val="5"/>
              <c:layout>
                <c:manualLayout>
                  <c:x val="-2.5493369011996836E-3"/>
                  <c:y val="-3.2837884548911164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34198239571373901"/>
                      <c:h val="0.13556861389561009"/>
                    </c:manualLayout>
                  </c15:layout>
                </c:ext>
                <c:ext xmlns:c16="http://schemas.microsoft.com/office/drawing/2014/chart" uri="{C3380CC4-5D6E-409C-BE32-E72D297353CC}">
                  <c16:uniqueId val="{0000000B-C80F-4638-866A-BBB889CC7E71}"/>
                </c:ext>
              </c:extLst>
            </c:dLbl>
            <c:spPr>
              <a:ln>
                <a:solidFill>
                  <a:schemeClr val="tx1"/>
                </a:solidFill>
              </a:ln>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0"/>
            <c:showBubbleSize val="0"/>
            <c:showLeaderLines val="1"/>
            <c:leaderLines>
              <c:spPr>
                <a:ln w="19050" cap="flat" cmpd="sng" algn="ctr">
                  <a:solidFill>
                    <a:schemeClr val="tx1"/>
                  </a:solidFill>
                  <a:round/>
                </a:ln>
                <a:effectLst/>
              </c:spPr>
            </c:leaderLines>
            <c:extLst>
              <c:ext xmlns:c15="http://schemas.microsoft.com/office/drawing/2012/chart" uri="{CE6537A1-D6FC-4f65-9D91-7224C49458BB}"/>
            </c:extLst>
          </c:dLbls>
          <c:cat>
            <c:strRef>
              <c:f>Narrative!$B$5:$B$10</c:f>
              <c:strCache>
                <c:ptCount val="6"/>
                <c:pt idx="0">
                  <c:v>Employees: pay costs</c:v>
                </c:pt>
                <c:pt idx="1">
                  <c:v>Other employee related costs</c:v>
                </c:pt>
                <c:pt idx="2">
                  <c:v>Premises</c:v>
                </c:pt>
                <c:pt idx="3">
                  <c:v>Transport</c:v>
                </c:pt>
                <c:pt idx="4">
                  <c:v>Supplies &amp; services</c:v>
                </c:pt>
                <c:pt idx="5">
                  <c:v>Capital financing costs &amp; other items</c:v>
                </c:pt>
              </c:strCache>
            </c:strRef>
          </c:cat>
          <c:val>
            <c:numRef>
              <c:f>Narrative!$D$5:$D$10</c:f>
              <c:numCache>
                <c:formatCode>#,##0\ ;\(#,##0\)</c:formatCode>
                <c:ptCount val="6"/>
                <c:pt idx="0">
                  <c:v>53526</c:v>
                </c:pt>
                <c:pt idx="1">
                  <c:v>1395</c:v>
                </c:pt>
                <c:pt idx="2">
                  <c:v>4132</c:v>
                </c:pt>
                <c:pt idx="3">
                  <c:v>2380</c:v>
                </c:pt>
                <c:pt idx="4">
                  <c:v>9959</c:v>
                </c:pt>
                <c:pt idx="5">
                  <c:v>5523</c:v>
                </c:pt>
              </c:numCache>
            </c:numRef>
          </c:val>
          <c:extLst>
            <c:ext xmlns:c16="http://schemas.microsoft.com/office/drawing/2014/chart" uri="{C3380CC4-5D6E-409C-BE32-E72D297353CC}">
              <c16:uniqueId val="{0000000C-C80F-4638-866A-BBB889CC7E7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en-US" sz="1400" cap="none">
                <a:latin typeface="Arial" panose="020B0604020202020204" pitchFamily="34" charset="0"/>
                <a:cs typeface="Arial" panose="020B0604020202020204" pitchFamily="34" charset="0"/>
              </a:rPr>
              <a:t>Income Analysis 2023/24</a:t>
            </a:r>
          </a:p>
        </c:rich>
      </c:tx>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Narrative!$D$4</c:f>
              <c:strCache>
                <c:ptCount val="1"/>
                <c:pt idx="0">
                  <c:v>Spend</c:v>
                </c:pt>
              </c:strCache>
            </c:strRef>
          </c:tx>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951-4D91-8CB6-7B64161F7FE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951-4D91-8CB6-7B64161F7FE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951-4D91-8CB6-7B64161F7FE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951-4D91-8CB6-7B64161F7FE1}"/>
              </c:ext>
            </c:extLst>
          </c:dPt>
          <c:dLbls>
            <c:dLbl>
              <c:idx val="0"/>
              <c:layout>
                <c:manualLayout>
                  <c:x val="7.7383931351157023E-2"/>
                  <c:y val="-5.2808454460536135E-3"/>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9913176964453133"/>
                      <c:h val="8.0288199935519458E-2"/>
                    </c:manualLayout>
                  </c15:layout>
                </c:ext>
                <c:ext xmlns:c16="http://schemas.microsoft.com/office/drawing/2014/chart" uri="{C3380CC4-5D6E-409C-BE32-E72D297353CC}">
                  <c16:uniqueId val="{00000001-B951-4D91-8CB6-7B64161F7FE1}"/>
                </c:ext>
              </c:extLst>
            </c:dLbl>
            <c:dLbl>
              <c:idx val="1"/>
              <c:layout>
                <c:manualLayout>
                  <c:x val="2.0910673463953509E-2"/>
                  <c:y val="7.5722775859118907E-2"/>
                </c:manualLayout>
              </c:layout>
              <c:tx>
                <c:rich>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089E51F5-C8F3-4629-8F42-F543D7F3A7BF}" type="CATEGORYNAME">
                      <a:rPr lang="en-US" sz="1200">
                        <a:latin typeface="Arial" panose="020B0604020202020204" pitchFamily="34" charset="0"/>
                        <a:cs typeface="Arial" panose="020B0604020202020204" pitchFamily="34" charset="0"/>
                      </a:rPr>
                      <a:pPr>
                        <a:defRPr sz="1200" b="0">
                          <a:solidFill>
                            <a:sysClr val="windowText" lastClr="000000"/>
                          </a:solidFill>
                          <a:latin typeface="Arial" panose="020B0604020202020204" pitchFamily="34" charset="0"/>
                          <a:cs typeface="Arial" panose="020B0604020202020204" pitchFamily="34" charset="0"/>
                        </a:defRPr>
                      </a:pPr>
                      <a:t>[CATEGORY NAME]</a:t>
                    </a:fld>
                    <a:endParaRPr lang="en-GB"/>
                  </a:p>
                </c:rich>
              </c:tx>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7691219072220465"/>
                      <c:h val="9.6472048454697326E-2"/>
                    </c:manualLayout>
                  </c15:layout>
                  <c15:dlblFieldTable/>
                  <c15:showDataLabelsRange val="0"/>
                </c:ext>
                <c:ext xmlns:c16="http://schemas.microsoft.com/office/drawing/2014/chart" uri="{C3380CC4-5D6E-409C-BE32-E72D297353CC}">
                  <c16:uniqueId val="{00000003-B951-4D91-8CB6-7B64161F7FE1}"/>
                </c:ext>
              </c:extLst>
            </c:dLbl>
            <c:dLbl>
              <c:idx val="2"/>
              <c:layout>
                <c:manualLayout>
                  <c:x val="7.3092445459305095E-3"/>
                  <c:y val="-0.15350647927384223"/>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2051852177928216"/>
                      <c:h val="0.10231429033824244"/>
                    </c:manualLayout>
                  </c15:layout>
                </c:ext>
                <c:ext xmlns:c16="http://schemas.microsoft.com/office/drawing/2014/chart" uri="{C3380CC4-5D6E-409C-BE32-E72D297353CC}">
                  <c16:uniqueId val="{00000005-B951-4D91-8CB6-7B64161F7FE1}"/>
                </c:ext>
              </c:extLst>
            </c:dLbl>
            <c:dLbl>
              <c:idx val="3"/>
              <c:layout>
                <c:manualLayout>
                  <c:x val="9.5986940017177239E-2"/>
                  <c:y val="-2.8346966420425817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8852296876712225"/>
                      <c:h val="7.805202533855464E-2"/>
                    </c:manualLayout>
                  </c15:layout>
                </c:ext>
                <c:ext xmlns:c16="http://schemas.microsoft.com/office/drawing/2014/chart" uri="{C3380CC4-5D6E-409C-BE32-E72D297353CC}">
                  <c16:uniqueId val="{00000007-B951-4D91-8CB6-7B64161F7FE1}"/>
                </c:ext>
              </c:extLst>
            </c:dLbl>
            <c:spPr>
              <a:ln>
                <a:solidFill>
                  <a:schemeClr val="tx1"/>
                </a:solidFill>
              </a:ln>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0"/>
            <c:showBubbleSize val="0"/>
            <c:showLeaderLines val="1"/>
            <c:leaderLines>
              <c:spPr>
                <a:ln w="19050" cap="flat" cmpd="sng" algn="ctr">
                  <a:solidFill>
                    <a:schemeClr val="tx1"/>
                  </a:solidFill>
                  <a:round/>
                </a:ln>
                <a:effectLst/>
              </c:spPr>
            </c:leaderLines>
            <c:extLst>
              <c:ext xmlns:c15="http://schemas.microsoft.com/office/drawing/2012/chart" uri="{CE6537A1-D6FC-4f65-9D91-7224C49458BB}"/>
            </c:extLst>
          </c:dLbls>
          <c:cat>
            <c:strRef>
              <c:f>('[1]Narrative Rpt info'!$B$12,'[1]Narrative Rpt info'!$B$15:$B$17)</c:f>
              <c:strCache>
                <c:ptCount val="4"/>
                <c:pt idx="0">
                  <c:v>Other Income</c:v>
                </c:pt>
                <c:pt idx="1">
                  <c:v>Council tax</c:v>
                </c:pt>
                <c:pt idx="2">
                  <c:v>Business rates</c:v>
                </c:pt>
                <c:pt idx="3">
                  <c:v>Government grant</c:v>
                </c:pt>
              </c:strCache>
            </c:strRef>
          </c:cat>
          <c:val>
            <c:numRef>
              <c:f>(Narrative!$D$12,Narrative!$D$15:$D$17)</c:f>
              <c:numCache>
                <c:formatCode>#,##0\ ;\(#,##0\)</c:formatCode>
                <c:ptCount val="4"/>
                <c:pt idx="0">
                  <c:v>-8348.8649700000005</c:v>
                </c:pt>
                <c:pt idx="1">
                  <c:v>-37951</c:v>
                </c:pt>
                <c:pt idx="2">
                  <c:v>-20913</c:v>
                </c:pt>
                <c:pt idx="3">
                  <c:v>-9482</c:v>
                </c:pt>
              </c:numCache>
            </c:numRef>
          </c:val>
          <c:extLst>
            <c:ext xmlns:c16="http://schemas.microsoft.com/office/drawing/2014/chart" uri="{C3380CC4-5D6E-409C-BE32-E72D297353CC}">
              <c16:uniqueId val="{00000008-B951-4D91-8CB6-7B64161F7FE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940F4E2DC8946B491E00B713C6592" ma:contentTypeVersion="13" ma:contentTypeDescription="Create a new document." ma:contentTypeScope="" ma:versionID="6d6b0c9f7476bcef5db24777133d2116">
  <xsd:schema xmlns:xsd="http://www.w3.org/2001/XMLSchema" xmlns:xs="http://www.w3.org/2001/XMLSchema" xmlns:p="http://schemas.microsoft.com/office/2006/metadata/properties" xmlns:ns2="8045da27-7bcf-4150-8e82-71b46f84ffac" xmlns:ns3="6c41f56c-e7af-43bb-a133-6deb2041e9af" targetNamespace="http://schemas.microsoft.com/office/2006/metadata/properties" ma:root="true" ma:fieldsID="12dd156eaca4e56a724ac921d8e2514a" ns2:_="" ns3:_="">
    <xsd:import namespace="8045da27-7bcf-4150-8e82-71b46f84ffac"/>
    <xsd:import namespace="6c41f56c-e7af-43bb-a133-6deb2041e9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da27-7bcf-4150-8e82-71b46f84f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1f56c-e7af-43bb-a133-6deb2041e9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99ebd8-4278-45f7-a1bf-548b18c36915}" ma:internalName="TaxCatchAll" ma:showField="CatchAllData" ma:web="6c41f56c-e7af-43bb-a133-6deb2041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c41f56c-e7af-43bb-a133-6deb2041e9af" xsi:nil="true"/>
    <lcf76f155ced4ddcb4097134ff3c332f xmlns="8045da27-7bcf-4150-8e82-71b46f84f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7A2AE3-F032-45F3-BCEC-BF2332A03F47}">
  <ds:schemaRefs>
    <ds:schemaRef ds:uri="http://schemas.microsoft.com/sharepoint/v3/contenttype/forms"/>
  </ds:schemaRefs>
</ds:datastoreItem>
</file>

<file path=customXml/itemProps2.xml><?xml version="1.0" encoding="utf-8"?>
<ds:datastoreItem xmlns:ds="http://schemas.openxmlformats.org/officeDocument/2006/customXml" ds:itemID="{20A46ED5-C240-49F4-B975-A5EE5C89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da27-7bcf-4150-8e82-71b46f84ffac"/>
    <ds:schemaRef ds:uri="6c41f56c-e7af-43bb-a133-6deb2041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84587-5344-4572-98AD-E79F924A9154}">
  <ds:schemaRefs>
    <ds:schemaRef ds:uri="http://schemas.openxmlformats.org/officeDocument/2006/bibliography"/>
  </ds:schemaRefs>
</ds:datastoreItem>
</file>

<file path=customXml/itemProps4.xml><?xml version="1.0" encoding="utf-8"?>
<ds:datastoreItem xmlns:ds="http://schemas.openxmlformats.org/officeDocument/2006/customXml" ds:itemID="{21244CD7-FC90-4E91-96E4-067C3D9CE61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41f56c-e7af-43bb-a133-6deb2041e9af"/>
    <ds:schemaRef ds:uri="http://purl.org/dc/terms/"/>
    <ds:schemaRef ds:uri="8045da27-7bcf-4150-8e82-71b46f84ff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101</Pages>
  <Words>25362</Words>
  <Characters>145858</Characters>
  <Application>Microsoft Office Word</Application>
  <DocSecurity>0</DocSecurity>
  <Lines>1215</Lines>
  <Paragraphs>341</Paragraphs>
  <ScaleCrop>false</ScaleCrop>
  <HeadingPairs>
    <vt:vector size="2" baseType="variant">
      <vt:variant>
        <vt:lpstr>Title</vt:lpstr>
      </vt:variant>
      <vt:variant>
        <vt:i4>1</vt:i4>
      </vt:variant>
    </vt:vector>
  </HeadingPairs>
  <TitlesOfParts>
    <vt:vector size="1" baseType="lpstr">
      <vt:lpstr>LANCASHIRE POLICE AUTHORITY</vt:lpstr>
    </vt:vector>
  </TitlesOfParts>
  <Company>Lancashire County Council</Company>
  <LinksUpToDate>false</LinksUpToDate>
  <CharactersWithSpaces>170879</CharactersWithSpaces>
  <SharedDoc>false</SharedDoc>
  <HLinks>
    <vt:vector size="12" baseType="variant">
      <vt:variant>
        <vt:i4>7209068</vt:i4>
      </vt:variant>
      <vt:variant>
        <vt:i4>9</vt:i4>
      </vt:variant>
      <vt:variant>
        <vt:i4>0</vt:i4>
      </vt:variant>
      <vt:variant>
        <vt:i4>5</vt:i4>
      </vt:variant>
      <vt:variant>
        <vt:lpwstr>http://www.lancsfirerescue.org.uk/wp-content/uploads/2011/01/Final-IRMP-sept-update.pdf</vt:lpwstr>
      </vt:variant>
      <vt:variant>
        <vt:lpwstr/>
      </vt:variant>
      <vt:variant>
        <vt:i4>2359411</vt:i4>
      </vt:variant>
      <vt:variant>
        <vt:i4>6</vt:i4>
      </vt:variant>
      <vt:variant>
        <vt:i4>0</vt:i4>
      </vt:variant>
      <vt:variant>
        <vt:i4>5</vt:i4>
      </vt:variant>
      <vt:variant>
        <vt:lpwstr>http://www.lancsfirerescue.org.uk/downloads/policies/organisational/corpgov.pdf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POLICE AUTHORITY</dc:title>
  <dc:creator>Claire Cartmel</dc:creator>
  <cp:lastModifiedBy>SHQ - Rogers, Jane</cp:lastModifiedBy>
  <cp:revision>4</cp:revision>
  <cp:lastPrinted>2025-01-13T13:34:00Z</cp:lastPrinted>
  <dcterms:created xsi:type="dcterms:W3CDTF">2025-01-31T11:16:00Z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0x010100FF1940F4E2DC8946B491E00B713C6592</vt:lpwstr>
  </property>
  <property fmtid="{D5CDD505-2E9C-101B-9397-08002B2CF9AE}" pid="4" name="MediaServiceImageTags">
    <vt:lpwstr/>
  </property>
  <property fmtid="{D5CDD505-2E9C-101B-9397-08002B2CF9AE}" pid="5" name="ClassificationContentMarkingFooterShapeIds">
    <vt:lpwstr>77ee2144,2ae6e558,6485f782,4a525114,10e8206c,6701c154</vt:lpwstr>
  </property>
  <property fmtid="{D5CDD505-2E9C-101B-9397-08002B2CF9AE}" pid="6" name="ClassificationContentMarkingFooterFontProps">
    <vt:lpwstr>#000000,10,Calibri</vt:lpwstr>
  </property>
  <property fmtid="{D5CDD505-2E9C-101B-9397-08002B2CF9AE}" pid="7" name="ClassificationContentMarkingFooterText">
    <vt:lpwstr>OFFICIAL – SENSITIVE</vt:lpwstr>
  </property>
  <property fmtid="{D5CDD505-2E9C-101B-9397-08002B2CF9AE}" pid="8" name="MSIP_Label_efe624c0-ab76-44e6-ba90-df41b4a102cc_Enabled">
    <vt:lpwstr>true</vt:lpwstr>
  </property>
  <property fmtid="{D5CDD505-2E9C-101B-9397-08002B2CF9AE}" pid="9" name="MSIP_Label_efe624c0-ab76-44e6-ba90-df41b4a102cc_SetDate">
    <vt:lpwstr>2025-01-13T13:34:35Z</vt:lpwstr>
  </property>
  <property fmtid="{D5CDD505-2E9C-101B-9397-08002B2CF9AE}" pid="10" name="MSIP_Label_efe624c0-ab76-44e6-ba90-df41b4a102cc_Method">
    <vt:lpwstr>Standard</vt:lpwstr>
  </property>
  <property fmtid="{D5CDD505-2E9C-101B-9397-08002B2CF9AE}" pid="11" name="MSIP_Label_efe624c0-ab76-44e6-ba90-df41b4a102cc_Name">
    <vt:lpwstr>OFFICIAL – SENSITIVE</vt:lpwstr>
  </property>
  <property fmtid="{D5CDD505-2E9C-101B-9397-08002B2CF9AE}" pid="12" name="MSIP_Label_efe624c0-ab76-44e6-ba90-df41b4a102cc_SiteId">
    <vt:lpwstr>f3108379-ec3f-4459-9a6d-f531e8ec0724</vt:lpwstr>
  </property>
  <property fmtid="{D5CDD505-2E9C-101B-9397-08002B2CF9AE}" pid="13" name="MSIP_Label_efe624c0-ab76-44e6-ba90-df41b4a102cc_ActionId">
    <vt:lpwstr>f85f26b5-c78b-4fe8-a184-130b7b6aa149</vt:lpwstr>
  </property>
  <property fmtid="{D5CDD505-2E9C-101B-9397-08002B2CF9AE}" pid="14" name="MSIP_Label_efe624c0-ab76-44e6-ba90-df41b4a102cc_ContentBits">
    <vt:lpwstr>2</vt:lpwstr>
  </property>
</Properties>
</file>